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5A52C" w14:textId="77777777" w:rsidR="00393842" w:rsidRPr="00393842" w:rsidRDefault="00393842" w:rsidP="00393842">
      <w:pPr>
        <w:keepNext/>
        <w:keepLines/>
        <w:snapToGrid w:val="0"/>
        <w:jc w:val="center"/>
        <w:outlineLvl w:val="2"/>
        <w:rPr>
          <w:rFonts w:ascii="仿宋" w:eastAsia="仿宋" w:hAnsi="仿宋" w:cs="Times New Roman"/>
          <w:b/>
          <w:bCs/>
          <w:kern w:val="0"/>
          <w:sz w:val="24"/>
          <w:szCs w:val="24"/>
        </w:rPr>
      </w:pPr>
      <w:bookmarkStart w:id="0" w:name="_Toc57210938"/>
      <w:bookmarkStart w:id="1" w:name="_Hlk57289201"/>
      <w:r w:rsidRPr="00393842">
        <w:rPr>
          <w:rFonts w:ascii="仿宋" w:eastAsia="仿宋" w:hAnsi="仿宋" w:cs="Times New Roman" w:hint="eastAsia"/>
          <w:b/>
          <w:bCs/>
          <w:kern w:val="0"/>
          <w:sz w:val="24"/>
          <w:szCs w:val="24"/>
        </w:rPr>
        <w:t>山东大学仪器设备采购技术条款一览表</w:t>
      </w:r>
      <w:bookmarkEnd w:id="0"/>
    </w:p>
    <w:tbl>
      <w:tblPr>
        <w:tblpPr w:leftFromText="180" w:rightFromText="180" w:vertAnchor="text" w:horzAnchor="margin" w:tblpXSpec="center" w:tblpY="855"/>
        <w:tblW w:w="7751"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17"/>
        <w:gridCol w:w="1418"/>
        <w:gridCol w:w="4779"/>
        <w:gridCol w:w="737"/>
      </w:tblGrid>
      <w:tr w:rsidR="00393842" w:rsidRPr="00393842" w14:paraId="43D0AA11" w14:textId="77777777" w:rsidTr="0001634E">
        <w:trPr>
          <w:trHeight w:val="576"/>
        </w:trPr>
        <w:tc>
          <w:tcPr>
            <w:tcW w:w="7751" w:type="dxa"/>
            <w:gridSpan w:val="4"/>
            <w:tcBorders>
              <w:top w:val="single" w:sz="4" w:space="0" w:color="auto"/>
              <w:left w:val="single" w:sz="4" w:space="0" w:color="auto"/>
              <w:bottom w:val="single" w:sz="4" w:space="0" w:color="auto"/>
              <w:right w:val="single" w:sz="4" w:space="0" w:color="auto"/>
            </w:tcBorders>
            <w:vAlign w:val="center"/>
          </w:tcPr>
          <w:p w14:paraId="755E758D" w14:textId="77777777" w:rsidR="00393842" w:rsidRPr="00393842" w:rsidRDefault="00393842" w:rsidP="00393842">
            <w:pPr>
              <w:autoSpaceDE w:val="0"/>
              <w:autoSpaceDN w:val="0"/>
              <w:adjustRightInd w:val="0"/>
              <w:ind w:firstLine="482"/>
              <w:jc w:val="center"/>
              <w:rPr>
                <w:rFonts w:ascii="仿宋" w:eastAsia="仿宋" w:hAnsi="仿宋" w:cs="Times New Roman"/>
                <w:b/>
                <w:sz w:val="24"/>
                <w:szCs w:val="24"/>
              </w:rPr>
            </w:pPr>
            <w:r w:rsidRPr="00393842">
              <w:rPr>
                <w:rFonts w:ascii="仿宋" w:eastAsia="仿宋" w:hAnsi="仿宋" w:cs="Times New Roman" w:hint="eastAsia"/>
                <w:b/>
                <w:sz w:val="24"/>
                <w:szCs w:val="24"/>
              </w:rPr>
              <w:t>采购人要求（用户填写）</w:t>
            </w:r>
          </w:p>
        </w:tc>
      </w:tr>
      <w:tr w:rsidR="00393842" w:rsidRPr="00393842" w14:paraId="4F3FDFBD" w14:textId="77777777" w:rsidTr="0001634E">
        <w:trPr>
          <w:trHeight w:val="690"/>
        </w:trPr>
        <w:tc>
          <w:tcPr>
            <w:tcW w:w="817" w:type="dxa"/>
            <w:tcBorders>
              <w:top w:val="single" w:sz="4" w:space="0" w:color="auto"/>
              <w:left w:val="single" w:sz="4" w:space="0" w:color="auto"/>
              <w:bottom w:val="single" w:sz="4" w:space="0" w:color="auto"/>
              <w:right w:val="single" w:sz="4" w:space="0" w:color="auto"/>
            </w:tcBorders>
            <w:vAlign w:val="center"/>
          </w:tcPr>
          <w:p w14:paraId="37193427"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sz w:val="24"/>
                <w:szCs w:val="24"/>
              </w:rPr>
              <w:t>配置序号</w:t>
            </w:r>
          </w:p>
        </w:tc>
        <w:tc>
          <w:tcPr>
            <w:tcW w:w="1418" w:type="dxa"/>
            <w:tcBorders>
              <w:top w:val="single" w:sz="4" w:space="0" w:color="auto"/>
              <w:left w:val="single" w:sz="4" w:space="0" w:color="auto"/>
              <w:bottom w:val="single" w:sz="4" w:space="0" w:color="auto"/>
              <w:right w:val="single" w:sz="4" w:space="0" w:color="auto"/>
            </w:tcBorders>
            <w:vAlign w:val="center"/>
          </w:tcPr>
          <w:p w14:paraId="5CF29E2C"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sz w:val="24"/>
                <w:szCs w:val="24"/>
              </w:rPr>
              <w:t>配置名称</w:t>
            </w:r>
          </w:p>
        </w:tc>
        <w:tc>
          <w:tcPr>
            <w:tcW w:w="4779" w:type="dxa"/>
            <w:tcBorders>
              <w:top w:val="single" w:sz="4" w:space="0" w:color="auto"/>
              <w:left w:val="single" w:sz="4" w:space="0" w:color="auto"/>
              <w:bottom w:val="single" w:sz="4" w:space="0" w:color="auto"/>
              <w:right w:val="single" w:sz="4" w:space="0" w:color="auto"/>
            </w:tcBorders>
            <w:vAlign w:val="center"/>
          </w:tcPr>
          <w:p w14:paraId="62AAEE4D" w14:textId="77777777" w:rsidR="00393842" w:rsidRPr="00393842" w:rsidRDefault="00393842" w:rsidP="00393842">
            <w:pPr>
              <w:ind w:firstLine="480"/>
              <w:jc w:val="center"/>
              <w:rPr>
                <w:rFonts w:ascii="仿宋" w:eastAsia="仿宋" w:hAnsi="仿宋" w:cs="Times New Roman"/>
                <w:sz w:val="24"/>
                <w:szCs w:val="24"/>
              </w:rPr>
            </w:pPr>
            <w:r w:rsidRPr="00393842">
              <w:rPr>
                <w:rFonts w:ascii="仿宋" w:eastAsia="仿宋" w:hAnsi="仿宋" w:cs="Times New Roman" w:hint="eastAsia"/>
                <w:sz w:val="24"/>
                <w:szCs w:val="24"/>
              </w:rPr>
              <w:t>详细技术参数要求</w:t>
            </w:r>
          </w:p>
        </w:tc>
        <w:tc>
          <w:tcPr>
            <w:tcW w:w="737" w:type="dxa"/>
            <w:tcBorders>
              <w:top w:val="single" w:sz="4" w:space="0" w:color="auto"/>
              <w:left w:val="single" w:sz="4" w:space="0" w:color="auto"/>
              <w:bottom w:val="single" w:sz="4" w:space="0" w:color="auto"/>
              <w:right w:val="single" w:sz="4" w:space="0" w:color="auto"/>
            </w:tcBorders>
            <w:vAlign w:val="center"/>
          </w:tcPr>
          <w:p w14:paraId="5284E487"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sz w:val="24"/>
                <w:szCs w:val="24"/>
              </w:rPr>
              <w:t>数量</w:t>
            </w:r>
          </w:p>
        </w:tc>
      </w:tr>
      <w:tr w:rsidR="00393842" w:rsidRPr="00393842" w14:paraId="59454B33" w14:textId="77777777" w:rsidTr="0001634E">
        <w:trPr>
          <w:trHeight w:val="274"/>
        </w:trPr>
        <w:tc>
          <w:tcPr>
            <w:tcW w:w="817" w:type="dxa"/>
            <w:tcBorders>
              <w:top w:val="single" w:sz="4" w:space="0" w:color="auto"/>
              <w:left w:val="single" w:sz="4" w:space="0" w:color="auto"/>
              <w:bottom w:val="single" w:sz="4" w:space="0" w:color="auto"/>
              <w:right w:val="single" w:sz="4" w:space="0" w:color="auto"/>
            </w:tcBorders>
            <w:vAlign w:val="center"/>
          </w:tcPr>
          <w:p w14:paraId="6077478D"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00C9A8" w14:textId="77777777" w:rsidR="00393842" w:rsidRPr="00393842" w:rsidRDefault="00393842" w:rsidP="00393842">
            <w:pPr>
              <w:jc w:val="left"/>
              <w:rPr>
                <w:rFonts w:ascii="仿宋" w:eastAsia="仿宋" w:hAnsi="仿宋" w:cs="宋体"/>
                <w:b/>
                <w:bCs/>
                <w:color w:val="000000"/>
                <w:sz w:val="24"/>
                <w:szCs w:val="24"/>
              </w:rPr>
            </w:pPr>
            <w:r w:rsidRPr="00393842">
              <w:rPr>
                <w:rFonts w:ascii="仿宋" w:eastAsia="仿宋" w:hAnsi="仿宋" w:cs="Times New Roman" w:hint="eastAsia"/>
                <w:color w:val="000000"/>
              </w:rPr>
              <w:t>应用数学科研平台系统-高性能计算节点1</w:t>
            </w:r>
          </w:p>
        </w:tc>
        <w:tc>
          <w:tcPr>
            <w:tcW w:w="4779" w:type="dxa"/>
            <w:tcBorders>
              <w:top w:val="single" w:sz="4" w:space="0" w:color="auto"/>
              <w:left w:val="single" w:sz="4" w:space="0" w:color="auto"/>
              <w:bottom w:val="single" w:sz="4" w:space="0" w:color="auto"/>
              <w:right w:val="single" w:sz="4" w:space="0" w:color="auto"/>
            </w:tcBorders>
            <w:shd w:val="clear" w:color="auto" w:fill="auto"/>
            <w:vAlign w:val="center"/>
          </w:tcPr>
          <w:p w14:paraId="48451F47"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1.规格：标准4U机架式GPU服务器；</w:t>
            </w:r>
          </w:p>
          <w:p w14:paraId="1ECDBA31"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2.处理器：≥2颗英特尔至强可扩展处理器家族6226R处理器，16核心32线程，2.9GHZ主频；</w:t>
            </w:r>
          </w:p>
          <w:p w14:paraId="556CA3A5"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3.内存：≥384GB，64GB DDR4系列2933MHZ频率企业级含数据校验纠错内存≥6根（单套最大可支持：64GB内存16根）；</w:t>
            </w:r>
          </w:p>
          <w:p w14:paraId="43CED379"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4.硬盘：≥2块Intel SSD企业级固态硬盘960GB和≥4块企业级8TB/SATA ；7200RPM；硬盘最大扩展到12块 SATA热插拔硬盘、1 块 Nvme M.2固体硬盘；设备安装8I的Raid卡和1GB缓存；</w:t>
            </w:r>
          </w:p>
          <w:p w14:paraId="70939D53"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5.I/O扩展槽：≥7个 PCI-E 3.0、6个USB数据接口、≥1个自带VGA端口、≥1 x RJ45 Mgmt 接口；                                                                                                                     6. 单台设备安装≥4块NVIDIA Tesla A100；</w:t>
            </w:r>
          </w:p>
          <w:p w14:paraId="6A076738"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 xml:space="preserve">7.管理端口网卡：万兆以太网电口、双口万兆光纤网卡(含模块)。                                                                                                                                                </w:t>
            </w:r>
          </w:p>
          <w:p w14:paraId="390FC91A" w14:textId="77777777" w:rsidR="00393842" w:rsidRPr="00393842" w:rsidRDefault="00393842" w:rsidP="00393842">
            <w:pPr>
              <w:jc w:val="left"/>
              <w:rPr>
                <w:rFonts w:ascii="仿宋" w:eastAsia="仿宋" w:hAnsi="仿宋" w:cs="Times New Roman"/>
                <w:color w:val="000000"/>
                <w:sz w:val="24"/>
                <w:szCs w:val="24"/>
              </w:rPr>
            </w:pPr>
            <w:r w:rsidRPr="00393842">
              <w:rPr>
                <w:rFonts w:ascii="仿宋" w:eastAsia="仿宋" w:hAnsi="仿宋" w:cs="Times New Roman"/>
                <w:color w:val="000000"/>
                <w:sz w:val="22"/>
              </w:rPr>
              <w:t>8</w:t>
            </w:r>
            <w:r w:rsidRPr="00393842">
              <w:rPr>
                <w:rFonts w:ascii="仿宋" w:eastAsia="仿宋" w:hAnsi="仿宋" w:cs="Times New Roman" w:hint="eastAsia"/>
                <w:color w:val="000000"/>
                <w:sz w:val="22"/>
              </w:rPr>
              <w:t>.</w:t>
            </w:r>
            <w:r w:rsidRPr="00393842">
              <w:rPr>
                <w:rFonts w:ascii="仿宋" w:eastAsia="仿宋" w:hAnsi="仿宋" w:cs="Times New Roman" w:hint="eastAsia"/>
                <w:b/>
                <w:bCs/>
                <w:color w:val="000000"/>
                <w:sz w:val="24"/>
              </w:rPr>
              <w:t>#</w:t>
            </w:r>
            <w:r w:rsidRPr="00393842">
              <w:rPr>
                <w:rFonts w:ascii="仿宋" w:eastAsia="仿宋" w:hAnsi="仿宋" w:cs="Times New Roman" w:hint="eastAsia"/>
                <w:color w:val="000000"/>
                <w:sz w:val="22"/>
              </w:rPr>
              <w:t xml:space="preserve">该设备为安装应用数学科研平台系统提供，需要与应用数学科研平台系统完全兼容，并在投标文件中进行详细说明和提供相关证明文件。                               </w:t>
            </w:r>
          </w:p>
        </w:tc>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2DA2CAA8"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color w:val="000000"/>
                <w:sz w:val="24"/>
                <w:szCs w:val="24"/>
              </w:rPr>
              <w:t>1</w:t>
            </w:r>
          </w:p>
        </w:tc>
      </w:tr>
      <w:tr w:rsidR="00393842" w:rsidRPr="00393842" w14:paraId="550ECEF1" w14:textId="77777777" w:rsidTr="0001634E">
        <w:trPr>
          <w:trHeight w:val="166"/>
        </w:trPr>
        <w:tc>
          <w:tcPr>
            <w:tcW w:w="817" w:type="dxa"/>
            <w:tcBorders>
              <w:top w:val="single" w:sz="4" w:space="0" w:color="auto"/>
              <w:left w:val="single" w:sz="4" w:space="0" w:color="auto"/>
              <w:bottom w:val="single" w:sz="4" w:space="0" w:color="auto"/>
              <w:right w:val="single" w:sz="4" w:space="0" w:color="auto"/>
            </w:tcBorders>
            <w:vAlign w:val="center"/>
          </w:tcPr>
          <w:p w14:paraId="5262B7E5"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rPr>
              <w:t>2</w:t>
            </w:r>
          </w:p>
        </w:tc>
        <w:tc>
          <w:tcPr>
            <w:tcW w:w="1418" w:type="dxa"/>
            <w:tcBorders>
              <w:top w:val="nil"/>
              <w:left w:val="single" w:sz="4" w:space="0" w:color="auto"/>
              <w:bottom w:val="single" w:sz="4" w:space="0" w:color="auto"/>
              <w:right w:val="single" w:sz="4" w:space="0" w:color="auto"/>
            </w:tcBorders>
            <w:shd w:val="clear" w:color="auto" w:fill="auto"/>
            <w:vAlign w:val="center"/>
          </w:tcPr>
          <w:p w14:paraId="3035BA43" w14:textId="77777777" w:rsidR="00393842" w:rsidRPr="00393842" w:rsidRDefault="00393842" w:rsidP="00393842">
            <w:pPr>
              <w:jc w:val="left"/>
              <w:rPr>
                <w:rFonts w:ascii="仿宋" w:eastAsia="仿宋" w:hAnsi="仿宋" w:cs="宋体"/>
                <w:b/>
                <w:bCs/>
                <w:color w:val="000000"/>
                <w:sz w:val="24"/>
                <w:szCs w:val="24"/>
              </w:rPr>
            </w:pPr>
            <w:r w:rsidRPr="00393842">
              <w:rPr>
                <w:rFonts w:ascii="仿宋" w:eastAsia="仿宋" w:hAnsi="仿宋" w:cs="Times New Roman" w:hint="eastAsia"/>
                <w:color w:val="000000"/>
              </w:rPr>
              <w:t>应用数学科研平台系统-高性能计算节点2</w:t>
            </w:r>
          </w:p>
        </w:tc>
        <w:tc>
          <w:tcPr>
            <w:tcW w:w="4779" w:type="dxa"/>
            <w:tcBorders>
              <w:top w:val="nil"/>
              <w:left w:val="single" w:sz="4" w:space="0" w:color="auto"/>
              <w:bottom w:val="single" w:sz="4" w:space="0" w:color="auto"/>
              <w:right w:val="single" w:sz="4" w:space="0" w:color="auto"/>
            </w:tcBorders>
            <w:shd w:val="clear" w:color="auto" w:fill="auto"/>
            <w:vAlign w:val="center"/>
          </w:tcPr>
          <w:p w14:paraId="18376FAA"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1.规格：标准4U机架式GPU服务器；</w:t>
            </w:r>
          </w:p>
          <w:p w14:paraId="21C37FA3"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2.处理器：≥2颗英特尔至强可扩展处理器家族4214处理器，12核心24线程，2.2GHZ主频；</w:t>
            </w:r>
          </w:p>
          <w:p w14:paraId="64045080"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3.内存：≥384GB，64GB DDR4系列2933MHZ频率企业级含数据校验纠错内存≥6根（单套最大可支持：64GB内存</w:t>
            </w:r>
            <w:r w:rsidRPr="00393842">
              <w:rPr>
                <w:rFonts w:ascii="仿宋" w:eastAsia="仿宋" w:hAnsi="仿宋" w:cs="Times New Roman"/>
                <w:color w:val="000000"/>
                <w:sz w:val="22"/>
              </w:rPr>
              <w:t>24</w:t>
            </w:r>
            <w:r w:rsidRPr="00393842">
              <w:rPr>
                <w:rFonts w:ascii="仿宋" w:eastAsia="仿宋" w:hAnsi="仿宋" w:cs="Times New Roman" w:hint="eastAsia"/>
                <w:color w:val="000000"/>
                <w:sz w:val="22"/>
              </w:rPr>
              <w:t>根）；</w:t>
            </w:r>
          </w:p>
          <w:p w14:paraId="149138DC"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4.硬盘：≥2块Intel SSD企业级固态硬盘960GB 和≥4块企业级8TB/SATA 7200RPM；硬盘最大扩展到12块 SATA热插拔硬盘、2 块 Nvme M.2固体硬盘；设备安装8I的Raid卡和1GB缓存；</w:t>
            </w:r>
          </w:p>
          <w:p w14:paraId="223F1B27"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 xml:space="preserve">5.I/O扩展槽：≥14个 PCI-E 3.0、≥4个USB数据接口、≥2个自带VGA端口、≥1 x RJ45 </w:t>
            </w:r>
            <w:r w:rsidRPr="00393842">
              <w:rPr>
                <w:rFonts w:ascii="仿宋" w:eastAsia="仿宋" w:hAnsi="仿宋" w:cs="Times New Roman" w:hint="eastAsia"/>
                <w:color w:val="000000"/>
                <w:sz w:val="22"/>
              </w:rPr>
              <w:lastRenderedPageBreak/>
              <w:t>Mgmt 接口；                                                                                      6.单台设备安装≥5块NVIDIA Geforce RTX3090科研涡轮版本；</w:t>
            </w:r>
          </w:p>
          <w:p w14:paraId="6A0168BA"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 xml:space="preserve">7.管理端口网卡：万兆以太网电口、双口万兆光纤网卡(含模块)；                                         </w:t>
            </w:r>
          </w:p>
          <w:p w14:paraId="531BA54D" w14:textId="77777777" w:rsidR="00393842" w:rsidRPr="00393842" w:rsidRDefault="00393842" w:rsidP="00393842">
            <w:pPr>
              <w:jc w:val="left"/>
              <w:rPr>
                <w:rFonts w:ascii="仿宋" w:eastAsia="仿宋" w:hAnsi="仿宋" w:cs="Times New Roman"/>
                <w:color w:val="000000"/>
                <w:sz w:val="24"/>
                <w:szCs w:val="24"/>
              </w:rPr>
            </w:pPr>
            <w:r w:rsidRPr="00393842">
              <w:rPr>
                <w:rFonts w:ascii="仿宋" w:eastAsia="仿宋" w:hAnsi="仿宋" w:cs="Times New Roman"/>
                <w:color w:val="000000"/>
                <w:sz w:val="22"/>
              </w:rPr>
              <w:t>8</w:t>
            </w:r>
            <w:r w:rsidRPr="00393842">
              <w:rPr>
                <w:rFonts w:ascii="仿宋" w:eastAsia="仿宋" w:hAnsi="仿宋" w:cs="Times New Roman" w:hint="eastAsia"/>
                <w:color w:val="000000"/>
                <w:sz w:val="22"/>
              </w:rPr>
              <w:t xml:space="preserve">.★该设备为安装应用数学科研平台系统提供，需要与应用数学科研平台系统完全兼容，并在投标文件中进行详细说明和提供相关证明文件。                              </w:t>
            </w:r>
          </w:p>
        </w:tc>
        <w:tc>
          <w:tcPr>
            <w:tcW w:w="737" w:type="dxa"/>
            <w:tcBorders>
              <w:top w:val="nil"/>
              <w:left w:val="single" w:sz="4" w:space="0" w:color="auto"/>
              <w:bottom w:val="single" w:sz="4" w:space="0" w:color="auto"/>
              <w:right w:val="single" w:sz="4" w:space="0" w:color="auto"/>
            </w:tcBorders>
            <w:shd w:val="clear" w:color="auto" w:fill="auto"/>
            <w:vAlign w:val="center"/>
          </w:tcPr>
          <w:p w14:paraId="66A14CDE"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color w:val="000000"/>
                <w:sz w:val="24"/>
                <w:szCs w:val="24"/>
              </w:rPr>
              <w:lastRenderedPageBreak/>
              <w:t>6</w:t>
            </w:r>
          </w:p>
        </w:tc>
      </w:tr>
      <w:tr w:rsidR="00393842" w:rsidRPr="00393842" w14:paraId="77FD3607" w14:textId="77777777" w:rsidTr="0001634E">
        <w:trPr>
          <w:trHeight w:val="155"/>
        </w:trPr>
        <w:tc>
          <w:tcPr>
            <w:tcW w:w="817" w:type="dxa"/>
            <w:tcBorders>
              <w:top w:val="single" w:sz="4" w:space="0" w:color="auto"/>
              <w:left w:val="single" w:sz="4" w:space="0" w:color="auto"/>
              <w:bottom w:val="single" w:sz="4" w:space="0" w:color="auto"/>
              <w:right w:val="single" w:sz="4" w:space="0" w:color="auto"/>
            </w:tcBorders>
            <w:vAlign w:val="center"/>
          </w:tcPr>
          <w:p w14:paraId="3425DBC7"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rPr>
              <w:t>3</w:t>
            </w:r>
          </w:p>
        </w:tc>
        <w:tc>
          <w:tcPr>
            <w:tcW w:w="1418" w:type="dxa"/>
            <w:tcBorders>
              <w:top w:val="nil"/>
              <w:left w:val="single" w:sz="4" w:space="0" w:color="auto"/>
              <w:bottom w:val="single" w:sz="4" w:space="0" w:color="auto"/>
              <w:right w:val="single" w:sz="4" w:space="0" w:color="auto"/>
            </w:tcBorders>
            <w:shd w:val="clear" w:color="auto" w:fill="auto"/>
            <w:vAlign w:val="center"/>
          </w:tcPr>
          <w:p w14:paraId="2B6D2E2C" w14:textId="77777777" w:rsidR="00393842" w:rsidRPr="00393842" w:rsidRDefault="00393842" w:rsidP="00393842">
            <w:pPr>
              <w:jc w:val="left"/>
              <w:rPr>
                <w:rFonts w:ascii="仿宋" w:eastAsia="仿宋" w:hAnsi="仿宋" w:cs="宋体"/>
                <w:b/>
                <w:bCs/>
                <w:color w:val="000000"/>
                <w:sz w:val="24"/>
                <w:szCs w:val="24"/>
              </w:rPr>
            </w:pPr>
            <w:r w:rsidRPr="00393842">
              <w:rPr>
                <w:rFonts w:ascii="仿宋" w:eastAsia="仿宋" w:hAnsi="仿宋" w:cs="Times New Roman" w:hint="eastAsia"/>
                <w:color w:val="000000"/>
              </w:rPr>
              <w:t>应用数学科研平台系统-高性能计算节点3</w:t>
            </w:r>
          </w:p>
        </w:tc>
        <w:tc>
          <w:tcPr>
            <w:tcW w:w="4779" w:type="dxa"/>
            <w:tcBorders>
              <w:top w:val="nil"/>
              <w:left w:val="single" w:sz="4" w:space="0" w:color="auto"/>
              <w:bottom w:val="single" w:sz="4" w:space="0" w:color="auto"/>
              <w:right w:val="single" w:sz="4" w:space="0" w:color="auto"/>
            </w:tcBorders>
            <w:shd w:val="clear" w:color="auto" w:fill="auto"/>
            <w:vAlign w:val="center"/>
          </w:tcPr>
          <w:p w14:paraId="16910F66"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1.规格：标准4U机架式GPU服务器；</w:t>
            </w:r>
          </w:p>
          <w:p w14:paraId="5608857C"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2.处理器：≥2颗英特尔至强可扩展处理器家族4214处理器，12核心24线程，2.2GHZ主频；</w:t>
            </w:r>
          </w:p>
          <w:p w14:paraId="1FF5C030"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3.内存：≥384GB，DDR4系列2933MHZ频率企业级含数据校验纠错内存≥6根、单套设备内存总量：≥384GB（单套最大可支持：64GB内存</w:t>
            </w:r>
            <w:r w:rsidRPr="00393842">
              <w:rPr>
                <w:rFonts w:ascii="仿宋" w:eastAsia="仿宋" w:hAnsi="仿宋" w:cs="Times New Roman"/>
                <w:color w:val="000000"/>
                <w:sz w:val="22"/>
              </w:rPr>
              <w:t>24</w:t>
            </w:r>
            <w:r w:rsidRPr="00393842">
              <w:rPr>
                <w:rFonts w:ascii="仿宋" w:eastAsia="仿宋" w:hAnsi="仿宋" w:cs="Times New Roman" w:hint="eastAsia"/>
                <w:color w:val="000000"/>
                <w:sz w:val="22"/>
              </w:rPr>
              <w:t>根）；</w:t>
            </w:r>
          </w:p>
          <w:p w14:paraId="31DAB89F"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4.硬盘：≥2块Intel SSD企业级固态硬盘960GB和≥4块企业级8TB/SATA 7200RPM；硬盘最大扩展到12块 SATA热插拔硬盘、2 块 Nvme M.2固体硬盘；设备安装8I的Raid卡和1GB缓存；</w:t>
            </w:r>
          </w:p>
          <w:p w14:paraId="2EE974AB"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 xml:space="preserve">5.I/O扩展槽：≥14个 PCI-E 3.0、≥4个USB数据接口、≥2个自带VGA端口、≥1 x RJ45 Mgmt 接口；                                                                                      6.单台设备安装≥2块NVIDIA A6000科研涡轮版本； </w:t>
            </w:r>
          </w:p>
          <w:p w14:paraId="4D2D93D8" w14:textId="77777777" w:rsidR="00393842" w:rsidRPr="00393842" w:rsidRDefault="00393842" w:rsidP="00393842">
            <w:pPr>
              <w:jc w:val="left"/>
              <w:rPr>
                <w:rFonts w:ascii="仿宋" w:eastAsia="仿宋" w:hAnsi="仿宋" w:cs="Times New Roman"/>
                <w:color w:val="000000"/>
                <w:sz w:val="22"/>
              </w:rPr>
            </w:pPr>
            <w:r w:rsidRPr="00393842">
              <w:rPr>
                <w:rFonts w:ascii="仿宋" w:eastAsia="仿宋" w:hAnsi="仿宋" w:cs="Times New Roman" w:hint="eastAsia"/>
                <w:color w:val="000000"/>
                <w:sz w:val="22"/>
              </w:rPr>
              <w:t xml:space="preserve">7.管理端口网卡：万兆以太网电口、双口万兆光纤网卡(含模块)；                                         </w:t>
            </w:r>
          </w:p>
          <w:p w14:paraId="688DA97F" w14:textId="77777777" w:rsidR="00393842" w:rsidRPr="00393842" w:rsidRDefault="00393842" w:rsidP="00393842">
            <w:pPr>
              <w:jc w:val="left"/>
              <w:rPr>
                <w:rFonts w:ascii="仿宋" w:eastAsia="仿宋" w:hAnsi="仿宋" w:cs="Times New Roman"/>
                <w:color w:val="000000"/>
                <w:sz w:val="24"/>
                <w:szCs w:val="24"/>
              </w:rPr>
            </w:pPr>
            <w:r w:rsidRPr="00393842">
              <w:rPr>
                <w:rFonts w:ascii="仿宋" w:eastAsia="仿宋" w:hAnsi="仿宋" w:cs="Times New Roman"/>
                <w:color w:val="000000"/>
                <w:sz w:val="22"/>
              </w:rPr>
              <w:t>8</w:t>
            </w:r>
            <w:r w:rsidRPr="00393842">
              <w:rPr>
                <w:rFonts w:ascii="仿宋" w:eastAsia="仿宋" w:hAnsi="仿宋" w:cs="Times New Roman" w:hint="eastAsia"/>
                <w:color w:val="000000"/>
                <w:sz w:val="22"/>
              </w:rPr>
              <w:t>.</w:t>
            </w:r>
            <w:r w:rsidRPr="00393842">
              <w:rPr>
                <w:rFonts w:ascii="仿宋" w:eastAsia="仿宋" w:hAnsi="仿宋" w:cs="Times New Roman" w:hint="eastAsia"/>
                <w:b/>
                <w:bCs/>
                <w:color w:val="000000"/>
                <w:sz w:val="24"/>
              </w:rPr>
              <w:t>#</w:t>
            </w:r>
            <w:r w:rsidRPr="00393842">
              <w:rPr>
                <w:rFonts w:ascii="仿宋" w:eastAsia="仿宋" w:hAnsi="仿宋" w:cs="Times New Roman" w:hint="eastAsia"/>
                <w:color w:val="000000"/>
                <w:sz w:val="22"/>
              </w:rPr>
              <w:t xml:space="preserve">该设备为安装应用数学科研平台系统提供，需要与应用数学科研平台系统完全兼容，并在投标文件中进行详细说明和提供相关证明文件。                                   </w:t>
            </w:r>
          </w:p>
        </w:tc>
        <w:tc>
          <w:tcPr>
            <w:tcW w:w="737" w:type="dxa"/>
            <w:tcBorders>
              <w:top w:val="nil"/>
              <w:left w:val="single" w:sz="4" w:space="0" w:color="auto"/>
              <w:bottom w:val="single" w:sz="4" w:space="0" w:color="auto"/>
              <w:right w:val="single" w:sz="4" w:space="0" w:color="auto"/>
            </w:tcBorders>
            <w:shd w:val="clear" w:color="auto" w:fill="auto"/>
            <w:vAlign w:val="center"/>
          </w:tcPr>
          <w:p w14:paraId="1DAC59C9"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color w:val="000000"/>
                <w:sz w:val="24"/>
                <w:szCs w:val="24"/>
              </w:rPr>
              <w:t>1</w:t>
            </w:r>
          </w:p>
        </w:tc>
      </w:tr>
      <w:tr w:rsidR="00393842" w:rsidRPr="00393842" w14:paraId="50913D3E" w14:textId="77777777" w:rsidTr="0001634E">
        <w:trPr>
          <w:trHeight w:val="145"/>
        </w:trPr>
        <w:tc>
          <w:tcPr>
            <w:tcW w:w="817" w:type="dxa"/>
            <w:tcBorders>
              <w:top w:val="single" w:sz="4" w:space="0" w:color="auto"/>
              <w:left w:val="single" w:sz="4" w:space="0" w:color="auto"/>
              <w:bottom w:val="single" w:sz="4" w:space="0" w:color="auto"/>
              <w:right w:val="single" w:sz="4" w:space="0" w:color="auto"/>
            </w:tcBorders>
            <w:vAlign w:val="center"/>
          </w:tcPr>
          <w:p w14:paraId="480EABB8"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rPr>
              <w:t>4</w:t>
            </w:r>
          </w:p>
        </w:tc>
        <w:tc>
          <w:tcPr>
            <w:tcW w:w="1418" w:type="dxa"/>
            <w:tcBorders>
              <w:top w:val="nil"/>
              <w:left w:val="single" w:sz="4" w:space="0" w:color="auto"/>
              <w:bottom w:val="single" w:sz="4" w:space="0" w:color="auto"/>
              <w:right w:val="single" w:sz="4" w:space="0" w:color="auto"/>
            </w:tcBorders>
            <w:shd w:val="clear" w:color="auto" w:fill="auto"/>
            <w:vAlign w:val="center"/>
          </w:tcPr>
          <w:p w14:paraId="75DE9160" w14:textId="77777777" w:rsidR="00393842" w:rsidRPr="00393842" w:rsidRDefault="00393842" w:rsidP="00393842">
            <w:pPr>
              <w:jc w:val="left"/>
              <w:rPr>
                <w:rFonts w:ascii="仿宋" w:eastAsia="仿宋" w:hAnsi="仿宋" w:cs="宋体"/>
                <w:b/>
                <w:bCs/>
                <w:color w:val="000000"/>
                <w:sz w:val="24"/>
                <w:szCs w:val="24"/>
              </w:rPr>
            </w:pPr>
            <w:r w:rsidRPr="00393842">
              <w:rPr>
                <w:rFonts w:ascii="仿宋" w:eastAsia="仿宋" w:hAnsi="仿宋" w:cs="Times New Roman" w:hint="eastAsia"/>
                <w:color w:val="000000"/>
              </w:rPr>
              <w:t>光纤交换机</w:t>
            </w:r>
          </w:p>
        </w:tc>
        <w:tc>
          <w:tcPr>
            <w:tcW w:w="4779" w:type="dxa"/>
            <w:tcBorders>
              <w:top w:val="nil"/>
              <w:left w:val="single" w:sz="4" w:space="0" w:color="auto"/>
              <w:bottom w:val="single" w:sz="4" w:space="0" w:color="auto"/>
              <w:right w:val="single" w:sz="4" w:space="0" w:color="auto"/>
            </w:tcBorders>
            <w:shd w:val="clear" w:color="auto" w:fill="auto"/>
            <w:vAlign w:val="center"/>
          </w:tcPr>
          <w:p w14:paraId="767C006A" w14:textId="77777777" w:rsidR="00393842" w:rsidRPr="00393842" w:rsidRDefault="00393842" w:rsidP="00393842">
            <w:pPr>
              <w:jc w:val="left"/>
              <w:rPr>
                <w:rFonts w:ascii="仿宋" w:eastAsia="仿宋" w:hAnsi="仿宋" w:cs="Times New Roman"/>
                <w:color w:val="000000"/>
                <w:sz w:val="24"/>
                <w:szCs w:val="24"/>
              </w:rPr>
            </w:pPr>
            <w:r w:rsidRPr="00393842">
              <w:rPr>
                <w:rFonts w:ascii="仿宋" w:eastAsia="仿宋" w:hAnsi="仿宋" w:cs="Times New Roman" w:hint="eastAsia"/>
                <w:sz w:val="22"/>
              </w:rPr>
              <w:t>24口光纤交换机，端口：≥24个SFP，≥6个QSFP28。</w:t>
            </w:r>
          </w:p>
        </w:tc>
        <w:tc>
          <w:tcPr>
            <w:tcW w:w="737" w:type="dxa"/>
            <w:tcBorders>
              <w:top w:val="nil"/>
              <w:left w:val="single" w:sz="4" w:space="0" w:color="auto"/>
              <w:bottom w:val="single" w:sz="4" w:space="0" w:color="auto"/>
              <w:right w:val="single" w:sz="4" w:space="0" w:color="auto"/>
            </w:tcBorders>
            <w:shd w:val="clear" w:color="auto" w:fill="auto"/>
            <w:vAlign w:val="center"/>
          </w:tcPr>
          <w:p w14:paraId="0E28DC1F"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color w:val="000000"/>
                <w:sz w:val="24"/>
                <w:szCs w:val="24"/>
              </w:rPr>
              <w:t>1</w:t>
            </w:r>
          </w:p>
        </w:tc>
      </w:tr>
      <w:tr w:rsidR="00393842" w:rsidRPr="00393842" w14:paraId="7E1DAB38" w14:textId="77777777" w:rsidTr="0001634E">
        <w:trPr>
          <w:trHeight w:val="325"/>
        </w:trPr>
        <w:tc>
          <w:tcPr>
            <w:tcW w:w="817" w:type="dxa"/>
            <w:tcBorders>
              <w:top w:val="single" w:sz="4" w:space="0" w:color="auto"/>
              <w:left w:val="single" w:sz="4" w:space="0" w:color="auto"/>
              <w:bottom w:val="single" w:sz="4" w:space="0" w:color="auto"/>
              <w:right w:val="single" w:sz="4" w:space="0" w:color="auto"/>
            </w:tcBorders>
            <w:vAlign w:val="center"/>
          </w:tcPr>
          <w:p w14:paraId="6EE76543"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rPr>
              <w:t>5</w:t>
            </w:r>
          </w:p>
        </w:tc>
        <w:tc>
          <w:tcPr>
            <w:tcW w:w="1418" w:type="dxa"/>
            <w:tcBorders>
              <w:top w:val="nil"/>
              <w:left w:val="single" w:sz="4" w:space="0" w:color="auto"/>
              <w:bottom w:val="single" w:sz="4" w:space="0" w:color="auto"/>
              <w:right w:val="single" w:sz="4" w:space="0" w:color="auto"/>
            </w:tcBorders>
            <w:shd w:val="clear" w:color="auto" w:fill="auto"/>
            <w:vAlign w:val="center"/>
          </w:tcPr>
          <w:p w14:paraId="3E24B134" w14:textId="77777777" w:rsidR="00393842" w:rsidRPr="00393842" w:rsidRDefault="00393842" w:rsidP="00393842">
            <w:pPr>
              <w:jc w:val="left"/>
              <w:rPr>
                <w:rFonts w:ascii="仿宋" w:eastAsia="仿宋" w:hAnsi="仿宋" w:cs="Times New Roman"/>
                <w:sz w:val="24"/>
                <w:szCs w:val="24"/>
              </w:rPr>
            </w:pPr>
            <w:r w:rsidRPr="00393842">
              <w:rPr>
                <w:rFonts w:ascii="仿宋" w:eastAsia="仿宋" w:hAnsi="仿宋" w:cs="Times New Roman" w:hint="eastAsia"/>
                <w:color w:val="000000"/>
              </w:rPr>
              <w:t>精密空调</w:t>
            </w:r>
          </w:p>
        </w:tc>
        <w:tc>
          <w:tcPr>
            <w:tcW w:w="4779" w:type="dxa"/>
            <w:tcBorders>
              <w:top w:val="nil"/>
              <w:left w:val="single" w:sz="4" w:space="0" w:color="auto"/>
              <w:bottom w:val="single" w:sz="4" w:space="0" w:color="auto"/>
              <w:right w:val="single" w:sz="4" w:space="0" w:color="auto"/>
            </w:tcBorders>
            <w:shd w:val="clear" w:color="auto" w:fill="auto"/>
            <w:vAlign w:val="center"/>
          </w:tcPr>
          <w:p w14:paraId="20AEE718" w14:textId="77777777" w:rsidR="00393842" w:rsidRPr="00393842" w:rsidRDefault="00393842" w:rsidP="00393842">
            <w:pPr>
              <w:ind w:firstLine="440"/>
              <w:jc w:val="left"/>
              <w:rPr>
                <w:rFonts w:ascii="仿宋" w:eastAsia="仿宋" w:hAnsi="仿宋" w:cs="Times New Roman"/>
                <w:sz w:val="24"/>
                <w:szCs w:val="24"/>
              </w:rPr>
            </w:pPr>
            <w:r w:rsidRPr="00393842">
              <w:rPr>
                <w:rFonts w:ascii="仿宋" w:eastAsia="仿宋" w:hAnsi="仿宋" w:cs="Times New Roman" w:hint="eastAsia"/>
                <w:sz w:val="22"/>
              </w:rPr>
              <w:t>13KW上送风，恒温恒湿。</w:t>
            </w:r>
          </w:p>
        </w:tc>
        <w:tc>
          <w:tcPr>
            <w:tcW w:w="737" w:type="dxa"/>
            <w:tcBorders>
              <w:top w:val="nil"/>
              <w:left w:val="single" w:sz="4" w:space="0" w:color="auto"/>
              <w:bottom w:val="single" w:sz="4" w:space="0" w:color="auto"/>
              <w:right w:val="single" w:sz="4" w:space="0" w:color="auto"/>
            </w:tcBorders>
            <w:shd w:val="clear" w:color="auto" w:fill="auto"/>
            <w:vAlign w:val="center"/>
          </w:tcPr>
          <w:p w14:paraId="70E436F8"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color w:val="000000"/>
                <w:sz w:val="24"/>
                <w:szCs w:val="24"/>
              </w:rPr>
              <w:t>1</w:t>
            </w:r>
          </w:p>
        </w:tc>
      </w:tr>
      <w:tr w:rsidR="00393842" w:rsidRPr="00393842" w14:paraId="3414A681" w14:textId="77777777" w:rsidTr="0001634E">
        <w:trPr>
          <w:trHeight w:val="233"/>
        </w:trPr>
        <w:tc>
          <w:tcPr>
            <w:tcW w:w="817" w:type="dxa"/>
            <w:tcBorders>
              <w:top w:val="single" w:sz="4" w:space="0" w:color="auto"/>
              <w:left w:val="single" w:sz="4" w:space="0" w:color="auto"/>
              <w:bottom w:val="single" w:sz="4" w:space="0" w:color="auto"/>
              <w:right w:val="single" w:sz="4" w:space="0" w:color="auto"/>
            </w:tcBorders>
            <w:vAlign w:val="center"/>
          </w:tcPr>
          <w:p w14:paraId="533E8F89"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rPr>
              <w:t>6</w:t>
            </w:r>
          </w:p>
        </w:tc>
        <w:tc>
          <w:tcPr>
            <w:tcW w:w="1418" w:type="dxa"/>
            <w:tcBorders>
              <w:top w:val="nil"/>
              <w:left w:val="single" w:sz="4" w:space="0" w:color="auto"/>
              <w:bottom w:val="single" w:sz="4" w:space="0" w:color="auto"/>
              <w:right w:val="single" w:sz="4" w:space="0" w:color="auto"/>
            </w:tcBorders>
            <w:shd w:val="clear" w:color="auto" w:fill="auto"/>
            <w:vAlign w:val="center"/>
          </w:tcPr>
          <w:p w14:paraId="22154EEB" w14:textId="77777777" w:rsidR="00393842" w:rsidRPr="00393842" w:rsidRDefault="00393842" w:rsidP="00393842">
            <w:pPr>
              <w:jc w:val="left"/>
              <w:rPr>
                <w:rFonts w:ascii="仿宋" w:eastAsia="仿宋" w:hAnsi="仿宋" w:cs="Times New Roman"/>
                <w:sz w:val="24"/>
                <w:szCs w:val="24"/>
              </w:rPr>
            </w:pPr>
            <w:r w:rsidRPr="00393842">
              <w:rPr>
                <w:rFonts w:ascii="仿宋" w:eastAsia="仿宋" w:hAnsi="仿宋" w:cs="Times New Roman" w:hint="eastAsia"/>
                <w:color w:val="000000"/>
              </w:rPr>
              <w:t>应用数学科研平台系统-计算资源管理模块</w:t>
            </w:r>
          </w:p>
        </w:tc>
        <w:tc>
          <w:tcPr>
            <w:tcW w:w="4779" w:type="dxa"/>
            <w:tcBorders>
              <w:top w:val="nil"/>
              <w:left w:val="single" w:sz="4" w:space="0" w:color="auto"/>
              <w:bottom w:val="single" w:sz="4" w:space="0" w:color="auto"/>
              <w:right w:val="single" w:sz="4" w:space="0" w:color="auto"/>
            </w:tcBorders>
            <w:shd w:val="clear" w:color="auto" w:fill="auto"/>
          </w:tcPr>
          <w:p w14:paraId="2681402D"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1.可自由增加、修改和删除系统节点。</w:t>
            </w:r>
          </w:p>
          <w:p w14:paraId="4787B7AB"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2.可查看节点硬件资源配置，包括CPU,GPU，Mem和磁盘。</w:t>
            </w:r>
          </w:p>
          <w:p w14:paraId="3C9DF33D"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3.可将服务器资源在逻辑上划分为不同的分组，不同的分组设置不同的资源数量，满足不同项目组的资源使用和隔离需求。</w:t>
            </w:r>
          </w:p>
          <w:p w14:paraId="12893604"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4.系统支持对用户和分区设置资源的配额，包括CPU、GPU、Mem，用户使用的资源总和不能</w:t>
            </w:r>
            <w:r w:rsidRPr="00393842">
              <w:rPr>
                <w:rFonts w:ascii="仿宋" w:eastAsia="仿宋" w:hAnsi="仿宋" w:cs="Times New Roman" w:hint="eastAsia"/>
                <w:sz w:val="22"/>
              </w:rPr>
              <w:lastRenderedPageBreak/>
              <w:t>超过配额，分区任务消耗的资源总和不能超过配额。</w:t>
            </w:r>
          </w:p>
          <w:p w14:paraId="34E9FC8A"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5.当服务器，网络，GPU卡等硬件发生异常时，Web GUI上会显示相应的异常信息，提示用户进行处理。</w:t>
            </w:r>
          </w:p>
          <w:p w14:paraId="0F89FFBF"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6.系统可监控节点服务运行状态，可以在Web GUI上查看节点上重要服务是否运行正常。</w:t>
            </w:r>
          </w:p>
          <w:p w14:paraId="3C24EC0C"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7</w:t>
            </w:r>
            <w:r w:rsidRPr="00393842">
              <w:rPr>
                <w:rFonts w:ascii="仿宋" w:eastAsia="仿宋" w:hAnsi="仿宋" w:cs="Times New Roman"/>
                <w:sz w:val="22"/>
              </w:rPr>
              <w:t>.</w:t>
            </w:r>
            <w:r w:rsidRPr="00393842">
              <w:rPr>
                <w:rFonts w:ascii="仿宋" w:eastAsia="仿宋" w:hAnsi="仿宋" w:cs="Times New Roman" w:hint="eastAsia"/>
                <w:b/>
                <w:bCs/>
                <w:color w:val="000000"/>
                <w:sz w:val="24"/>
              </w:rPr>
              <w:t>#</w:t>
            </w:r>
            <w:r w:rsidRPr="00393842">
              <w:rPr>
                <w:rFonts w:ascii="仿宋" w:eastAsia="仿宋" w:hAnsi="仿宋" w:cs="Times New Roman" w:hint="eastAsia"/>
                <w:sz w:val="22"/>
              </w:rPr>
              <w:t>系统支持提供自主研发的存储监控、CPU、GPU、内存资源监控模块。其中Kubernetes的GPU资源监控功能弥补了目前常用云计算集群监控组件的不足。</w:t>
            </w:r>
          </w:p>
          <w:p w14:paraId="6F8061E5" w14:textId="77777777" w:rsidR="00393842" w:rsidRPr="00393842" w:rsidRDefault="00393842" w:rsidP="00393842">
            <w:pPr>
              <w:ind w:firstLine="440"/>
              <w:jc w:val="left"/>
              <w:rPr>
                <w:rFonts w:ascii="仿宋" w:eastAsia="仿宋" w:hAnsi="仿宋" w:cs="Times New Roman"/>
                <w:sz w:val="24"/>
                <w:szCs w:val="24"/>
              </w:rPr>
            </w:pPr>
            <w:r w:rsidRPr="00393842">
              <w:rPr>
                <w:rFonts w:ascii="仿宋" w:eastAsia="仿宋" w:hAnsi="仿宋" w:cs="Times New Roman"/>
                <w:sz w:val="22"/>
              </w:rPr>
              <w:t>8</w:t>
            </w:r>
            <w:r w:rsidRPr="00393842">
              <w:rPr>
                <w:rFonts w:ascii="仿宋" w:eastAsia="仿宋" w:hAnsi="仿宋" w:cs="Times New Roman" w:hint="eastAsia"/>
                <w:sz w:val="22"/>
              </w:rPr>
              <w:t>.可监控节点资源使用率，包括CPU使用率、GPU使用率、内存、硬盘等信息，并记录日志，可以在web界面上以图表方式查看历史信息。</w:t>
            </w:r>
          </w:p>
        </w:tc>
        <w:tc>
          <w:tcPr>
            <w:tcW w:w="737" w:type="dxa"/>
            <w:tcBorders>
              <w:top w:val="nil"/>
              <w:left w:val="single" w:sz="4" w:space="0" w:color="auto"/>
              <w:bottom w:val="single" w:sz="4" w:space="0" w:color="auto"/>
              <w:right w:val="single" w:sz="4" w:space="0" w:color="auto"/>
            </w:tcBorders>
            <w:shd w:val="clear" w:color="auto" w:fill="auto"/>
            <w:vAlign w:val="center"/>
          </w:tcPr>
          <w:p w14:paraId="2B3890B8"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color w:val="000000"/>
                <w:sz w:val="24"/>
                <w:szCs w:val="24"/>
              </w:rPr>
              <w:lastRenderedPageBreak/>
              <w:t>1</w:t>
            </w:r>
          </w:p>
        </w:tc>
      </w:tr>
      <w:tr w:rsidR="00393842" w:rsidRPr="00393842" w14:paraId="7E2E24B3" w14:textId="77777777" w:rsidTr="0001634E">
        <w:trPr>
          <w:trHeight w:val="111"/>
        </w:trPr>
        <w:tc>
          <w:tcPr>
            <w:tcW w:w="817" w:type="dxa"/>
            <w:tcBorders>
              <w:top w:val="single" w:sz="4" w:space="0" w:color="auto"/>
              <w:left w:val="single" w:sz="4" w:space="0" w:color="auto"/>
              <w:bottom w:val="single" w:sz="4" w:space="0" w:color="auto"/>
              <w:right w:val="single" w:sz="4" w:space="0" w:color="auto"/>
            </w:tcBorders>
            <w:vAlign w:val="center"/>
          </w:tcPr>
          <w:p w14:paraId="17447D88"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rPr>
              <w:t>7</w:t>
            </w:r>
          </w:p>
        </w:tc>
        <w:tc>
          <w:tcPr>
            <w:tcW w:w="1418" w:type="dxa"/>
            <w:tcBorders>
              <w:top w:val="nil"/>
              <w:left w:val="single" w:sz="4" w:space="0" w:color="auto"/>
              <w:bottom w:val="single" w:sz="4" w:space="0" w:color="auto"/>
              <w:right w:val="single" w:sz="4" w:space="0" w:color="auto"/>
            </w:tcBorders>
            <w:shd w:val="clear" w:color="auto" w:fill="auto"/>
            <w:vAlign w:val="center"/>
          </w:tcPr>
          <w:p w14:paraId="399075A4" w14:textId="77777777" w:rsidR="00393842" w:rsidRPr="00393842" w:rsidRDefault="00393842" w:rsidP="00393842">
            <w:pPr>
              <w:jc w:val="left"/>
              <w:rPr>
                <w:rFonts w:ascii="仿宋" w:eastAsia="仿宋" w:hAnsi="仿宋" w:cs="Times New Roman"/>
                <w:sz w:val="24"/>
                <w:szCs w:val="24"/>
              </w:rPr>
            </w:pPr>
            <w:r w:rsidRPr="00393842">
              <w:rPr>
                <w:rFonts w:ascii="仿宋" w:eastAsia="仿宋" w:hAnsi="仿宋" w:cs="Times New Roman" w:hint="eastAsia"/>
                <w:color w:val="000000"/>
              </w:rPr>
              <w:t>应用数学科研平台系统-基础软件系统模块</w:t>
            </w:r>
          </w:p>
        </w:tc>
        <w:tc>
          <w:tcPr>
            <w:tcW w:w="4779" w:type="dxa"/>
            <w:tcBorders>
              <w:top w:val="nil"/>
              <w:left w:val="single" w:sz="4" w:space="0" w:color="auto"/>
              <w:bottom w:val="single" w:sz="4" w:space="0" w:color="auto"/>
              <w:right w:val="single" w:sz="4" w:space="0" w:color="auto"/>
            </w:tcBorders>
            <w:shd w:val="clear" w:color="auto" w:fill="auto"/>
            <w:vAlign w:val="center"/>
          </w:tcPr>
          <w:p w14:paraId="75FDE6FF"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1.设备运输到指定地点前安装一些完整软件，方便实验室直接使用；</w:t>
            </w:r>
          </w:p>
          <w:p w14:paraId="2893BD59"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2.安装Ubuntu16.04系统和内装深度学习以及数值计算软件：Caffe、Tensorflow、GPU驱动、CUDA函数库、CUDNN库、GNU、C/C++编译器、LAPACK、Theano、Torch、PyTORCH、ANSYS、OPENCL、CUrand、Cusparse、cufft、cublas、Atlas等必要函数库以及并行编译环境。</w:t>
            </w:r>
          </w:p>
          <w:p w14:paraId="46D3CAC9"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3.提供开源或者试用的Intel Fortan/C/C++ 2012；Intel MKL，gotoblas数学库；Python, QT, PERL开发环境；MPI， MPICH, OPENMPI，PVM（经过优化的）；提供C++、FORTRAN编译器、调试器，数学函数库，MPI并行环境，调试、调优工具等。提供服务器所需的其他编译与并行环境；</w:t>
            </w:r>
          </w:p>
          <w:p w14:paraId="4617577D"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4.支持租户虚拟机组之间网络隔离，支持租户个人文件夹隔离，支持租户可通过统一的入口平台进行虚拟机的登陆和文件传输。</w:t>
            </w:r>
          </w:p>
          <w:p w14:paraId="0884216B"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5. 支持无代理跨物理主机的虚拟机USB映射，需要使用USB KEY时，无需再虚拟机上安装客户端插件，且虚拟机迁移到其它物理主机后，仍能正常使用迁移前所在物理主机上的USB资源，对于业务的自适应能力、使用便捷性更佳。</w:t>
            </w:r>
          </w:p>
          <w:p w14:paraId="5002B287" w14:textId="77777777" w:rsidR="00393842" w:rsidRPr="00393842" w:rsidRDefault="00393842" w:rsidP="00393842">
            <w:pPr>
              <w:ind w:firstLine="440"/>
              <w:jc w:val="left"/>
              <w:rPr>
                <w:rFonts w:ascii="仿宋" w:eastAsia="仿宋" w:hAnsi="仿宋" w:cs="Times New Roman"/>
                <w:sz w:val="24"/>
                <w:szCs w:val="24"/>
              </w:rPr>
            </w:pPr>
            <w:r w:rsidRPr="00393842">
              <w:rPr>
                <w:rFonts w:ascii="仿宋" w:eastAsia="仿宋" w:hAnsi="仿宋" w:cs="Times New Roman" w:hint="eastAsia"/>
                <w:sz w:val="22"/>
              </w:rPr>
              <w:t>6.支持虚拟机生命周期管理，且虚拟机到期自动执行关机操作(虚拟机不删除，释放GPU的资源)，关机之后GPU显卡可以被其他用户使用。并且用户可以重新申请GPU资源并开机进</w:t>
            </w:r>
            <w:r w:rsidRPr="00393842">
              <w:rPr>
                <w:rFonts w:ascii="仿宋" w:eastAsia="仿宋" w:hAnsi="仿宋" w:cs="Times New Roman" w:hint="eastAsia"/>
                <w:sz w:val="22"/>
              </w:rPr>
              <w:lastRenderedPageBreak/>
              <w:t>入下一个生命周期，该过程无需管理员介入审批。</w:t>
            </w:r>
          </w:p>
        </w:tc>
        <w:tc>
          <w:tcPr>
            <w:tcW w:w="737" w:type="dxa"/>
            <w:tcBorders>
              <w:top w:val="nil"/>
              <w:left w:val="single" w:sz="4" w:space="0" w:color="auto"/>
              <w:bottom w:val="single" w:sz="4" w:space="0" w:color="auto"/>
              <w:right w:val="single" w:sz="4" w:space="0" w:color="auto"/>
            </w:tcBorders>
            <w:shd w:val="clear" w:color="auto" w:fill="auto"/>
            <w:vAlign w:val="center"/>
          </w:tcPr>
          <w:p w14:paraId="1287C8C7"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color w:val="000000"/>
                <w:sz w:val="24"/>
                <w:szCs w:val="24"/>
              </w:rPr>
              <w:lastRenderedPageBreak/>
              <w:t>1</w:t>
            </w:r>
          </w:p>
        </w:tc>
      </w:tr>
      <w:tr w:rsidR="00393842" w:rsidRPr="00393842" w14:paraId="4DCCBC50" w14:textId="77777777" w:rsidTr="0001634E">
        <w:trPr>
          <w:trHeight w:val="377"/>
        </w:trPr>
        <w:tc>
          <w:tcPr>
            <w:tcW w:w="817" w:type="dxa"/>
            <w:tcBorders>
              <w:top w:val="single" w:sz="4" w:space="0" w:color="auto"/>
              <w:left w:val="single" w:sz="4" w:space="0" w:color="auto"/>
              <w:bottom w:val="single" w:sz="4" w:space="0" w:color="auto"/>
              <w:right w:val="single" w:sz="4" w:space="0" w:color="auto"/>
            </w:tcBorders>
            <w:vAlign w:val="center"/>
          </w:tcPr>
          <w:p w14:paraId="4B42DFE3"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rPr>
              <w:t>8</w:t>
            </w:r>
          </w:p>
        </w:tc>
        <w:tc>
          <w:tcPr>
            <w:tcW w:w="1418" w:type="dxa"/>
            <w:tcBorders>
              <w:top w:val="nil"/>
              <w:left w:val="single" w:sz="4" w:space="0" w:color="auto"/>
              <w:bottom w:val="single" w:sz="4" w:space="0" w:color="auto"/>
              <w:right w:val="single" w:sz="4" w:space="0" w:color="auto"/>
            </w:tcBorders>
            <w:shd w:val="clear" w:color="auto" w:fill="auto"/>
            <w:vAlign w:val="center"/>
          </w:tcPr>
          <w:p w14:paraId="5F93E0DA" w14:textId="77777777" w:rsidR="00393842" w:rsidRPr="00393842" w:rsidRDefault="00393842" w:rsidP="00393842">
            <w:pPr>
              <w:jc w:val="left"/>
              <w:rPr>
                <w:rFonts w:ascii="仿宋" w:eastAsia="仿宋" w:hAnsi="仿宋" w:cs="宋体"/>
                <w:bCs/>
                <w:color w:val="000000"/>
                <w:sz w:val="24"/>
                <w:szCs w:val="24"/>
              </w:rPr>
            </w:pPr>
            <w:r w:rsidRPr="00393842">
              <w:rPr>
                <w:rFonts w:ascii="仿宋" w:eastAsia="仿宋" w:hAnsi="仿宋" w:cs="Times New Roman" w:hint="eastAsia"/>
                <w:color w:val="000000"/>
              </w:rPr>
              <w:t>应用数学科研平台系统-模型训练功能模块</w:t>
            </w:r>
          </w:p>
        </w:tc>
        <w:tc>
          <w:tcPr>
            <w:tcW w:w="4779" w:type="dxa"/>
            <w:tcBorders>
              <w:top w:val="nil"/>
              <w:left w:val="single" w:sz="4" w:space="0" w:color="auto"/>
              <w:bottom w:val="single" w:sz="4" w:space="0" w:color="auto"/>
              <w:right w:val="single" w:sz="4" w:space="0" w:color="auto"/>
            </w:tcBorders>
            <w:shd w:val="clear" w:color="auto" w:fill="auto"/>
            <w:vAlign w:val="center"/>
          </w:tcPr>
          <w:p w14:paraId="4725FFC9"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1.支持用户在运行离线任务时可以设定工作目录。</w:t>
            </w:r>
          </w:p>
          <w:p w14:paraId="17D28DC6"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2.支持用户上传项目后，可以提交任务启动模型训练，提交任务需要指定入口程序、机器学习框架、资源需求、分区和使用的镜像。</w:t>
            </w:r>
          </w:p>
          <w:p w14:paraId="0395B0E9"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3.支持支持TensorFlow框架的多机多卡分布式训练。</w:t>
            </w:r>
          </w:p>
          <w:p w14:paraId="20B0952A"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4.支持在启动模型训练任务时，可通过key-value对的形式设置超参数。</w:t>
            </w:r>
          </w:p>
          <w:p w14:paraId="315740C7"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5.支持TensorFlow和Caffe训练任务可视化，显示loss和accuracy变化曲线。</w:t>
            </w:r>
          </w:p>
          <w:p w14:paraId="7B5CE7EF"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6.支持实时查看任务训练过程中的log输出。</w:t>
            </w:r>
          </w:p>
          <w:p w14:paraId="363AAD44"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7.支持查看当前被调度、正在运行，暂停和已完成的任务，删除、暂停和继续任务。</w:t>
            </w:r>
          </w:p>
          <w:p w14:paraId="0415E3D9"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8.支持查看任务程序入口、资源需求、分区、学习框架、开始结束时间和成功状态与消息。</w:t>
            </w:r>
          </w:p>
          <w:p w14:paraId="56D29CA6"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sz w:val="22"/>
              </w:rPr>
              <w:t>9</w:t>
            </w:r>
            <w:r w:rsidRPr="00393842">
              <w:rPr>
                <w:rFonts w:ascii="仿宋" w:eastAsia="仿宋" w:hAnsi="仿宋" w:cs="Times New Roman" w:hint="eastAsia"/>
                <w:sz w:val="22"/>
              </w:rPr>
              <w:t>.支持显示训练任务的CPU，GPU和Mem的实时使用率，任务运行结束时统计任务运行过程资源的使用情况。</w:t>
            </w:r>
          </w:p>
          <w:p w14:paraId="68D07B92"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w:t>
            </w:r>
            <w:r w:rsidRPr="00393842">
              <w:rPr>
                <w:rFonts w:ascii="仿宋" w:eastAsia="仿宋" w:hAnsi="仿宋" w:cs="Times New Roman"/>
                <w:sz w:val="22"/>
              </w:rPr>
              <w:t>0</w:t>
            </w:r>
            <w:r w:rsidRPr="00393842">
              <w:rPr>
                <w:rFonts w:ascii="仿宋" w:eastAsia="仿宋" w:hAnsi="仿宋" w:cs="Times New Roman" w:hint="eastAsia"/>
                <w:sz w:val="22"/>
              </w:rPr>
              <w:t>.支持根据任务的CPU、GPU和Mem的需求，以及对GPU卡型号的选择，动态调度任务到最优的节点上，保证资源使用的效率。</w:t>
            </w:r>
          </w:p>
          <w:p w14:paraId="21218621" w14:textId="77777777" w:rsidR="00393842" w:rsidRPr="00393842" w:rsidRDefault="00393842" w:rsidP="00393842">
            <w:pPr>
              <w:ind w:firstLine="440"/>
              <w:jc w:val="left"/>
              <w:rPr>
                <w:rFonts w:ascii="仿宋" w:eastAsia="仿宋" w:hAnsi="仿宋" w:cs="宋体"/>
                <w:bCs/>
                <w:color w:val="000000"/>
                <w:sz w:val="24"/>
                <w:szCs w:val="24"/>
              </w:rPr>
            </w:pPr>
            <w:r w:rsidRPr="00393842">
              <w:rPr>
                <w:rFonts w:ascii="仿宋" w:eastAsia="仿宋" w:hAnsi="仿宋" w:cs="Times New Roman" w:hint="eastAsia"/>
                <w:sz w:val="22"/>
              </w:rPr>
              <w:t>1</w:t>
            </w:r>
            <w:r w:rsidRPr="00393842">
              <w:rPr>
                <w:rFonts w:ascii="仿宋" w:eastAsia="仿宋" w:hAnsi="仿宋" w:cs="Times New Roman"/>
                <w:sz w:val="22"/>
              </w:rPr>
              <w:t>1</w:t>
            </w:r>
            <w:r w:rsidRPr="00393842">
              <w:rPr>
                <w:rFonts w:ascii="仿宋" w:eastAsia="仿宋" w:hAnsi="仿宋" w:cs="Times New Roman" w:hint="eastAsia"/>
                <w:sz w:val="22"/>
              </w:rPr>
              <w:t>.支持运行失败的任务会在指定次数内自动重启。</w:t>
            </w:r>
          </w:p>
        </w:tc>
        <w:tc>
          <w:tcPr>
            <w:tcW w:w="737" w:type="dxa"/>
            <w:tcBorders>
              <w:top w:val="nil"/>
              <w:left w:val="single" w:sz="4" w:space="0" w:color="auto"/>
              <w:bottom w:val="single" w:sz="4" w:space="0" w:color="auto"/>
              <w:right w:val="single" w:sz="4" w:space="0" w:color="auto"/>
            </w:tcBorders>
            <w:shd w:val="clear" w:color="auto" w:fill="auto"/>
            <w:vAlign w:val="center"/>
          </w:tcPr>
          <w:p w14:paraId="1E235DA8" w14:textId="77777777" w:rsidR="00393842" w:rsidRPr="00393842" w:rsidRDefault="00393842" w:rsidP="00393842">
            <w:pPr>
              <w:spacing w:line="240" w:lineRule="atLeast"/>
              <w:rPr>
                <w:rFonts w:ascii="仿宋" w:eastAsia="仿宋" w:hAnsi="仿宋" w:cs="Times New Roman"/>
                <w:sz w:val="24"/>
                <w:szCs w:val="24"/>
              </w:rPr>
            </w:pPr>
            <w:r w:rsidRPr="00393842">
              <w:rPr>
                <w:rFonts w:ascii="仿宋" w:eastAsia="仿宋" w:hAnsi="仿宋" w:cs="Times New Roman" w:hint="eastAsia"/>
                <w:color w:val="000000"/>
                <w:sz w:val="24"/>
                <w:szCs w:val="24"/>
              </w:rPr>
              <w:t>1</w:t>
            </w:r>
          </w:p>
        </w:tc>
      </w:tr>
      <w:tr w:rsidR="00393842" w:rsidRPr="00393842" w14:paraId="7610CFA1" w14:textId="77777777" w:rsidTr="0001634E">
        <w:trPr>
          <w:trHeight w:val="310"/>
        </w:trPr>
        <w:tc>
          <w:tcPr>
            <w:tcW w:w="817" w:type="dxa"/>
            <w:tcBorders>
              <w:top w:val="single" w:sz="4" w:space="0" w:color="auto"/>
              <w:left w:val="single" w:sz="4" w:space="0" w:color="auto"/>
              <w:bottom w:val="single" w:sz="4" w:space="0" w:color="auto"/>
              <w:right w:val="single" w:sz="4" w:space="0" w:color="auto"/>
            </w:tcBorders>
            <w:vAlign w:val="center"/>
          </w:tcPr>
          <w:p w14:paraId="42613170"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rPr>
              <w:t>9</w:t>
            </w:r>
          </w:p>
        </w:tc>
        <w:tc>
          <w:tcPr>
            <w:tcW w:w="1418" w:type="dxa"/>
            <w:tcBorders>
              <w:top w:val="nil"/>
              <w:left w:val="single" w:sz="4" w:space="0" w:color="auto"/>
              <w:bottom w:val="single" w:sz="4" w:space="0" w:color="auto"/>
              <w:right w:val="single" w:sz="4" w:space="0" w:color="auto"/>
            </w:tcBorders>
            <w:shd w:val="clear" w:color="auto" w:fill="auto"/>
            <w:vAlign w:val="center"/>
          </w:tcPr>
          <w:p w14:paraId="25B27081" w14:textId="77777777" w:rsidR="00393842" w:rsidRPr="00393842" w:rsidRDefault="00393842" w:rsidP="00393842">
            <w:pPr>
              <w:jc w:val="left"/>
              <w:rPr>
                <w:rFonts w:ascii="仿宋" w:eastAsia="仿宋" w:hAnsi="仿宋" w:cs="宋体"/>
                <w:bCs/>
                <w:color w:val="000000"/>
                <w:sz w:val="24"/>
                <w:szCs w:val="24"/>
              </w:rPr>
            </w:pPr>
            <w:r w:rsidRPr="00393842">
              <w:rPr>
                <w:rFonts w:ascii="仿宋" w:eastAsia="仿宋" w:hAnsi="仿宋" w:cs="Times New Roman" w:hint="eastAsia"/>
                <w:color w:val="000000"/>
              </w:rPr>
              <w:t>应用数学科研平台系统-数据存储功能模块</w:t>
            </w:r>
          </w:p>
        </w:tc>
        <w:tc>
          <w:tcPr>
            <w:tcW w:w="4779" w:type="dxa"/>
            <w:tcBorders>
              <w:top w:val="nil"/>
              <w:left w:val="single" w:sz="4" w:space="0" w:color="auto"/>
              <w:bottom w:val="single" w:sz="4" w:space="0" w:color="auto"/>
              <w:right w:val="single" w:sz="4" w:space="0" w:color="auto"/>
            </w:tcBorders>
            <w:shd w:val="clear" w:color="auto" w:fill="auto"/>
            <w:vAlign w:val="center"/>
          </w:tcPr>
          <w:p w14:paraId="4992BE09"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1.支持一体式分布式存储，系统支持在节点上构建分布式存储，计算存储一体，无需独立的存储系统。</w:t>
            </w:r>
          </w:p>
          <w:p w14:paraId="1D912973"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2.分布式存储支持IB高速网络和RDMA，数据读写效率高。</w:t>
            </w:r>
          </w:p>
          <w:p w14:paraId="64EFF3DF"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3.支持NAS共享存储。</w:t>
            </w:r>
          </w:p>
          <w:p w14:paraId="646B9CB5"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4.支持创建分布式卷、冗余卷以及条带化卷。</w:t>
            </w:r>
          </w:p>
          <w:p w14:paraId="0F67BEC6"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5.支持查看卷的使用百分比，展示卷关联用户的使用空间统计排名。</w:t>
            </w:r>
          </w:p>
          <w:p w14:paraId="1A0E5E71"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6.支持数据上传、下载、删除、压缩、解压、复制、移动和内容浏览。</w:t>
            </w:r>
          </w:p>
          <w:p w14:paraId="3449C47B"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7.支持通过ftp上传和下载大数据，FTP文件上传支持SSL传输，大文件移动复制操作的进度显示。</w:t>
            </w:r>
          </w:p>
          <w:p w14:paraId="0D037BB4"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8</w:t>
            </w:r>
            <w:r w:rsidRPr="00393842">
              <w:rPr>
                <w:rFonts w:ascii="仿宋" w:eastAsia="仿宋" w:hAnsi="仿宋" w:cs="Times New Roman"/>
                <w:sz w:val="22"/>
              </w:rPr>
              <w:t>.</w:t>
            </w:r>
            <w:r w:rsidRPr="00393842">
              <w:rPr>
                <w:rFonts w:ascii="仿宋" w:eastAsia="仿宋" w:hAnsi="仿宋" w:cs="Times New Roman" w:hint="eastAsia"/>
                <w:b/>
                <w:bCs/>
                <w:color w:val="000000"/>
                <w:sz w:val="24"/>
              </w:rPr>
              <w:t>#</w:t>
            </w:r>
            <w:r w:rsidRPr="00393842">
              <w:rPr>
                <w:rFonts w:ascii="仿宋" w:eastAsia="仿宋" w:hAnsi="仿宋" w:cs="Times New Roman" w:hint="eastAsia"/>
                <w:sz w:val="22"/>
              </w:rPr>
              <w:t>系统支持基于图像界面一键创建分布式MySQL，Redis或MongoDB集群，并使用图像界面进行集群节点的控制。</w:t>
            </w:r>
          </w:p>
          <w:p w14:paraId="59AD53C6"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sz w:val="22"/>
              </w:rPr>
              <w:t>9</w:t>
            </w:r>
            <w:r w:rsidRPr="00393842">
              <w:rPr>
                <w:rFonts w:ascii="仿宋" w:eastAsia="仿宋" w:hAnsi="仿宋" w:cs="Times New Roman" w:hint="eastAsia"/>
                <w:sz w:val="22"/>
              </w:rPr>
              <w:t>.支持自动创建公共数据空间，由管理员维</w:t>
            </w:r>
            <w:r w:rsidRPr="00393842">
              <w:rPr>
                <w:rFonts w:ascii="仿宋" w:eastAsia="仿宋" w:hAnsi="仿宋" w:cs="Times New Roman" w:hint="eastAsia"/>
                <w:sz w:val="22"/>
              </w:rPr>
              <w:lastRenderedPageBreak/>
              <w:t>护，所有用户均可以读取和使用公共数据。</w:t>
            </w:r>
          </w:p>
          <w:p w14:paraId="6973B349"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sz w:val="22"/>
              </w:rPr>
              <w:t>10</w:t>
            </w:r>
            <w:r w:rsidRPr="00393842">
              <w:rPr>
                <w:rFonts w:ascii="仿宋" w:eastAsia="仿宋" w:hAnsi="仿宋" w:cs="Times New Roman" w:hint="eastAsia"/>
                <w:sz w:val="22"/>
              </w:rPr>
              <w:t>.支持把私有数据共享给组和用户，支持取消共享；共享的数据可以被目的用户读取和拷贝。</w:t>
            </w:r>
          </w:p>
          <w:p w14:paraId="16B1E7FD"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w:t>
            </w:r>
            <w:r w:rsidRPr="00393842">
              <w:rPr>
                <w:rFonts w:ascii="仿宋" w:eastAsia="仿宋" w:hAnsi="仿宋" w:cs="Times New Roman"/>
                <w:sz w:val="22"/>
              </w:rPr>
              <w:t>1</w:t>
            </w:r>
            <w:r w:rsidRPr="00393842">
              <w:rPr>
                <w:rFonts w:ascii="仿宋" w:eastAsia="仿宋" w:hAnsi="仿宋" w:cs="Times New Roman" w:hint="eastAsia"/>
                <w:sz w:val="22"/>
              </w:rPr>
              <w:t>.针对用户指定存储空间配额，用户存储空间大小不能超过配额限制。</w:t>
            </w:r>
          </w:p>
          <w:p w14:paraId="421DA10A" w14:textId="77777777" w:rsidR="00393842" w:rsidRPr="00393842" w:rsidRDefault="00393842" w:rsidP="00393842">
            <w:pPr>
              <w:ind w:firstLine="440"/>
              <w:jc w:val="left"/>
              <w:rPr>
                <w:rFonts w:ascii="仿宋" w:eastAsia="仿宋" w:hAnsi="仿宋" w:cs="宋体"/>
                <w:bCs/>
                <w:color w:val="000000"/>
                <w:sz w:val="24"/>
                <w:szCs w:val="24"/>
              </w:rPr>
            </w:pPr>
            <w:r w:rsidRPr="00393842">
              <w:rPr>
                <w:rFonts w:ascii="仿宋" w:eastAsia="仿宋" w:hAnsi="仿宋" w:cs="Times New Roman" w:hint="eastAsia"/>
                <w:sz w:val="22"/>
              </w:rPr>
              <w:t>1</w:t>
            </w:r>
            <w:r w:rsidRPr="00393842">
              <w:rPr>
                <w:rFonts w:ascii="仿宋" w:eastAsia="仿宋" w:hAnsi="仿宋" w:cs="Times New Roman"/>
                <w:sz w:val="22"/>
              </w:rPr>
              <w:t>2</w:t>
            </w:r>
            <w:r w:rsidRPr="00393842">
              <w:rPr>
                <w:rFonts w:ascii="仿宋" w:eastAsia="仿宋" w:hAnsi="仿宋" w:cs="Times New Roman" w:hint="eastAsia"/>
                <w:sz w:val="22"/>
              </w:rPr>
              <w:t>.支持对大文件移动复制操作的进度显示。</w:t>
            </w:r>
          </w:p>
        </w:tc>
        <w:tc>
          <w:tcPr>
            <w:tcW w:w="737" w:type="dxa"/>
            <w:tcBorders>
              <w:top w:val="nil"/>
              <w:left w:val="single" w:sz="4" w:space="0" w:color="auto"/>
              <w:bottom w:val="single" w:sz="4" w:space="0" w:color="auto"/>
              <w:right w:val="single" w:sz="4" w:space="0" w:color="auto"/>
            </w:tcBorders>
            <w:shd w:val="clear" w:color="auto" w:fill="auto"/>
            <w:vAlign w:val="center"/>
          </w:tcPr>
          <w:p w14:paraId="05B7C518" w14:textId="77777777" w:rsidR="00393842" w:rsidRPr="00393842" w:rsidRDefault="00393842" w:rsidP="00393842">
            <w:pPr>
              <w:spacing w:line="240" w:lineRule="atLeast"/>
              <w:rPr>
                <w:rFonts w:ascii="仿宋" w:eastAsia="仿宋" w:hAnsi="仿宋" w:cs="Times New Roman"/>
                <w:sz w:val="24"/>
                <w:szCs w:val="24"/>
              </w:rPr>
            </w:pPr>
            <w:r w:rsidRPr="00393842">
              <w:rPr>
                <w:rFonts w:ascii="仿宋" w:eastAsia="仿宋" w:hAnsi="仿宋" w:cs="Times New Roman" w:hint="eastAsia"/>
                <w:color w:val="000000"/>
                <w:sz w:val="24"/>
                <w:szCs w:val="24"/>
              </w:rPr>
              <w:lastRenderedPageBreak/>
              <w:t>1</w:t>
            </w:r>
          </w:p>
        </w:tc>
      </w:tr>
      <w:tr w:rsidR="00393842" w:rsidRPr="00393842" w14:paraId="17061F7F" w14:textId="77777777" w:rsidTr="0001634E">
        <w:trPr>
          <w:trHeight w:val="222"/>
        </w:trPr>
        <w:tc>
          <w:tcPr>
            <w:tcW w:w="817" w:type="dxa"/>
            <w:tcBorders>
              <w:top w:val="single" w:sz="4" w:space="0" w:color="auto"/>
              <w:left w:val="single" w:sz="4" w:space="0" w:color="auto"/>
              <w:bottom w:val="single" w:sz="4" w:space="0" w:color="auto"/>
              <w:right w:val="single" w:sz="4" w:space="0" w:color="auto"/>
            </w:tcBorders>
            <w:vAlign w:val="center"/>
          </w:tcPr>
          <w:p w14:paraId="7DFA503E"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rPr>
              <w:t>1</w:t>
            </w:r>
            <w:r w:rsidRPr="00393842">
              <w:rPr>
                <w:rFonts w:ascii="仿宋" w:eastAsia="仿宋" w:hAnsi="仿宋" w:cs="Times New Roman"/>
              </w:rPr>
              <w:t>0</w:t>
            </w:r>
          </w:p>
        </w:tc>
        <w:tc>
          <w:tcPr>
            <w:tcW w:w="1418" w:type="dxa"/>
            <w:tcBorders>
              <w:top w:val="nil"/>
              <w:left w:val="single" w:sz="4" w:space="0" w:color="auto"/>
              <w:bottom w:val="single" w:sz="4" w:space="0" w:color="auto"/>
              <w:right w:val="single" w:sz="4" w:space="0" w:color="auto"/>
            </w:tcBorders>
            <w:shd w:val="clear" w:color="auto" w:fill="auto"/>
            <w:vAlign w:val="center"/>
          </w:tcPr>
          <w:p w14:paraId="06E54500" w14:textId="77777777" w:rsidR="00393842" w:rsidRPr="00393842" w:rsidRDefault="00393842" w:rsidP="00393842">
            <w:pPr>
              <w:jc w:val="left"/>
              <w:rPr>
                <w:rFonts w:ascii="仿宋" w:eastAsia="仿宋" w:hAnsi="仿宋" w:cs="宋体"/>
                <w:bCs/>
                <w:color w:val="000000"/>
                <w:sz w:val="24"/>
                <w:szCs w:val="24"/>
              </w:rPr>
            </w:pPr>
            <w:r w:rsidRPr="00393842">
              <w:rPr>
                <w:rFonts w:ascii="仿宋" w:eastAsia="仿宋" w:hAnsi="仿宋" w:cs="Times New Roman" w:hint="eastAsia"/>
                <w:color w:val="000000"/>
              </w:rPr>
              <w:t>应用数学科研平台系统-镜像管理模块</w:t>
            </w:r>
          </w:p>
        </w:tc>
        <w:tc>
          <w:tcPr>
            <w:tcW w:w="4779" w:type="dxa"/>
            <w:tcBorders>
              <w:top w:val="nil"/>
              <w:left w:val="single" w:sz="4" w:space="0" w:color="auto"/>
              <w:bottom w:val="single" w:sz="4" w:space="0" w:color="auto"/>
              <w:right w:val="single" w:sz="4" w:space="0" w:color="auto"/>
            </w:tcBorders>
            <w:shd w:val="clear" w:color="auto" w:fill="auto"/>
            <w:vAlign w:val="center"/>
          </w:tcPr>
          <w:p w14:paraId="2494C8D3"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1.运行中容器可保存为镜像。</w:t>
            </w:r>
          </w:p>
          <w:p w14:paraId="7AE9067D"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2.本地环境可pull和push镜像。</w:t>
            </w:r>
          </w:p>
          <w:p w14:paraId="58AAE052"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3.可通过Docker exec console配置镜像并保存。</w:t>
            </w:r>
          </w:p>
          <w:p w14:paraId="2E6C8DD2"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4.镜像制作功能允许用户自定义python package。</w:t>
            </w:r>
          </w:p>
          <w:p w14:paraId="15897793"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5.启动任务时通过label匹配正确的镜像，加载列表。</w:t>
            </w:r>
          </w:p>
          <w:p w14:paraId="55BD046A"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6.系统自带docker镜像仓库，实现镜像的保存，推送和下载。</w:t>
            </w:r>
          </w:p>
          <w:p w14:paraId="4F5F3152"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7.用户可镜像库中下载各个版本的经过订制的深度学习镜像。</w:t>
            </w:r>
          </w:p>
          <w:p w14:paraId="11F3F653"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8.用户可查看镜像仓库中的镜像列表，查看镜像的名称、标签、创建时间等信息。</w:t>
            </w:r>
          </w:p>
          <w:p w14:paraId="573D9855"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9.用户可查看镜像的OS类型、kernel的版本、python版本以及安装的packages、python3版本以及安装的packages。                                                            10.用户可上传docker镜像tar包并保存到镜像仓库；上传Dockerfile，系统生成镜像并保存到镜像仓库。</w:t>
            </w:r>
          </w:p>
          <w:p w14:paraId="7109C7F9"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11.用户可从docker hub搜索、下载镜像并保存到镜像仓库。</w:t>
            </w:r>
          </w:p>
          <w:p w14:paraId="1F498628"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12.用户可选定基础镜像和需要安装的python packages，制作新的镜像并保存到镜像仓库。</w:t>
            </w:r>
          </w:p>
          <w:p w14:paraId="62AC792E"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13.用户可对镜像上传、下载和定制，显示详细进度和消息。</w:t>
            </w:r>
          </w:p>
          <w:p w14:paraId="0DB1D2F3"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14.用户可启动选定镜像为容器，用户通过ssh登录到console，安装packages，配置环境，完成后提交为新的镜像。</w:t>
            </w:r>
          </w:p>
          <w:p w14:paraId="79F663B4"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15.镜像分为公共镜像和私有镜像，公共镜像由管理员维护，所有用户均可读取。用户私有镜像相互隔离，无法相互访问。</w:t>
            </w:r>
          </w:p>
          <w:p w14:paraId="7C5BEFC4" w14:textId="77777777" w:rsidR="00393842" w:rsidRPr="00393842" w:rsidRDefault="00393842" w:rsidP="00393842">
            <w:pPr>
              <w:jc w:val="left"/>
              <w:rPr>
                <w:rFonts w:ascii="仿宋" w:eastAsia="仿宋" w:hAnsi="仿宋" w:cs="宋体"/>
                <w:bCs/>
                <w:color w:val="000000"/>
                <w:sz w:val="24"/>
                <w:szCs w:val="24"/>
              </w:rPr>
            </w:pPr>
            <w:r w:rsidRPr="00393842">
              <w:rPr>
                <w:rFonts w:ascii="仿宋" w:eastAsia="仿宋" w:hAnsi="仿宋" w:cs="Times New Roman" w:hint="eastAsia"/>
                <w:sz w:val="22"/>
              </w:rPr>
              <w:t>16.系统内置tensorflow、caffe、pytorch和tensorboard等镜像。</w:t>
            </w:r>
          </w:p>
        </w:tc>
        <w:tc>
          <w:tcPr>
            <w:tcW w:w="737" w:type="dxa"/>
            <w:tcBorders>
              <w:top w:val="nil"/>
              <w:left w:val="single" w:sz="4" w:space="0" w:color="auto"/>
              <w:bottom w:val="single" w:sz="4" w:space="0" w:color="auto"/>
              <w:right w:val="single" w:sz="4" w:space="0" w:color="auto"/>
            </w:tcBorders>
            <w:shd w:val="clear" w:color="auto" w:fill="auto"/>
            <w:vAlign w:val="center"/>
          </w:tcPr>
          <w:p w14:paraId="6E0A2A50"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color w:val="000000"/>
                <w:sz w:val="24"/>
                <w:szCs w:val="24"/>
              </w:rPr>
              <w:t>1</w:t>
            </w:r>
          </w:p>
        </w:tc>
      </w:tr>
      <w:tr w:rsidR="00393842" w:rsidRPr="00393842" w14:paraId="3DCD8ED0" w14:textId="77777777" w:rsidTr="0001634E">
        <w:trPr>
          <w:trHeight w:val="155"/>
        </w:trPr>
        <w:tc>
          <w:tcPr>
            <w:tcW w:w="817" w:type="dxa"/>
            <w:tcBorders>
              <w:top w:val="single" w:sz="4" w:space="0" w:color="auto"/>
              <w:left w:val="single" w:sz="4" w:space="0" w:color="auto"/>
              <w:bottom w:val="single" w:sz="4" w:space="0" w:color="auto"/>
              <w:right w:val="single" w:sz="4" w:space="0" w:color="auto"/>
            </w:tcBorders>
            <w:vAlign w:val="center"/>
          </w:tcPr>
          <w:p w14:paraId="60F31C48"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rPr>
              <w:t>1</w:t>
            </w:r>
            <w:r w:rsidRPr="00393842">
              <w:rPr>
                <w:rFonts w:ascii="仿宋" w:eastAsia="仿宋" w:hAnsi="仿宋" w:cs="Times New Roman"/>
              </w:rPr>
              <w:t>1</w:t>
            </w:r>
          </w:p>
        </w:tc>
        <w:tc>
          <w:tcPr>
            <w:tcW w:w="1418" w:type="dxa"/>
            <w:tcBorders>
              <w:top w:val="nil"/>
              <w:left w:val="single" w:sz="4" w:space="0" w:color="auto"/>
              <w:bottom w:val="single" w:sz="4" w:space="0" w:color="auto"/>
              <w:right w:val="single" w:sz="4" w:space="0" w:color="auto"/>
            </w:tcBorders>
            <w:shd w:val="clear" w:color="auto" w:fill="auto"/>
            <w:vAlign w:val="center"/>
          </w:tcPr>
          <w:p w14:paraId="6990EB7E" w14:textId="77777777" w:rsidR="00393842" w:rsidRPr="00393842" w:rsidRDefault="00393842" w:rsidP="00393842">
            <w:pPr>
              <w:jc w:val="left"/>
              <w:rPr>
                <w:rFonts w:ascii="仿宋" w:eastAsia="仿宋" w:hAnsi="仿宋" w:cs="宋体"/>
                <w:bCs/>
                <w:color w:val="000000"/>
                <w:sz w:val="24"/>
                <w:szCs w:val="24"/>
              </w:rPr>
            </w:pPr>
            <w:r w:rsidRPr="00393842">
              <w:rPr>
                <w:rFonts w:ascii="仿宋" w:eastAsia="仿宋" w:hAnsi="仿宋" w:cs="Times New Roman" w:hint="eastAsia"/>
                <w:color w:val="000000"/>
              </w:rPr>
              <w:t>应用数学科研平台系统-</w:t>
            </w:r>
            <w:r w:rsidRPr="00393842">
              <w:rPr>
                <w:rFonts w:ascii="仿宋" w:eastAsia="仿宋" w:hAnsi="仿宋" w:cs="Times New Roman" w:hint="eastAsia"/>
                <w:color w:val="000000"/>
              </w:rPr>
              <w:lastRenderedPageBreak/>
              <w:t>资源管理功能模块</w:t>
            </w:r>
          </w:p>
        </w:tc>
        <w:tc>
          <w:tcPr>
            <w:tcW w:w="4779" w:type="dxa"/>
            <w:tcBorders>
              <w:top w:val="nil"/>
              <w:left w:val="single" w:sz="4" w:space="0" w:color="auto"/>
              <w:bottom w:val="single" w:sz="4" w:space="0" w:color="auto"/>
              <w:right w:val="single" w:sz="4" w:space="0" w:color="auto"/>
            </w:tcBorders>
            <w:shd w:val="clear" w:color="auto" w:fill="auto"/>
            <w:vAlign w:val="center"/>
          </w:tcPr>
          <w:p w14:paraId="77A72BD8"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lastRenderedPageBreak/>
              <w:t>1.可自由增加、修改和删除系统节点。</w:t>
            </w:r>
          </w:p>
          <w:p w14:paraId="6349ECF6"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2.可查看节点硬件资源配置，包括CPU,GPU，</w:t>
            </w:r>
            <w:r w:rsidRPr="00393842">
              <w:rPr>
                <w:rFonts w:ascii="仿宋" w:eastAsia="仿宋" w:hAnsi="仿宋" w:cs="Times New Roman" w:hint="eastAsia"/>
                <w:sz w:val="22"/>
              </w:rPr>
              <w:lastRenderedPageBreak/>
              <w:t>Mem和磁盘。</w:t>
            </w:r>
          </w:p>
          <w:p w14:paraId="26147DFF"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3.可将服务器资源在逻辑上划分为不同的分组，不同的分组设置不同的资源数量，满足不同项目组的资源使用和隔离需求。</w:t>
            </w:r>
          </w:p>
          <w:p w14:paraId="7B32774D"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4.系统支持对用户和分区设置资源的配额，包括CPU、GPU、Mem，用户使用的资源总和不能超过配额，分区任务消耗的资源总和不能超过配额。</w:t>
            </w:r>
          </w:p>
          <w:p w14:paraId="5A17B2BE"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5.当服务器，网络，GPU卡等硬件发生异常时，Web GUI上会显示相应的异常信息，提示用户进行处理。</w:t>
            </w:r>
          </w:p>
          <w:p w14:paraId="5A3100E8"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6.系统可监控节点服务运行状态，可以在Web GUI上查看节点上重要服务是否运行正常。</w:t>
            </w:r>
          </w:p>
          <w:p w14:paraId="24FCB4FA"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7.可监控节点资源使用率，包括CPU使用率，GPU使用率，内存，硬盘等信息，并记录日志，可以在web界面上以图表方式查看历史信息。</w:t>
            </w:r>
          </w:p>
          <w:p w14:paraId="0DB7957E"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sz w:val="22"/>
              </w:rPr>
              <w:t>8</w:t>
            </w:r>
            <w:r w:rsidRPr="00393842">
              <w:rPr>
                <w:rFonts w:ascii="仿宋" w:eastAsia="仿宋" w:hAnsi="仿宋" w:cs="Times New Roman" w:hint="eastAsia"/>
                <w:sz w:val="22"/>
              </w:rPr>
              <w:t>.可对用户组进行管理。支持用户组创建、删除，角色设定，将用户加入或移出用户组等。</w:t>
            </w:r>
          </w:p>
          <w:p w14:paraId="56EEBEDD"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sz w:val="22"/>
              </w:rPr>
              <w:t>9</w:t>
            </w:r>
            <w:r w:rsidRPr="00393842">
              <w:rPr>
                <w:rFonts w:ascii="仿宋" w:eastAsia="仿宋" w:hAnsi="仿宋" w:cs="Times New Roman" w:hint="eastAsia"/>
                <w:sz w:val="22"/>
              </w:rPr>
              <w:t>.对用户进行管理。支持用户创建、删除、用户组、分区、存储卷和资源配额设定。</w:t>
            </w:r>
          </w:p>
          <w:p w14:paraId="201D180D"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w:t>
            </w:r>
            <w:r w:rsidRPr="00393842">
              <w:rPr>
                <w:rFonts w:ascii="仿宋" w:eastAsia="仿宋" w:hAnsi="仿宋" w:cs="Times New Roman"/>
                <w:sz w:val="22"/>
              </w:rPr>
              <w:t>0.</w:t>
            </w:r>
            <w:r w:rsidRPr="00393842">
              <w:rPr>
                <w:rFonts w:ascii="仿宋" w:eastAsia="仿宋" w:hAnsi="仿宋" w:cs="Times New Roman" w:hint="eastAsia"/>
                <w:sz w:val="22"/>
              </w:rPr>
              <w:t>★系统支持提供云上分布式爬虫管理框架，可以在基于图像界面部署、启动与管理分布式爬虫集群，并利用其进行分布式数据获取；系统支持一键创建分布式大数据集群，并在图形界面选择向添加大数据集群中添加hdfs，zookeeper，hive，hbase，spark，kafka，flink等大数据组件。</w:t>
            </w:r>
          </w:p>
          <w:p w14:paraId="1730768E"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w:t>
            </w:r>
            <w:r w:rsidRPr="00393842">
              <w:rPr>
                <w:rFonts w:ascii="仿宋" w:eastAsia="仿宋" w:hAnsi="仿宋" w:cs="Times New Roman"/>
                <w:sz w:val="22"/>
              </w:rPr>
              <w:t>1</w:t>
            </w:r>
            <w:r w:rsidRPr="00393842">
              <w:rPr>
                <w:rFonts w:ascii="仿宋" w:eastAsia="仿宋" w:hAnsi="仿宋" w:cs="Times New Roman" w:hint="eastAsia"/>
                <w:sz w:val="22"/>
              </w:rPr>
              <w:t>.对用户的CPU、GPU、Mem和存储配额进行设定，限定用户能使用的资源数量。</w:t>
            </w:r>
          </w:p>
          <w:p w14:paraId="3940D22B"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w:t>
            </w:r>
            <w:r w:rsidRPr="00393842">
              <w:rPr>
                <w:rFonts w:ascii="仿宋" w:eastAsia="仿宋" w:hAnsi="仿宋" w:cs="Times New Roman"/>
                <w:sz w:val="22"/>
              </w:rPr>
              <w:t>2</w:t>
            </w:r>
            <w:r w:rsidRPr="00393842">
              <w:rPr>
                <w:rFonts w:ascii="仿宋" w:eastAsia="仿宋" w:hAnsi="仿宋" w:cs="Times New Roman" w:hint="eastAsia"/>
                <w:sz w:val="22"/>
              </w:rPr>
              <w:t>.针对系统各功能模块，定义不同的角色。通过用户组的角色设定为不同的用户设置不同的角色。</w:t>
            </w:r>
          </w:p>
          <w:p w14:paraId="06CB9863"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w:t>
            </w:r>
            <w:r w:rsidRPr="00393842">
              <w:rPr>
                <w:rFonts w:ascii="仿宋" w:eastAsia="仿宋" w:hAnsi="仿宋" w:cs="Times New Roman"/>
                <w:sz w:val="22"/>
              </w:rPr>
              <w:t>3</w:t>
            </w:r>
            <w:r w:rsidRPr="00393842">
              <w:rPr>
                <w:rFonts w:ascii="仿宋" w:eastAsia="仿宋" w:hAnsi="仿宋" w:cs="Times New Roman" w:hint="eastAsia"/>
                <w:sz w:val="22"/>
              </w:rPr>
              <w:t>.系统对不同的角色有不同的功能授权，只有特定角色的用户才能访问系统特定的功能（对所有用户接口都有效）。</w:t>
            </w:r>
          </w:p>
          <w:p w14:paraId="4BA1BC7F" w14:textId="77777777" w:rsidR="00393842" w:rsidRPr="00393842" w:rsidRDefault="00393842" w:rsidP="00393842">
            <w:pPr>
              <w:jc w:val="left"/>
              <w:rPr>
                <w:rFonts w:ascii="仿宋" w:eastAsia="仿宋" w:hAnsi="仿宋" w:cs="宋体"/>
                <w:bCs/>
                <w:color w:val="000000"/>
                <w:sz w:val="24"/>
                <w:szCs w:val="24"/>
              </w:rPr>
            </w:pPr>
            <w:r w:rsidRPr="00393842">
              <w:rPr>
                <w:rFonts w:ascii="仿宋" w:eastAsia="仿宋" w:hAnsi="仿宋" w:cs="Times New Roman" w:hint="eastAsia"/>
                <w:sz w:val="22"/>
              </w:rPr>
              <w:t>1</w:t>
            </w:r>
            <w:r w:rsidRPr="00393842">
              <w:rPr>
                <w:rFonts w:ascii="仿宋" w:eastAsia="仿宋" w:hAnsi="仿宋" w:cs="Times New Roman"/>
                <w:sz w:val="22"/>
              </w:rPr>
              <w:t>4</w:t>
            </w:r>
            <w:r w:rsidRPr="00393842">
              <w:rPr>
                <w:rFonts w:ascii="仿宋" w:eastAsia="仿宋" w:hAnsi="仿宋" w:cs="Times New Roman" w:hint="eastAsia"/>
                <w:sz w:val="22"/>
              </w:rPr>
              <w:t>.用户的数据存储空间相互隔离，每个用户只能访问各自空间中的数据，无法越界访问未授权的数据。                                                                       1</w:t>
            </w:r>
            <w:r w:rsidRPr="00393842">
              <w:rPr>
                <w:rFonts w:ascii="仿宋" w:eastAsia="仿宋" w:hAnsi="仿宋" w:cs="Times New Roman"/>
                <w:sz w:val="22"/>
              </w:rPr>
              <w:t>5</w:t>
            </w:r>
            <w:r w:rsidRPr="00393842">
              <w:rPr>
                <w:rFonts w:ascii="仿宋" w:eastAsia="仿宋" w:hAnsi="仿宋" w:cs="Times New Roman" w:hint="eastAsia"/>
                <w:sz w:val="22"/>
              </w:rPr>
              <w:t>.用户可修改资源配额与存储卷。</w:t>
            </w:r>
          </w:p>
        </w:tc>
        <w:tc>
          <w:tcPr>
            <w:tcW w:w="737" w:type="dxa"/>
            <w:tcBorders>
              <w:top w:val="nil"/>
              <w:left w:val="single" w:sz="4" w:space="0" w:color="auto"/>
              <w:bottom w:val="single" w:sz="4" w:space="0" w:color="auto"/>
              <w:right w:val="single" w:sz="4" w:space="0" w:color="auto"/>
            </w:tcBorders>
            <w:shd w:val="clear" w:color="auto" w:fill="auto"/>
            <w:vAlign w:val="center"/>
          </w:tcPr>
          <w:p w14:paraId="16C92643"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color w:val="000000"/>
                <w:sz w:val="24"/>
                <w:szCs w:val="24"/>
              </w:rPr>
              <w:lastRenderedPageBreak/>
              <w:t>1</w:t>
            </w:r>
          </w:p>
        </w:tc>
      </w:tr>
      <w:tr w:rsidR="00393842" w:rsidRPr="00393842" w14:paraId="76287E99" w14:textId="77777777" w:rsidTr="0001634E">
        <w:trPr>
          <w:trHeight w:val="291"/>
        </w:trPr>
        <w:tc>
          <w:tcPr>
            <w:tcW w:w="817" w:type="dxa"/>
            <w:tcBorders>
              <w:top w:val="single" w:sz="4" w:space="0" w:color="auto"/>
              <w:left w:val="single" w:sz="4" w:space="0" w:color="auto"/>
              <w:bottom w:val="single" w:sz="4" w:space="0" w:color="auto"/>
              <w:right w:val="single" w:sz="4" w:space="0" w:color="auto"/>
            </w:tcBorders>
            <w:vAlign w:val="center"/>
          </w:tcPr>
          <w:p w14:paraId="11EC9D6D"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rPr>
              <w:t>1</w:t>
            </w:r>
            <w:r w:rsidRPr="00393842">
              <w:rPr>
                <w:rFonts w:ascii="仿宋" w:eastAsia="仿宋" w:hAnsi="仿宋" w:cs="Times New Roman"/>
              </w:rPr>
              <w:t>2</w:t>
            </w:r>
          </w:p>
        </w:tc>
        <w:tc>
          <w:tcPr>
            <w:tcW w:w="1418" w:type="dxa"/>
            <w:tcBorders>
              <w:top w:val="nil"/>
              <w:left w:val="single" w:sz="4" w:space="0" w:color="auto"/>
              <w:bottom w:val="single" w:sz="4" w:space="0" w:color="auto"/>
              <w:right w:val="single" w:sz="4" w:space="0" w:color="auto"/>
            </w:tcBorders>
            <w:shd w:val="clear" w:color="auto" w:fill="auto"/>
            <w:vAlign w:val="center"/>
          </w:tcPr>
          <w:p w14:paraId="3D602C99" w14:textId="77777777" w:rsidR="00393842" w:rsidRPr="00393842" w:rsidRDefault="00393842" w:rsidP="00393842">
            <w:pPr>
              <w:jc w:val="left"/>
              <w:rPr>
                <w:rFonts w:ascii="仿宋" w:eastAsia="仿宋" w:hAnsi="仿宋" w:cs="宋体"/>
                <w:bCs/>
                <w:color w:val="000000"/>
                <w:sz w:val="24"/>
                <w:szCs w:val="24"/>
              </w:rPr>
            </w:pPr>
            <w:r w:rsidRPr="00393842">
              <w:rPr>
                <w:rFonts w:ascii="仿宋" w:eastAsia="仿宋" w:hAnsi="仿宋" w:cs="Times New Roman" w:hint="eastAsia"/>
                <w:color w:val="000000"/>
              </w:rPr>
              <w:t>应用数学科研平台系统-模型开发调试功能模块</w:t>
            </w:r>
          </w:p>
        </w:tc>
        <w:tc>
          <w:tcPr>
            <w:tcW w:w="4779" w:type="dxa"/>
            <w:tcBorders>
              <w:top w:val="nil"/>
              <w:left w:val="single" w:sz="4" w:space="0" w:color="auto"/>
              <w:bottom w:val="single" w:sz="4" w:space="0" w:color="auto"/>
              <w:right w:val="single" w:sz="4" w:space="0" w:color="auto"/>
            </w:tcBorders>
            <w:shd w:val="clear" w:color="auto" w:fill="auto"/>
            <w:vAlign w:val="center"/>
          </w:tcPr>
          <w:p w14:paraId="2D9BC6CB"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1.支持查看任务程序入口、资源需求、分区、学习框架、开始结束时间和成功状态与消息。</w:t>
            </w:r>
          </w:p>
          <w:p w14:paraId="4C263216"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2.支持显示训练任务的CPU，GPU和Mem的实时使用率，任务运行结束时统计任务运行过程资</w:t>
            </w:r>
            <w:r w:rsidRPr="00393842">
              <w:rPr>
                <w:rFonts w:ascii="仿宋" w:eastAsia="仿宋" w:hAnsi="仿宋" w:cs="Times New Roman" w:hint="eastAsia"/>
                <w:sz w:val="22"/>
              </w:rPr>
              <w:lastRenderedPageBreak/>
              <w:t>源的使用情况。</w:t>
            </w:r>
          </w:p>
          <w:p w14:paraId="705C55BF"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3.支持根据任务的CPU、GPU和Mem的需求，以及对GPU卡型号的选择，动态调度任务到最优的节点上，保证资源使用的效率，支持运行失败的任务会在指定次数内自动重启。</w:t>
            </w:r>
          </w:p>
          <w:p w14:paraId="215285D6"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sz w:val="22"/>
              </w:rPr>
              <w:t>4.</w:t>
            </w:r>
            <w:r w:rsidRPr="00393842">
              <w:rPr>
                <w:rFonts w:ascii="仿宋" w:eastAsia="仿宋" w:hAnsi="仿宋" w:cs="Times New Roman" w:hint="eastAsia"/>
                <w:sz w:val="22"/>
              </w:rPr>
              <w:t>★系统支持基于图像界面将计算资源包括CPU、GPU、内存的划分以及分布式存储资源的划分为一个资源组，并可以将其分配给多个用户，拥有者可以进行对整个资源组的计算资源或存储资源进行清空或锁定，锁定后的计算资源和存储资源不可使用，已经分配的资源不受影响。</w:t>
            </w:r>
          </w:p>
          <w:p w14:paraId="75E5298C"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5.带有深度学习的拖拽式可视化编辑器，可以使用拖拽的方法绘制神经网络，并在后台自动生成代码保存与运行。（需要投标现场软件演示）</w:t>
            </w:r>
          </w:p>
          <w:p w14:paraId="7377D2A6"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6.可以通过拖拽式可视化编程调用封装好的高级算法库，高级算法库中封装有多重深度神经网络。（需要投标现场软件演示）</w:t>
            </w:r>
          </w:p>
          <w:p w14:paraId="56D90EA2"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7.可以通过拖拽式编程编写自动化机器学习，通过自动化机器学习算法自动生成对应相应神经网。（需要投标现场软件演示）                                                     8.Application编辑器图像分类算法包含：DenseNet121、DenseNet169、DenseNet201、InceptionResNetV2、MobileNet、MobileNetV2、NASNetLarge、ResNet50V2、ResNet101V2、ResNet152V2、VGG16、ResNet50、VGG19、Xception。 自动化机器学习包含：ENAS、TPOP。（需要投标现场软件演示）</w:t>
            </w:r>
          </w:p>
          <w:p w14:paraId="60133F15" w14:textId="77777777" w:rsidR="00393842" w:rsidRPr="00393842" w:rsidRDefault="00393842" w:rsidP="00393842">
            <w:pPr>
              <w:jc w:val="left"/>
              <w:rPr>
                <w:rFonts w:ascii="仿宋" w:eastAsia="仿宋" w:hAnsi="仿宋" w:cs="宋体"/>
                <w:bCs/>
                <w:color w:val="000000"/>
                <w:sz w:val="24"/>
                <w:szCs w:val="24"/>
              </w:rPr>
            </w:pPr>
            <w:r w:rsidRPr="00393842">
              <w:rPr>
                <w:rFonts w:ascii="仿宋" w:eastAsia="仿宋" w:hAnsi="仿宋" w:cs="Times New Roman" w:hint="eastAsia"/>
                <w:sz w:val="22"/>
              </w:rPr>
              <w:t>9. Tensorflow可视化编程包含： 卷积神经元、循环神经元、池化层、转化层、激活函数、全连接神经元、优化函数；Python机器学习包含：线性回归、逻辑回归、岭回归、套索回归、弹性网络、支持向量机（线性，非线性）、随机森林、极随机树、决策树（ID3，CART）、梯度提升树、adaboost、xgboost、lightgbm、Bagging、投票器（多数投票器，概率投票器）、stacked generalization、朴素贝叶斯（高斯，二项式）、最近邻（简称KNN）、ANN（人工神经网络）、高斯过程（GP）、Kmeans、PCA、DBSCAN、Spectral Clustering、Hierarchical clustering、Affinity Propagation、Mean Shift、高斯混</w:t>
            </w:r>
            <w:r w:rsidRPr="00393842">
              <w:rPr>
                <w:rFonts w:ascii="仿宋" w:eastAsia="仿宋" w:hAnsi="仿宋" w:cs="Times New Roman" w:hint="eastAsia"/>
                <w:sz w:val="22"/>
              </w:rPr>
              <w:lastRenderedPageBreak/>
              <w:t xml:space="preserve">合、OPTICS。（需要投标现场软件演示） </w:t>
            </w:r>
          </w:p>
        </w:tc>
        <w:tc>
          <w:tcPr>
            <w:tcW w:w="737" w:type="dxa"/>
            <w:tcBorders>
              <w:top w:val="nil"/>
              <w:left w:val="single" w:sz="4" w:space="0" w:color="auto"/>
              <w:bottom w:val="single" w:sz="4" w:space="0" w:color="auto"/>
              <w:right w:val="single" w:sz="4" w:space="0" w:color="auto"/>
            </w:tcBorders>
            <w:shd w:val="clear" w:color="auto" w:fill="auto"/>
            <w:vAlign w:val="center"/>
          </w:tcPr>
          <w:p w14:paraId="5D67E77D"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color w:val="000000"/>
                <w:sz w:val="24"/>
                <w:szCs w:val="24"/>
              </w:rPr>
              <w:lastRenderedPageBreak/>
              <w:t>1</w:t>
            </w:r>
          </w:p>
        </w:tc>
      </w:tr>
      <w:tr w:rsidR="00393842" w:rsidRPr="00393842" w14:paraId="537DE92B" w14:textId="77777777" w:rsidTr="0001634E">
        <w:trPr>
          <w:trHeight w:val="313"/>
        </w:trPr>
        <w:tc>
          <w:tcPr>
            <w:tcW w:w="817" w:type="dxa"/>
            <w:tcBorders>
              <w:top w:val="single" w:sz="4" w:space="0" w:color="auto"/>
              <w:left w:val="single" w:sz="4" w:space="0" w:color="auto"/>
              <w:bottom w:val="single" w:sz="4" w:space="0" w:color="auto"/>
              <w:right w:val="single" w:sz="4" w:space="0" w:color="auto"/>
            </w:tcBorders>
            <w:vAlign w:val="center"/>
          </w:tcPr>
          <w:p w14:paraId="0A8DABC5"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rPr>
              <w:lastRenderedPageBreak/>
              <w:t>1</w:t>
            </w:r>
            <w:r w:rsidRPr="00393842">
              <w:rPr>
                <w:rFonts w:ascii="仿宋" w:eastAsia="仿宋" w:hAnsi="仿宋" w:cs="Times New Roman"/>
              </w:rPr>
              <w:t>3</w:t>
            </w:r>
          </w:p>
        </w:tc>
        <w:tc>
          <w:tcPr>
            <w:tcW w:w="1418" w:type="dxa"/>
            <w:tcBorders>
              <w:top w:val="nil"/>
              <w:left w:val="single" w:sz="4" w:space="0" w:color="auto"/>
              <w:bottom w:val="single" w:sz="4" w:space="0" w:color="auto"/>
              <w:right w:val="single" w:sz="4" w:space="0" w:color="auto"/>
            </w:tcBorders>
            <w:shd w:val="clear" w:color="auto" w:fill="auto"/>
            <w:vAlign w:val="center"/>
          </w:tcPr>
          <w:p w14:paraId="78036587" w14:textId="77777777" w:rsidR="00393842" w:rsidRPr="00393842" w:rsidRDefault="00393842" w:rsidP="00393842">
            <w:pPr>
              <w:jc w:val="left"/>
              <w:rPr>
                <w:rFonts w:ascii="仿宋" w:eastAsia="仿宋" w:hAnsi="仿宋" w:cs="宋体"/>
                <w:bCs/>
                <w:color w:val="000000"/>
                <w:sz w:val="24"/>
                <w:szCs w:val="24"/>
              </w:rPr>
            </w:pPr>
            <w:r w:rsidRPr="00393842">
              <w:rPr>
                <w:rFonts w:ascii="仿宋" w:eastAsia="仿宋" w:hAnsi="仿宋" w:cs="Times New Roman" w:hint="eastAsia"/>
                <w:color w:val="000000"/>
              </w:rPr>
              <w:t>应用数学科研平台系统-模型训练功能模块</w:t>
            </w:r>
          </w:p>
        </w:tc>
        <w:tc>
          <w:tcPr>
            <w:tcW w:w="4779" w:type="dxa"/>
            <w:tcBorders>
              <w:top w:val="nil"/>
              <w:left w:val="single" w:sz="4" w:space="0" w:color="auto"/>
              <w:bottom w:val="single" w:sz="4" w:space="0" w:color="auto"/>
              <w:right w:val="single" w:sz="4" w:space="0" w:color="auto"/>
            </w:tcBorders>
            <w:shd w:val="clear" w:color="auto" w:fill="auto"/>
            <w:vAlign w:val="center"/>
          </w:tcPr>
          <w:p w14:paraId="355AD864"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1.支持用户在运行离线任务时可以设定工作目录。</w:t>
            </w:r>
          </w:p>
          <w:p w14:paraId="792C40FA"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2.支持用户上传项目后，可以提交任务启动模型训练，提交任务需要指定入口程序、机器学习框架、资源需求、分区和使用的镜像。</w:t>
            </w:r>
          </w:p>
          <w:p w14:paraId="31C5B00E"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3.支持支持TensorFlow框架的多机多卡分布式训练。</w:t>
            </w:r>
          </w:p>
          <w:p w14:paraId="07FFDF08"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4.支持在启动模型训练任务时，可通过key-value对的形式设置超参数。</w:t>
            </w:r>
          </w:p>
          <w:p w14:paraId="7E1BF67E"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5.支持TensorFlow和Caffe训练任务可视化，显示loss和accuracy变化曲线。</w:t>
            </w:r>
          </w:p>
          <w:p w14:paraId="11CC2FA5"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6.支持实时查看任务训练过程中的log输出。</w:t>
            </w:r>
          </w:p>
          <w:p w14:paraId="614C87C2" w14:textId="77777777" w:rsidR="00393842" w:rsidRPr="00393842" w:rsidRDefault="00393842" w:rsidP="00393842">
            <w:pPr>
              <w:jc w:val="left"/>
              <w:rPr>
                <w:rFonts w:ascii="仿宋" w:eastAsia="仿宋" w:hAnsi="仿宋" w:cs="宋体"/>
                <w:bCs/>
                <w:color w:val="000000"/>
                <w:sz w:val="24"/>
                <w:szCs w:val="24"/>
              </w:rPr>
            </w:pPr>
            <w:r w:rsidRPr="00393842">
              <w:rPr>
                <w:rFonts w:ascii="仿宋" w:eastAsia="仿宋" w:hAnsi="仿宋" w:cs="Times New Roman" w:hint="eastAsia"/>
                <w:sz w:val="22"/>
              </w:rPr>
              <w:t>7.支持查看当前被调度、正在运行、暂停和已完成的任务，支持删除、暂停和继续任务。</w:t>
            </w:r>
          </w:p>
        </w:tc>
        <w:tc>
          <w:tcPr>
            <w:tcW w:w="737" w:type="dxa"/>
            <w:tcBorders>
              <w:top w:val="nil"/>
              <w:left w:val="single" w:sz="4" w:space="0" w:color="auto"/>
              <w:bottom w:val="single" w:sz="4" w:space="0" w:color="auto"/>
              <w:right w:val="single" w:sz="4" w:space="0" w:color="auto"/>
            </w:tcBorders>
            <w:shd w:val="clear" w:color="auto" w:fill="auto"/>
            <w:vAlign w:val="center"/>
          </w:tcPr>
          <w:p w14:paraId="50010DDE"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color w:val="000000"/>
                <w:sz w:val="24"/>
                <w:szCs w:val="24"/>
              </w:rPr>
              <w:t>1</w:t>
            </w:r>
          </w:p>
        </w:tc>
      </w:tr>
      <w:tr w:rsidR="00393842" w:rsidRPr="00393842" w14:paraId="03F65719" w14:textId="77777777" w:rsidTr="0001634E">
        <w:trPr>
          <w:trHeight w:val="366"/>
        </w:trPr>
        <w:tc>
          <w:tcPr>
            <w:tcW w:w="817" w:type="dxa"/>
            <w:tcBorders>
              <w:top w:val="single" w:sz="4" w:space="0" w:color="auto"/>
              <w:left w:val="single" w:sz="4" w:space="0" w:color="auto"/>
              <w:bottom w:val="single" w:sz="4" w:space="0" w:color="auto"/>
              <w:right w:val="single" w:sz="4" w:space="0" w:color="auto"/>
            </w:tcBorders>
            <w:vAlign w:val="center"/>
          </w:tcPr>
          <w:p w14:paraId="20670990"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rPr>
              <w:t>1</w:t>
            </w:r>
            <w:r w:rsidRPr="00393842">
              <w:rPr>
                <w:rFonts w:ascii="仿宋" w:eastAsia="仿宋" w:hAnsi="仿宋" w:cs="Times New Roman"/>
              </w:rPr>
              <w:t>4</w:t>
            </w:r>
          </w:p>
        </w:tc>
        <w:tc>
          <w:tcPr>
            <w:tcW w:w="1418" w:type="dxa"/>
            <w:tcBorders>
              <w:top w:val="nil"/>
              <w:left w:val="single" w:sz="4" w:space="0" w:color="auto"/>
              <w:bottom w:val="single" w:sz="4" w:space="0" w:color="auto"/>
              <w:right w:val="single" w:sz="4" w:space="0" w:color="auto"/>
            </w:tcBorders>
            <w:shd w:val="clear" w:color="auto" w:fill="auto"/>
            <w:vAlign w:val="center"/>
          </w:tcPr>
          <w:p w14:paraId="2BE6A537" w14:textId="77777777" w:rsidR="00393842" w:rsidRPr="00393842" w:rsidRDefault="00393842" w:rsidP="00393842">
            <w:pPr>
              <w:jc w:val="left"/>
              <w:rPr>
                <w:rFonts w:ascii="仿宋" w:eastAsia="仿宋" w:hAnsi="仿宋" w:cs="宋体"/>
                <w:bCs/>
                <w:color w:val="000000"/>
                <w:sz w:val="24"/>
                <w:szCs w:val="24"/>
              </w:rPr>
            </w:pPr>
            <w:r w:rsidRPr="00393842">
              <w:rPr>
                <w:rFonts w:ascii="仿宋" w:eastAsia="仿宋" w:hAnsi="仿宋" w:cs="Times New Roman" w:hint="eastAsia"/>
                <w:color w:val="000000"/>
              </w:rPr>
              <w:t>应用数学科研平台系统-模型开发调试功能模块</w:t>
            </w:r>
          </w:p>
        </w:tc>
        <w:tc>
          <w:tcPr>
            <w:tcW w:w="4779" w:type="dxa"/>
            <w:tcBorders>
              <w:top w:val="nil"/>
              <w:left w:val="single" w:sz="4" w:space="0" w:color="auto"/>
              <w:bottom w:val="single" w:sz="4" w:space="0" w:color="auto"/>
              <w:right w:val="single" w:sz="4" w:space="0" w:color="auto"/>
            </w:tcBorders>
            <w:shd w:val="clear" w:color="auto" w:fill="auto"/>
            <w:vAlign w:val="center"/>
          </w:tcPr>
          <w:p w14:paraId="4A5D08E5"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1.支持对启动Jupyter notebook进行交互式开发和调试。</w:t>
            </w:r>
          </w:p>
          <w:p w14:paraId="6E2B11D4"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2.支持启动Jupyter notebook进行交互式开发和调试。</w:t>
            </w:r>
          </w:p>
          <w:p w14:paraId="0557EDA7"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3.支持JupyterLab进行交互式开发和调试。</w:t>
            </w:r>
          </w:p>
          <w:p w14:paraId="1944C80F"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4.支持启动图形化任务，通过Web VNC连接并在PyCharm中进行开发和调试。</w:t>
            </w:r>
          </w:p>
          <w:p w14:paraId="7EBB9740"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5.支持启动Terminal或Desktop任务，在本地PyCharm中进行代码同步和远程调试。</w:t>
            </w:r>
          </w:p>
          <w:p w14:paraId="7DA66E1A"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6.支持启动Terminal，通过ssh连接容器进行开发调试。</w:t>
            </w:r>
          </w:p>
          <w:p w14:paraId="74DAE563"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7.支持启动、暂停、删除模型开发调试任务。</w:t>
            </w:r>
          </w:p>
          <w:p w14:paraId="0C9EF03E"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8.拖拽式可视化编辑器可以使用用户自行上传的数据集，运行后保存模型可以自行下载或部署。（需要投标现场软件演示）                                                                  9.拖拽式可视化编辑器必须支持多种数据读取方式，包括结构化数据与人工智能常用的非结构化数据格式。（需要投标现场软件演示）</w:t>
            </w:r>
          </w:p>
          <w:p w14:paraId="487335F1"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10.支持导出训练好的模型。</w:t>
            </w:r>
          </w:p>
          <w:p w14:paraId="06E939F8" w14:textId="77777777" w:rsidR="00393842" w:rsidRPr="00393842" w:rsidRDefault="00393842" w:rsidP="00393842">
            <w:pPr>
              <w:jc w:val="left"/>
              <w:rPr>
                <w:rFonts w:ascii="仿宋" w:eastAsia="仿宋" w:hAnsi="仿宋" w:cs="宋体"/>
                <w:bCs/>
                <w:color w:val="000000"/>
                <w:sz w:val="24"/>
                <w:szCs w:val="24"/>
              </w:rPr>
            </w:pPr>
            <w:r w:rsidRPr="00393842">
              <w:rPr>
                <w:rFonts w:ascii="仿宋" w:eastAsia="仿宋" w:hAnsi="仿宋" w:cs="Times New Roman" w:hint="eastAsia"/>
                <w:sz w:val="22"/>
              </w:rPr>
              <w:t>1</w:t>
            </w:r>
            <w:r w:rsidRPr="00393842">
              <w:rPr>
                <w:rFonts w:ascii="仿宋" w:eastAsia="仿宋" w:hAnsi="仿宋" w:cs="Times New Roman"/>
                <w:sz w:val="22"/>
              </w:rPr>
              <w:t>1.</w:t>
            </w:r>
            <w:r w:rsidRPr="00393842">
              <w:rPr>
                <w:rFonts w:ascii="仿宋" w:eastAsia="仿宋" w:hAnsi="仿宋" w:cs="Times New Roman" w:hint="eastAsia"/>
                <w:sz w:val="22"/>
              </w:rPr>
              <w:t>支持训练完毕的Tensorflow模型使用TensorServing进行部署，对外提供服务和测试功能。</w:t>
            </w:r>
          </w:p>
        </w:tc>
        <w:tc>
          <w:tcPr>
            <w:tcW w:w="737" w:type="dxa"/>
            <w:tcBorders>
              <w:top w:val="nil"/>
              <w:left w:val="single" w:sz="4" w:space="0" w:color="auto"/>
              <w:bottom w:val="single" w:sz="4" w:space="0" w:color="auto"/>
              <w:right w:val="single" w:sz="4" w:space="0" w:color="auto"/>
            </w:tcBorders>
            <w:shd w:val="clear" w:color="auto" w:fill="auto"/>
            <w:vAlign w:val="center"/>
          </w:tcPr>
          <w:p w14:paraId="3C618349"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color w:val="000000"/>
                <w:sz w:val="24"/>
                <w:szCs w:val="24"/>
              </w:rPr>
              <w:t>1</w:t>
            </w:r>
          </w:p>
        </w:tc>
      </w:tr>
      <w:tr w:rsidR="00393842" w:rsidRPr="00393842" w14:paraId="47862496" w14:textId="77777777" w:rsidTr="0001634E">
        <w:trPr>
          <w:trHeight w:val="291"/>
        </w:trPr>
        <w:tc>
          <w:tcPr>
            <w:tcW w:w="817" w:type="dxa"/>
            <w:tcBorders>
              <w:top w:val="single" w:sz="4" w:space="0" w:color="auto"/>
              <w:left w:val="single" w:sz="4" w:space="0" w:color="auto"/>
              <w:bottom w:val="single" w:sz="4" w:space="0" w:color="auto"/>
              <w:right w:val="single" w:sz="4" w:space="0" w:color="auto"/>
            </w:tcBorders>
            <w:vAlign w:val="center"/>
          </w:tcPr>
          <w:p w14:paraId="1C7809D0"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rPr>
              <w:t>1</w:t>
            </w:r>
            <w:r w:rsidRPr="00393842">
              <w:rPr>
                <w:rFonts w:ascii="仿宋" w:eastAsia="仿宋" w:hAnsi="仿宋" w:cs="Times New Roman"/>
              </w:rPr>
              <w:t>5</w:t>
            </w:r>
          </w:p>
        </w:tc>
        <w:tc>
          <w:tcPr>
            <w:tcW w:w="1418" w:type="dxa"/>
            <w:tcBorders>
              <w:top w:val="nil"/>
              <w:left w:val="single" w:sz="4" w:space="0" w:color="auto"/>
              <w:bottom w:val="single" w:sz="4" w:space="0" w:color="auto"/>
              <w:right w:val="single" w:sz="4" w:space="0" w:color="auto"/>
            </w:tcBorders>
            <w:shd w:val="clear" w:color="auto" w:fill="auto"/>
            <w:vAlign w:val="center"/>
          </w:tcPr>
          <w:p w14:paraId="441D3F16" w14:textId="77777777" w:rsidR="00393842" w:rsidRPr="00393842" w:rsidRDefault="00393842" w:rsidP="00393842">
            <w:pPr>
              <w:jc w:val="left"/>
              <w:rPr>
                <w:rFonts w:ascii="仿宋" w:eastAsia="仿宋" w:hAnsi="仿宋" w:cs="宋体"/>
                <w:bCs/>
                <w:color w:val="000000"/>
                <w:sz w:val="24"/>
                <w:szCs w:val="24"/>
              </w:rPr>
            </w:pPr>
            <w:r w:rsidRPr="00393842">
              <w:rPr>
                <w:rFonts w:ascii="仿宋" w:eastAsia="仿宋" w:hAnsi="仿宋" w:cs="Times New Roman" w:hint="eastAsia"/>
                <w:color w:val="000000"/>
              </w:rPr>
              <w:t>应用数学科研平台系统-监控中心管理模块</w:t>
            </w:r>
          </w:p>
        </w:tc>
        <w:tc>
          <w:tcPr>
            <w:tcW w:w="4779" w:type="dxa"/>
            <w:tcBorders>
              <w:top w:val="nil"/>
              <w:left w:val="single" w:sz="4" w:space="0" w:color="auto"/>
              <w:bottom w:val="single" w:sz="4" w:space="0" w:color="auto"/>
              <w:right w:val="single" w:sz="4" w:space="0" w:color="auto"/>
            </w:tcBorders>
            <w:shd w:val="clear" w:color="auto" w:fill="auto"/>
            <w:vAlign w:val="center"/>
          </w:tcPr>
          <w:p w14:paraId="310A169F"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1.支持显示任务GPU显存使用率。</w:t>
            </w:r>
          </w:p>
          <w:p w14:paraId="6B128D41"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2.支持统计系统总体资源配置、CPU、GPU、Mem使用率，节点状态，分区资源消耗和任务运行情况。</w:t>
            </w:r>
          </w:p>
          <w:p w14:paraId="41C1D8FF"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3.支持使用直方图显示节点CPU、GPU、Mem、网络IO、运行容器数量的实时统计。</w:t>
            </w:r>
          </w:p>
          <w:p w14:paraId="44AE7525"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4.支持增加用户操作记录和审核（后台显示）。</w:t>
            </w:r>
          </w:p>
          <w:p w14:paraId="73D0E35B"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lastRenderedPageBreak/>
              <w:t>5.支持显示节点CPU、GPU、Mem、网络IO的历史曲线图。</w:t>
            </w:r>
          </w:p>
          <w:p w14:paraId="2FAF0EE0"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6.支持使用直方图显示分区CPU、GPU、Mem和任务运行的实时统计。</w:t>
            </w:r>
          </w:p>
          <w:p w14:paraId="69DA61BE"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7.支持显示分区CPU、GPU、Mem的历史曲线图。</w:t>
            </w:r>
          </w:p>
          <w:p w14:paraId="79E4A2F7" w14:textId="77777777" w:rsidR="00393842" w:rsidRPr="00393842" w:rsidRDefault="00393842" w:rsidP="00393842">
            <w:pPr>
              <w:ind w:firstLine="440"/>
              <w:jc w:val="left"/>
              <w:rPr>
                <w:rFonts w:ascii="仿宋" w:eastAsia="仿宋" w:hAnsi="仿宋" w:cs="宋体"/>
                <w:bCs/>
                <w:color w:val="000000"/>
                <w:sz w:val="24"/>
                <w:szCs w:val="24"/>
              </w:rPr>
            </w:pPr>
            <w:r w:rsidRPr="00393842">
              <w:rPr>
                <w:rFonts w:ascii="仿宋" w:eastAsia="仿宋" w:hAnsi="仿宋" w:cs="Times New Roman" w:hint="eastAsia"/>
                <w:sz w:val="22"/>
              </w:rPr>
              <w:t>8.使用直方图显示所有卷的使用排名统计。</w:t>
            </w:r>
          </w:p>
        </w:tc>
        <w:tc>
          <w:tcPr>
            <w:tcW w:w="737" w:type="dxa"/>
            <w:tcBorders>
              <w:top w:val="nil"/>
              <w:left w:val="single" w:sz="4" w:space="0" w:color="auto"/>
              <w:bottom w:val="single" w:sz="4" w:space="0" w:color="auto"/>
              <w:right w:val="single" w:sz="4" w:space="0" w:color="auto"/>
            </w:tcBorders>
            <w:shd w:val="clear" w:color="auto" w:fill="auto"/>
            <w:vAlign w:val="center"/>
          </w:tcPr>
          <w:p w14:paraId="534CE1FA" w14:textId="77777777" w:rsidR="00393842" w:rsidRPr="00393842" w:rsidRDefault="00393842" w:rsidP="00393842">
            <w:pPr>
              <w:rPr>
                <w:rFonts w:ascii="仿宋" w:eastAsia="仿宋" w:hAnsi="仿宋" w:cs="宋体"/>
                <w:bCs/>
                <w:color w:val="000000"/>
                <w:sz w:val="24"/>
                <w:szCs w:val="24"/>
              </w:rPr>
            </w:pPr>
            <w:r w:rsidRPr="00393842">
              <w:rPr>
                <w:rFonts w:ascii="仿宋" w:eastAsia="仿宋" w:hAnsi="仿宋" w:cs="Times New Roman" w:hint="eastAsia"/>
                <w:color w:val="000000"/>
                <w:sz w:val="24"/>
                <w:szCs w:val="24"/>
              </w:rPr>
              <w:lastRenderedPageBreak/>
              <w:t>1</w:t>
            </w:r>
          </w:p>
        </w:tc>
      </w:tr>
      <w:tr w:rsidR="00393842" w:rsidRPr="00393842" w14:paraId="521EEFB5" w14:textId="77777777" w:rsidTr="0001634E">
        <w:trPr>
          <w:trHeight w:val="199"/>
        </w:trPr>
        <w:tc>
          <w:tcPr>
            <w:tcW w:w="817" w:type="dxa"/>
            <w:tcBorders>
              <w:top w:val="single" w:sz="4" w:space="0" w:color="auto"/>
              <w:left w:val="single" w:sz="4" w:space="0" w:color="auto"/>
              <w:bottom w:val="single" w:sz="4" w:space="0" w:color="auto"/>
              <w:right w:val="single" w:sz="4" w:space="0" w:color="auto"/>
            </w:tcBorders>
            <w:vAlign w:val="center"/>
          </w:tcPr>
          <w:p w14:paraId="0036767F"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rPr>
              <w:t>1</w:t>
            </w:r>
            <w:r w:rsidRPr="00393842">
              <w:rPr>
                <w:rFonts w:ascii="仿宋" w:eastAsia="仿宋" w:hAnsi="仿宋" w:cs="Times New Roman"/>
              </w:rPr>
              <w:t>6</w:t>
            </w:r>
          </w:p>
        </w:tc>
        <w:tc>
          <w:tcPr>
            <w:tcW w:w="1418" w:type="dxa"/>
            <w:tcBorders>
              <w:top w:val="nil"/>
              <w:left w:val="single" w:sz="4" w:space="0" w:color="auto"/>
              <w:bottom w:val="single" w:sz="4" w:space="0" w:color="auto"/>
              <w:right w:val="single" w:sz="4" w:space="0" w:color="auto"/>
            </w:tcBorders>
            <w:shd w:val="clear" w:color="auto" w:fill="auto"/>
            <w:vAlign w:val="center"/>
          </w:tcPr>
          <w:p w14:paraId="446C9E1C" w14:textId="77777777" w:rsidR="00393842" w:rsidRPr="00393842" w:rsidRDefault="00393842" w:rsidP="00393842">
            <w:pPr>
              <w:jc w:val="left"/>
              <w:rPr>
                <w:rFonts w:ascii="仿宋" w:eastAsia="仿宋" w:hAnsi="仿宋" w:cs="宋体"/>
                <w:bCs/>
                <w:color w:val="000000"/>
                <w:sz w:val="24"/>
                <w:szCs w:val="24"/>
              </w:rPr>
            </w:pPr>
            <w:r w:rsidRPr="00393842">
              <w:rPr>
                <w:rFonts w:ascii="仿宋" w:eastAsia="仿宋" w:hAnsi="仿宋" w:cs="Times New Roman" w:hint="eastAsia"/>
                <w:color w:val="000000"/>
              </w:rPr>
              <w:t>应用数学科研平台系统-日志管理模块</w:t>
            </w:r>
          </w:p>
        </w:tc>
        <w:tc>
          <w:tcPr>
            <w:tcW w:w="4779" w:type="dxa"/>
            <w:tcBorders>
              <w:top w:val="nil"/>
              <w:left w:val="single" w:sz="4" w:space="0" w:color="auto"/>
              <w:bottom w:val="single" w:sz="4" w:space="0" w:color="auto"/>
              <w:right w:val="single" w:sz="4" w:space="0" w:color="auto"/>
            </w:tcBorders>
            <w:shd w:val="clear" w:color="auto" w:fill="auto"/>
            <w:vAlign w:val="center"/>
          </w:tcPr>
          <w:p w14:paraId="15FA65F4"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1.包括操作日志和系统日志两个模块。</w:t>
            </w:r>
          </w:p>
          <w:p w14:paraId="4225F1F8"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2.操作日志支持查看所有用户操作时间和操作信息。</w:t>
            </w:r>
          </w:p>
          <w:p w14:paraId="44C09701"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3.支持根据账号、内容、时间范围或日志类型对日志进行查询。</w:t>
            </w:r>
          </w:p>
          <w:p w14:paraId="2B6DC806"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4.系统日志支持查看编号、级别、操作时间、操作信息等。</w:t>
            </w:r>
          </w:p>
          <w:p w14:paraId="2D9F4CAC" w14:textId="77777777" w:rsidR="00393842" w:rsidRPr="00393842" w:rsidRDefault="00393842" w:rsidP="00393842">
            <w:pPr>
              <w:ind w:firstLine="440"/>
              <w:jc w:val="left"/>
              <w:rPr>
                <w:rFonts w:ascii="仿宋" w:eastAsia="仿宋" w:hAnsi="仿宋" w:cs="宋体"/>
                <w:bCs/>
                <w:color w:val="000000"/>
                <w:sz w:val="24"/>
                <w:szCs w:val="24"/>
              </w:rPr>
            </w:pPr>
            <w:r w:rsidRPr="00393842">
              <w:rPr>
                <w:rFonts w:ascii="仿宋" w:eastAsia="仿宋" w:hAnsi="仿宋" w:cs="Times New Roman" w:hint="eastAsia"/>
                <w:sz w:val="22"/>
              </w:rPr>
              <w:t>5. 根据内容、级别或操作时间对日志进行查询。</w:t>
            </w:r>
          </w:p>
        </w:tc>
        <w:tc>
          <w:tcPr>
            <w:tcW w:w="737" w:type="dxa"/>
            <w:tcBorders>
              <w:top w:val="nil"/>
              <w:left w:val="single" w:sz="4" w:space="0" w:color="auto"/>
              <w:bottom w:val="single" w:sz="4" w:space="0" w:color="auto"/>
              <w:right w:val="single" w:sz="4" w:space="0" w:color="auto"/>
            </w:tcBorders>
            <w:shd w:val="clear" w:color="auto" w:fill="auto"/>
            <w:vAlign w:val="center"/>
          </w:tcPr>
          <w:p w14:paraId="534D28B1" w14:textId="77777777" w:rsidR="00393842" w:rsidRPr="00393842" w:rsidRDefault="00393842" w:rsidP="00393842">
            <w:pPr>
              <w:rPr>
                <w:rFonts w:ascii="仿宋" w:eastAsia="仿宋" w:hAnsi="仿宋" w:cs="宋体"/>
                <w:bCs/>
                <w:color w:val="000000"/>
                <w:sz w:val="24"/>
                <w:szCs w:val="24"/>
              </w:rPr>
            </w:pPr>
            <w:r w:rsidRPr="00393842">
              <w:rPr>
                <w:rFonts w:ascii="仿宋" w:eastAsia="仿宋" w:hAnsi="仿宋" w:cs="Times New Roman" w:hint="eastAsia"/>
                <w:color w:val="000000"/>
                <w:sz w:val="24"/>
                <w:szCs w:val="24"/>
              </w:rPr>
              <w:t>1</w:t>
            </w:r>
          </w:p>
        </w:tc>
      </w:tr>
      <w:tr w:rsidR="00393842" w:rsidRPr="00393842" w14:paraId="134B8D98" w14:textId="77777777" w:rsidTr="0001634E">
        <w:trPr>
          <w:trHeight w:val="178"/>
        </w:trPr>
        <w:tc>
          <w:tcPr>
            <w:tcW w:w="817" w:type="dxa"/>
            <w:tcBorders>
              <w:top w:val="single" w:sz="4" w:space="0" w:color="auto"/>
              <w:left w:val="single" w:sz="4" w:space="0" w:color="auto"/>
              <w:bottom w:val="single" w:sz="4" w:space="0" w:color="auto"/>
              <w:right w:val="single" w:sz="4" w:space="0" w:color="auto"/>
            </w:tcBorders>
            <w:vAlign w:val="center"/>
          </w:tcPr>
          <w:p w14:paraId="07DED1B1" w14:textId="77777777" w:rsidR="00393842" w:rsidRPr="00393842" w:rsidRDefault="00393842" w:rsidP="00393842">
            <w:pPr>
              <w:rPr>
                <w:rFonts w:ascii="仿宋" w:eastAsia="仿宋" w:hAnsi="仿宋" w:cs="Times New Roman"/>
                <w:sz w:val="24"/>
                <w:szCs w:val="24"/>
              </w:rPr>
            </w:pPr>
            <w:r w:rsidRPr="00393842">
              <w:rPr>
                <w:rFonts w:ascii="仿宋" w:eastAsia="仿宋" w:hAnsi="仿宋" w:cs="Times New Roman" w:hint="eastAsia"/>
              </w:rPr>
              <w:t>1</w:t>
            </w:r>
            <w:r w:rsidRPr="00393842">
              <w:rPr>
                <w:rFonts w:ascii="仿宋" w:eastAsia="仿宋" w:hAnsi="仿宋" w:cs="Times New Roman"/>
              </w:rPr>
              <w:t>7</w:t>
            </w:r>
          </w:p>
        </w:tc>
        <w:tc>
          <w:tcPr>
            <w:tcW w:w="1418" w:type="dxa"/>
            <w:tcBorders>
              <w:top w:val="nil"/>
              <w:left w:val="single" w:sz="4" w:space="0" w:color="auto"/>
              <w:bottom w:val="single" w:sz="4" w:space="0" w:color="auto"/>
              <w:right w:val="single" w:sz="4" w:space="0" w:color="auto"/>
            </w:tcBorders>
            <w:shd w:val="clear" w:color="auto" w:fill="auto"/>
            <w:vAlign w:val="center"/>
          </w:tcPr>
          <w:p w14:paraId="0A1F2C1A" w14:textId="77777777" w:rsidR="00393842" w:rsidRPr="00393842" w:rsidRDefault="00393842" w:rsidP="00393842">
            <w:pPr>
              <w:jc w:val="left"/>
              <w:rPr>
                <w:rFonts w:ascii="仿宋" w:eastAsia="仿宋" w:hAnsi="仿宋" w:cs="宋体"/>
                <w:bCs/>
                <w:color w:val="000000"/>
                <w:sz w:val="24"/>
                <w:szCs w:val="24"/>
              </w:rPr>
            </w:pPr>
            <w:r w:rsidRPr="00393842">
              <w:rPr>
                <w:rFonts w:ascii="仿宋" w:eastAsia="仿宋" w:hAnsi="仿宋" w:cs="Times New Roman" w:hint="eastAsia"/>
                <w:color w:val="000000"/>
              </w:rPr>
              <w:t>应用数学科研平台系统-案例中心模块</w:t>
            </w:r>
          </w:p>
        </w:tc>
        <w:tc>
          <w:tcPr>
            <w:tcW w:w="4779" w:type="dxa"/>
            <w:tcBorders>
              <w:top w:val="nil"/>
              <w:left w:val="single" w:sz="4" w:space="0" w:color="auto"/>
              <w:bottom w:val="single" w:sz="4" w:space="0" w:color="auto"/>
              <w:right w:val="single" w:sz="4" w:space="0" w:color="auto"/>
            </w:tcBorders>
            <w:shd w:val="clear" w:color="auto" w:fill="auto"/>
            <w:vAlign w:val="center"/>
          </w:tcPr>
          <w:p w14:paraId="68EB88C8"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1.带有案例中心，用户可以查看，创建，编辑案例，并与其他用户分享代码与镜像配置，案例中心所有案例，用户都可将其保存下载或者经过简单的页面配置后，自行运行。（需要投标现场软件演示）</w:t>
            </w:r>
          </w:p>
          <w:p w14:paraId="2EEB485C" w14:textId="77777777" w:rsidR="00393842" w:rsidRPr="00393842" w:rsidRDefault="00393842" w:rsidP="00393842">
            <w:pPr>
              <w:jc w:val="left"/>
              <w:rPr>
                <w:rFonts w:ascii="仿宋" w:eastAsia="仿宋" w:hAnsi="仿宋" w:cs="Times New Roman"/>
                <w:sz w:val="22"/>
              </w:rPr>
            </w:pPr>
            <w:r w:rsidRPr="00393842">
              <w:rPr>
                <w:rFonts w:ascii="仿宋" w:eastAsia="仿宋" w:hAnsi="仿宋" w:cs="Times New Roman" w:hint="eastAsia"/>
                <w:sz w:val="22"/>
              </w:rPr>
              <w:t>2.案例中心需要有大数据，图像识别，图像分割，风格迁移，文本分类，情感分析，对抗生成等多种算法案例并提供对应数据集或对应数据集的下载方式。（需要投标现场软件演示）</w:t>
            </w:r>
          </w:p>
          <w:p w14:paraId="1343B3E3" w14:textId="77777777" w:rsidR="00393842" w:rsidRPr="00393842" w:rsidRDefault="00393842" w:rsidP="00393842">
            <w:pPr>
              <w:ind w:firstLine="440"/>
              <w:jc w:val="left"/>
              <w:rPr>
                <w:rFonts w:ascii="仿宋" w:eastAsia="仿宋" w:hAnsi="仿宋" w:cs="宋体"/>
                <w:bCs/>
                <w:color w:val="000000"/>
                <w:sz w:val="24"/>
                <w:szCs w:val="24"/>
              </w:rPr>
            </w:pPr>
            <w:r w:rsidRPr="00393842">
              <w:rPr>
                <w:rFonts w:ascii="仿宋" w:eastAsia="仿宋" w:hAnsi="仿宋" w:cs="Times New Roman" w:hint="eastAsia"/>
                <w:sz w:val="22"/>
              </w:rPr>
              <w:t>3.提供数据中心，数据中心的数据集都可以保存在私有的计算集群内，可对数据进行标识分类。（需要投标现场软件演示）</w:t>
            </w:r>
          </w:p>
        </w:tc>
        <w:tc>
          <w:tcPr>
            <w:tcW w:w="737" w:type="dxa"/>
            <w:tcBorders>
              <w:top w:val="nil"/>
              <w:left w:val="single" w:sz="4" w:space="0" w:color="auto"/>
              <w:bottom w:val="single" w:sz="4" w:space="0" w:color="auto"/>
              <w:right w:val="single" w:sz="4" w:space="0" w:color="auto"/>
            </w:tcBorders>
            <w:shd w:val="clear" w:color="auto" w:fill="auto"/>
            <w:vAlign w:val="center"/>
          </w:tcPr>
          <w:p w14:paraId="2758C35D" w14:textId="77777777" w:rsidR="00393842" w:rsidRPr="00393842" w:rsidRDefault="00393842" w:rsidP="00393842">
            <w:pPr>
              <w:rPr>
                <w:rFonts w:ascii="仿宋" w:eastAsia="仿宋" w:hAnsi="仿宋" w:cs="宋体"/>
                <w:bCs/>
                <w:color w:val="000000"/>
                <w:sz w:val="24"/>
                <w:szCs w:val="24"/>
              </w:rPr>
            </w:pPr>
            <w:r w:rsidRPr="00393842">
              <w:rPr>
                <w:rFonts w:ascii="仿宋" w:eastAsia="仿宋" w:hAnsi="仿宋" w:cs="Times New Roman" w:hint="eastAsia"/>
                <w:color w:val="000000"/>
                <w:sz w:val="24"/>
                <w:szCs w:val="24"/>
              </w:rPr>
              <w:t>1</w:t>
            </w:r>
          </w:p>
        </w:tc>
      </w:tr>
    </w:tbl>
    <w:p w14:paraId="5483CCA5" w14:textId="77777777" w:rsidR="00393842" w:rsidRPr="00393842" w:rsidRDefault="00393842" w:rsidP="00393842">
      <w:pPr>
        <w:ind w:firstLineChars="200" w:firstLine="420"/>
        <w:rPr>
          <w:rFonts w:ascii="仿宋" w:eastAsia="仿宋" w:hAnsi="仿宋" w:cs="Times New Roman"/>
        </w:rPr>
      </w:pPr>
    </w:p>
    <w:bookmarkEnd w:id="1"/>
    <w:p w14:paraId="5F4EBA45" w14:textId="77777777" w:rsidR="00393842" w:rsidRPr="00393842" w:rsidRDefault="00393842" w:rsidP="00393842">
      <w:pPr>
        <w:ind w:firstLineChars="200" w:firstLine="420"/>
        <w:rPr>
          <w:rFonts w:ascii="仿宋" w:eastAsia="仿宋" w:hAnsi="仿宋" w:cs="Times New Roman"/>
        </w:rPr>
      </w:pPr>
    </w:p>
    <w:p w14:paraId="4938A7A3" w14:textId="77777777" w:rsidR="00836987" w:rsidRPr="00393842" w:rsidRDefault="00836987"/>
    <w:sectPr w:rsidR="00836987" w:rsidRPr="0039384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987"/>
    <w:rsid w:val="00393842"/>
    <w:rsid w:val="008369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00C286-2D1C-4C76-9F55-971D61770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1257</Words>
  <Characters>7166</Characters>
  <Application>Microsoft Office Word</Application>
  <DocSecurity>0</DocSecurity>
  <Lines>59</Lines>
  <Paragraphs>16</Paragraphs>
  <ScaleCrop>false</ScaleCrop>
  <Company/>
  <LinksUpToDate>false</LinksUpToDate>
  <CharactersWithSpaces>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2021-10-08T01:40:00Z</dcterms:created>
  <dcterms:modified xsi:type="dcterms:W3CDTF">2021-10-08T01:42:00Z</dcterms:modified>
</cp:coreProperties>
</file>