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2D414B2">
      <w:pPr>
        <w:tabs>
          <w:tab w:val="left" w:pos="1134"/>
          <w:tab w:val="left" w:pos="5481"/>
          <w:tab w:val="left" w:pos="5859"/>
        </w:tabs>
        <w:spacing w:line="360" w:lineRule="auto"/>
        <w:jc w:val="center"/>
        <w:rPr>
          <w:rFonts w:ascii="宋体" w:hAnsi="宋体" w:eastAsia="宋体" w:cs="宋体"/>
          <w:b/>
          <w:color w:val="000000" w:themeColor="text1"/>
          <w:sz w:val="32"/>
          <w:szCs w:val="32"/>
          <w:highlight w:val="none"/>
          <w14:textFill>
            <w14:solidFill>
              <w14:schemeClr w14:val="tx1"/>
            </w14:solidFill>
          </w14:textFill>
        </w:rPr>
      </w:pPr>
    </w:p>
    <w:p w14:paraId="3D2AAE41">
      <w:pPr>
        <w:tabs>
          <w:tab w:val="left" w:pos="1134"/>
          <w:tab w:val="left" w:pos="5481"/>
          <w:tab w:val="left" w:pos="5859"/>
        </w:tabs>
        <w:spacing w:line="360" w:lineRule="auto"/>
        <w:jc w:val="center"/>
        <w:rPr>
          <w:rFonts w:ascii="宋体" w:hAnsi="宋体" w:eastAsia="宋体" w:cs="宋体"/>
          <w:b/>
          <w:color w:val="000000" w:themeColor="text1"/>
          <w:sz w:val="32"/>
          <w:szCs w:val="32"/>
          <w:highlight w:val="none"/>
          <w14:textFill>
            <w14:solidFill>
              <w14:schemeClr w14:val="tx1"/>
            </w14:solidFill>
          </w14:textFill>
        </w:rPr>
      </w:pPr>
    </w:p>
    <w:p w14:paraId="296BD94B">
      <w:pPr>
        <w:snapToGrid w:val="0"/>
        <w:spacing w:line="360" w:lineRule="auto"/>
        <w:jc w:val="center"/>
        <w:rPr>
          <w:rFonts w:ascii="宋体" w:hAnsi="宋体" w:eastAsia="宋体" w:cs="宋体"/>
          <w:b/>
          <w:bCs/>
          <w:color w:val="000000" w:themeColor="text1"/>
          <w:sz w:val="48"/>
          <w:szCs w:val="48"/>
          <w:highlight w:val="none"/>
          <w14:textFill>
            <w14:solidFill>
              <w14:schemeClr w14:val="tx1"/>
            </w14:solidFill>
          </w14:textFill>
        </w:rPr>
      </w:pPr>
    </w:p>
    <w:p w14:paraId="297BD861">
      <w:pPr>
        <w:snapToGrid w:val="0"/>
        <w:spacing w:line="360" w:lineRule="auto"/>
        <w:jc w:val="center"/>
        <w:rPr>
          <w:rFonts w:hint="eastAsia" w:ascii="宋体" w:hAnsi="宋体" w:eastAsia="宋体" w:cs="宋体"/>
          <w:b/>
          <w:bCs/>
          <w:color w:val="000000" w:themeColor="text1"/>
          <w:sz w:val="48"/>
          <w:szCs w:val="48"/>
          <w:highlight w:val="none"/>
          <w:lang w:eastAsia="zh-CN"/>
          <w14:textFill>
            <w14:solidFill>
              <w14:schemeClr w14:val="tx1"/>
            </w14:solidFill>
          </w14:textFill>
        </w:rPr>
      </w:pPr>
      <w:r>
        <w:rPr>
          <w:rFonts w:hint="eastAsia" w:ascii="宋体" w:hAnsi="宋体" w:eastAsia="宋体" w:cs="宋体"/>
          <w:b/>
          <w:bCs/>
          <w:color w:val="000000" w:themeColor="text1"/>
          <w:sz w:val="48"/>
          <w:szCs w:val="48"/>
          <w:highlight w:val="none"/>
          <w:lang w:eastAsia="zh-CN"/>
          <w14:textFill>
            <w14:solidFill>
              <w14:schemeClr w14:val="tx1"/>
            </w14:solidFill>
          </w14:textFill>
        </w:rPr>
        <w:t>山东大学本科生、研究生校方责任保险服务项目</w:t>
      </w:r>
    </w:p>
    <w:p w14:paraId="0F28DBAE">
      <w:pPr>
        <w:jc w:val="center"/>
        <w:rPr>
          <w:rFonts w:ascii="宋体" w:hAnsi="宋体" w:eastAsia="宋体" w:cs="宋体"/>
          <w:b/>
          <w:bCs/>
          <w:color w:val="000000" w:themeColor="text1"/>
          <w:sz w:val="48"/>
          <w:szCs w:val="48"/>
          <w:highlight w:val="none"/>
          <w14:textFill>
            <w14:solidFill>
              <w14:schemeClr w14:val="tx1"/>
            </w14:solidFill>
          </w14:textFill>
        </w:rPr>
      </w:pPr>
    </w:p>
    <w:p w14:paraId="2D805EE8">
      <w:pPr>
        <w:tabs>
          <w:tab w:val="left" w:pos="1134"/>
          <w:tab w:val="left" w:pos="5481"/>
          <w:tab w:val="left" w:pos="5859"/>
        </w:tabs>
        <w:spacing w:line="360" w:lineRule="auto"/>
        <w:jc w:val="center"/>
        <w:rPr>
          <w:rFonts w:ascii="宋体" w:hAnsi="宋体" w:eastAsia="宋体" w:cs="宋体"/>
          <w:b/>
          <w:color w:val="000000" w:themeColor="text1"/>
          <w:sz w:val="32"/>
          <w:szCs w:val="32"/>
          <w:highlight w:val="none"/>
          <w14:textFill>
            <w14:solidFill>
              <w14:schemeClr w14:val="tx1"/>
            </w14:solidFill>
          </w14:textFill>
        </w:rPr>
      </w:pPr>
    </w:p>
    <w:p w14:paraId="30C5A2B4">
      <w:pPr>
        <w:jc w:val="center"/>
        <w:rPr>
          <w:rFonts w:ascii="宋体" w:hAnsi="宋体" w:eastAsia="宋体" w:cs="宋体"/>
          <w:b/>
          <w:bCs/>
          <w:color w:val="000000" w:themeColor="text1"/>
          <w:sz w:val="56"/>
          <w:szCs w:val="56"/>
          <w:highlight w:val="none"/>
          <w14:textFill>
            <w14:solidFill>
              <w14:schemeClr w14:val="tx1"/>
            </w14:solidFill>
          </w14:textFill>
        </w:rPr>
      </w:pPr>
    </w:p>
    <w:p w14:paraId="28FFA49D">
      <w:pPr>
        <w:jc w:val="center"/>
        <w:rPr>
          <w:rFonts w:ascii="宋体" w:hAnsi="宋体" w:eastAsia="宋体" w:cs="宋体"/>
          <w:b/>
          <w:bCs/>
          <w:color w:val="000000" w:themeColor="text1"/>
          <w:sz w:val="56"/>
          <w:szCs w:val="56"/>
          <w:highlight w:val="none"/>
          <w14:textFill>
            <w14:solidFill>
              <w14:schemeClr w14:val="tx1"/>
            </w14:solidFill>
          </w14:textFill>
        </w:rPr>
      </w:pPr>
      <w:r>
        <w:rPr>
          <w:rFonts w:hint="eastAsia" w:ascii="宋体" w:hAnsi="宋体" w:eastAsia="宋体" w:cs="宋体"/>
          <w:b/>
          <w:bCs/>
          <w:color w:val="000000" w:themeColor="text1"/>
          <w:sz w:val="56"/>
          <w:szCs w:val="56"/>
          <w:highlight w:val="none"/>
          <w14:textFill>
            <w14:solidFill>
              <w14:schemeClr w14:val="tx1"/>
            </w14:solidFill>
          </w14:textFill>
        </w:rPr>
        <w:t>参考公开招标文件</w:t>
      </w:r>
    </w:p>
    <w:p w14:paraId="725AF0FA">
      <w:pPr>
        <w:tabs>
          <w:tab w:val="left" w:pos="2101"/>
          <w:tab w:val="left" w:pos="4202"/>
        </w:tabs>
        <w:spacing w:before="240" w:beforeLines="100" w:after="240" w:afterLines="100" w:line="360" w:lineRule="auto"/>
        <w:jc w:val="center"/>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（服务类）</w:t>
      </w:r>
    </w:p>
    <w:p w14:paraId="25DB8DC6">
      <w:pPr>
        <w:tabs>
          <w:tab w:val="left" w:pos="1134"/>
          <w:tab w:val="left" w:pos="5481"/>
          <w:tab w:val="left" w:pos="5859"/>
        </w:tabs>
        <w:spacing w:line="360" w:lineRule="auto"/>
        <w:jc w:val="center"/>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项目编号：</w:t>
      </w:r>
      <w:r>
        <w:rPr>
          <w:rFonts w:hint="eastAsia" w:ascii="宋体" w:hAnsi="宋体" w:eastAsia="宋体" w:cs="宋体"/>
          <w:b/>
          <w:color w:val="000000" w:themeColor="text1"/>
          <w:sz w:val="32"/>
          <w:szCs w:val="32"/>
          <w:highlight w:val="none"/>
          <w:lang w:eastAsia="zh-CN"/>
          <w14:textFill>
            <w14:solidFill>
              <w14:schemeClr w14:val="tx1"/>
            </w14:solidFill>
          </w14:textFill>
        </w:rPr>
        <w:t>SDJDGD20250048-Q015</w:t>
      </w:r>
      <w:r>
        <w:rPr>
          <w:rFonts w:hint="eastAsia" w:ascii="宋体" w:hAnsi="宋体" w:eastAsia="宋体" w:cs="宋体"/>
          <w:b/>
          <w:color w:val="000000" w:themeColor="text1"/>
          <w:sz w:val="32"/>
          <w:szCs w:val="32"/>
          <w:highlight w:val="none"/>
          <w14:textFill>
            <w14:solidFill>
              <w14:schemeClr w14:val="tx1"/>
            </w14:solidFill>
          </w14:textFill>
        </w:rPr>
        <w:t xml:space="preserve"> </w:t>
      </w:r>
    </w:p>
    <w:p w14:paraId="72DAAE95">
      <w:pPr>
        <w:tabs>
          <w:tab w:val="left" w:pos="1134"/>
          <w:tab w:val="left" w:pos="5481"/>
          <w:tab w:val="left" w:pos="5859"/>
        </w:tabs>
        <w:spacing w:line="360" w:lineRule="auto"/>
        <w:ind w:firstLine="1280" w:firstLineChars="400"/>
        <w:rPr>
          <w:rFonts w:ascii="宋体" w:hAnsi="宋体" w:eastAsia="宋体" w:cs="宋体"/>
          <w:color w:val="000000" w:themeColor="text1"/>
          <w:sz w:val="32"/>
          <w:szCs w:val="32"/>
          <w:highlight w:val="none"/>
          <w14:textFill>
            <w14:solidFill>
              <w14:schemeClr w14:val="tx1"/>
            </w14:solidFill>
          </w14:textFill>
        </w:rPr>
      </w:pPr>
    </w:p>
    <w:p w14:paraId="4A68792C">
      <w:pPr>
        <w:tabs>
          <w:tab w:val="left" w:pos="1134"/>
          <w:tab w:val="left" w:pos="5481"/>
          <w:tab w:val="left" w:pos="5859"/>
        </w:tabs>
        <w:spacing w:line="360" w:lineRule="auto"/>
        <w:jc w:val="center"/>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ab/>
      </w:r>
    </w:p>
    <w:p w14:paraId="24FD6E51">
      <w:pPr>
        <w:tabs>
          <w:tab w:val="left" w:pos="1134"/>
          <w:tab w:val="left" w:pos="5481"/>
          <w:tab w:val="left" w:pos="5859"/>
        </w:tabs>
        <w:spacing w:line="360" w:lineRule="auto"/>
        <w:rPr>
          <w:rFonts w:ascii="宋体" w:hAnsi="宋体" w:eastAsia="宋体" w:cs="宋体"/>
          <w:b/>
          <w:color w:val="000000" w:themeColor="text1"/>
          <w:sz w:val="32"/>
          <w:szCs w:val="32"/>
          <w:highlight w:val="none"/>
          <w14:textFill>
            <w14:solidFill>
              <w14:schemeClr w14:val="tx1"/>
            </w14:solidFill>
          </w14:textFill>
        </w:rPr>
      </w:pPr>
    </w:p>
    <w:p w14:paraId="297DF165">
      <w:pPr>
        <w:tabs>
          <w:tab w:val="left" w:pos="1134"/>
          <w:tab w:val="left" w:pos="5481"/>
          <w:tab w:val="left" w:pos="5859"/>
        </w:tabs>
        <w:spacing w:line="360" w:lineRule="auto"/>
        <w:jc w:val="center"/>
        <w:rPr>
          <w:rFonts w:ascii="宋体" w:hAnsi="宋体" w:eastAsia="宋体" w:cs="宋体"/>
          <w:b/>
          <w:color w:val="000000" w:themeColor="text1"/>
          <w:sz w:val="32"/>
          <w:szCs w:val="32"/>
          <w:highlight w:val="none"/>
          <w14:textFill>
            <w14:solidFill>
              <w14:schemeClr w14:val="tx1"/>
            </w14:solidFill>
          </w14:textFill>
        </w:rPr>
      </w:pPr>
    </w:p>
    <w:p w14:paraId="5FA26C9B">
      <w:pPr>
        <w:tabs>
          <w:tab w:val="left" w:pos="1134"/>
          <w:tab w:val="left" w:pos="5481"/>
          <w:tab w:val="left" w:pos="5859"/>
        </w:tabs>
        <w:spacing w:line="360" w:lineRule="auto"/>
        <w:jc w:val="center"/>
        <w:rPr>
          <w:rFonts w:ascii="宋体" w:hAnsi="宋体" w:eastAsia="宋体" w:cs="宋体"/>
          <w:color w:val="000000" w:themeColor="text1"/>
          <w:highlight w:val="none"/>
          <w14:textFill>
            <w14:solidFill>
              <w14:schemeClr w14:val="tx1"/>
            </w14:solidFill>
          </w14:textFill>
        </w:rPr>
      </w:pPr>
    </w:p>
    <w:p w14:paraId="752D69FF">
      <w:pPr>
        <w:tabs>
          <w:tab w:val="left" w:pos="1134"/>
          <w:tab w:val="left" w:pos="5481"/>
          <w:tab w:val="left" w:pos="5859"/>
        </w:tabs>
        <w:spacing w:line="360" w:lineRule="auto"/>
        <w:ind w:firstLine="1699" w:firstLineChars="529"/>
        <w:rPr>
          <w:rFonts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  采   购   人：</w:t>
      </w:r>
      <w:r>
        <w:rPr>
          <w:rFonts w:hint="eastAsia" w:ascii="宋体" w:hAnsi="宋体" w:eastAsia="宋体" w:cs="宋体"/>
          <w:color w:val="000000" w:themeColor="text1"/>
          <w:sz w:val="32"/>
          <w:szCs w:val="32"/>
          <w:highlight w:val="none"/>
          <w14:textFill>
            <w14:solidFill>
              <w14:schemeClr w14:val="tx1"/>
            </w14:solidFill>
          </w14:textFill>
        </w:rPr>
        <w:t>山东大学</w:t>
      </w:r>
    </w:p>
    <w:p w14:paraId="6A4846DB">
      <w:pPr>
        <w:tabs>
          <w:tab w:val="left" w:pos="1134"/>
          <w:tab w:val="left" w:pos="5481"/>
          <w:tab w:val="left" w:pos="5859"/>
        </w:tabs>
        <w:spacing w:line="360" w:lineRule="auto"/>
        <w:ind w:firstLine="1699" w:firstLineChars="529"/>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  采购代理机构：</w:t>
      </w:r>
      <w:r>
        <w:rPr>
          <w:rFonts w:hint="eastAsia" w:ascii="宋体" w:hAnsi="宋体" w:eastAsia="宋体" w:cs="宋体"/>
          <w:color w:val="000000" w:themeColor="text1"/>
          <w:sz w:val="32"/>
          <w:szCs w:val="32"/>
          <w:highlight w:val="none"/>
          <w14:textFill>
            <w14:solidFill>
              <w14:schemeClr w14:val="tx1"/>
            </w14:solidFill>
          </w14:textFill>
        </w:rPr>
        <w:t>山东善誉招标咨询有限公司</w:t>
      </w:r>
    </w:p>
    <w:p w14:paraId="71D33D10">
      <w:pPr>
        <w:tabs>
          <w:tab w:val="left" w:pos="1134"/>
          <w:tab w:val="left" w:pos="5481"/>
          <w:tab w:val="left" w:pos="5859"/>
        </w:tabs>
        <w:spacing w:line="360" w:lineRule="auto"/>
        <w:ind w:firstLine="1699" w:firstLineChars="529"/>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  日        期：</w:t>
      </w:r>
      <w:r>
        <w:rPr>
          <w:rFonts w:hint="eastAsia" w:ascii="宋体" w:hAnsi="宋体" w:eastAsia="宋体" w:cs="宋体"/>
          <w:color w:val="000000" w:themeColor="text1"/>
          <w:sz w:val="32"/>
          <w:szCs w:val="32"/>
          <w:highlight w:val="none"/>
          <w14:textFill>
            <w14:solidFill>
              <w14:schemeClr w14:val="tx1"/>
            </w14:solidFill>
          </w14:textFill>
        </w:rPr>
        <w:t>二〇二</w:t>
      </w:r>
      <w:r>
        <w:rPr>
          <w:rFonts w:hint="eastAsia" w:ascii="宋体" w:hAnsi="宋体" w:eastAsia="宋体" w:cs="宋体"/>
          <w:color w:val="000000" w:themeColor="text1"/>
          <w:sz w:val="32"/>
          <w:szCs w:val="32"/>
          <w:highlight w:val="none"/>
          <w:lang w:val="en-US" w:eastAsia="zh-CN"/>
          <w14:textFill>
            <w14:solidFill>
              <w14:schemeClr w14:val="tx1"/>
            </w14:solidFill>
          </w14:textFill>
        </w:rPr>
        <w:t>五</w:t>
      </w:r>
      <w:r>
        <w:rPr>
          <w:rFonts w:hint="eastAsia" w:ascii="宋体" w:hAnsi="宋体" w:eastAsia="宋体" w:cs="宋体"/>
          <w:color w:val="000000" w:themeColor="text1"/>
          <w:sz w:val="32"/>
          <w:szCs w:val="32"/>
          <w:highlight w:val="none"/>
          <w14:textFill>
            <w14:solidFill>
              <w14:schemeClr w14:val="tx1"/>
            </w14:solidFill>
          </w14:textFill>
        </w:rPr>
        <w:t>年</w:t>
      </w:r>
      <w:r>
        <w:rPr>
          <w:rFonts w:hint="eastAsia" w:ascii="宋体" w:hAnsi="宋体" w:eastAsia="宋体" w:cs="宋体"/>
          <w:color w:val="000000" w:themeColor="text1"/>
          <w:sz w:val="32"/>
          <w:szCs w:val="32"/>
          <w:highlight w:val="none"/>
          <w:lang w:eastAsia="zh-CN"/>
          <w14:textFill>
            <w14:solidFill>
              <w14:schemeClr w14:val="tx1"/>
            </w14:solidFill>
          </w14:textFill>
        </w:rPr>
        <w:t>五</w:t>
      </w:r>
      <w:r>
        <w:rPr>
          <w:rFonts w:hint="eastAsia" w:ascii="宋体" w:hAnsi="宋体" w:eastAsia="宋体" w:cs="宋体"/>
          <w:color w:val="000000" w:themeColor="text1"/>
          <w:sz w:val="32"/>
          <w:szCs w:val="32"/>
          <w:highlight w:val="none"/>
          <w14:textFill>
            <w14:solidFill>
              <w14:schemeClr w14:val="tx1"/>
            </w14:solidFill>
          </w14:textFill>
        </w:rPr>
        <w:t>月</w:t>
      </w:r>
    </w:p>
    <w:p w14:paraId="4FDA722B">
      <w:pPr>
        <w:pStyle w:val="31"/>
        <w:spacing w:line="240" w:lineRule="auto"/>
        <w:ind w:left="0" w:leftChars="0" w:firstLine="0" w:firstLineChars="0"/>
        <w:jc w:val="center"/>
        <w:rPr>
          <w:rFonts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br w:type="page"/>
      </w:r>
    </w:p>
    <w:p w14:paraId="0A5AB012">
      <w:pPr>
        <w:pStyle w:val="3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eastAsia" w:ascii="宋体" w:hAnsi="宋体" w:eastAsia="宋体" w:cs="宋体"/>
          <w:b/>
          <w:i w:val="0"/>
          <w:iCs w:val="0"/>
          <w:color w:val="000000" w:themeColor="text1"/>
          <w:sz w:val="40"/>
          <w:szCs w:val="40"/>
          <w:highlight w:val="none"/>
          <w14:textFill>
            <w14:solidFill>
              <w14:schemeClr w14:val="tx1"/>
            </w14:solidFill>
          </w14:textFill>
        </w:rPr>
      </w:pPr>
      <w:r>
        <w:rPr>
          <w:rFonts w:hint="eastAsia" w:ascii="宋体" w:hAnsi="宋体" w:eastAsia="宋体" w:cs="宋体"/>
          <w:b/>
          <w:i w:val="0"/>
          <w:iCs w:val="0"/>
          <w:color w:val="000000" w:themeColor="text1"/>
          <w:sz w:val="40"/>
          <w:szCs w:val="40"/>
          <w:highlight w:val="none"/>
          <w14:textFill>
            <w14:solidFill>
              <w14:schemeClr w14:val="tx1"/>
            </w14:solidFill>
          </w14:textFill>
        </w:rPr>
        <w:t>目    录</w:t>
      </w:r>
    </w:p>
    <w:p w14:paraId="10892BE2">
      <w:pPr>
        <w:pStyle w:val="52"/>
        <w:keepNext w:val="0"/>
        <w:keepLines w:val="0"/>
        <w:pageBreakBefore w:val="0"/>
        <w:widowControl w:val="0"/>
        <w:tabs>
          <w:tab w:val="right" w:leader="dot" w:pos="9069"/>
        </w:tabs>
        <w:kinsoku/>
        <w:wordWrap/>
        <w:overflowPunct/>
        <w:topLinePunct w:val="0"/>
        <w:autoSpaceDE/>
        <w:autoSpaceDN/>
        <w:bidi w:val="0"/>
        <w:adjustRightInd/>
        <w:snapToGrid w:val="0"/>
        <w:spacing w:before="0" w:after="0"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bCs w:val="0"/>
          <w:i w:val="0"/>
          <w:iCs w:val="0"/>
          <w:color w:val="000000" w:themeColor="text1"/>
          <w:sz w:val="21"/>
          <w:szCs w:val="21"/>
          <w:highlight w:val="none"/>
          <w14:textFill>
            <w14:solidFill>
              <w14:schemeClr w14:val="tx1"/>
            </w14:solidFill>
          </w14:textFill>
        </w:rPr>
        <w:fldChar w:fldCharType="begin"/>
      </w:r>
      <w:r>
        <w:rPr>
          <w:rFonts w:hint="eastAsia" w:ascii="宋体" w:hAnsi="宋体" w:eastAsia="宋体" w:cs="宋体"/>
          <w:bCs w:val="0"/>
          <w:i w:val="0"/>
          <w:iCs w:val="0"/>
          <w:color w:val="000000" w:themeColor="text1"/>
          <w:sz w:val="21"/>
          <w:szCs w:val="21"/>
          <w:highlight w:val="none"/>
          <w14:textFill>
            <w14:solidFill>
              <w14:schemeClr w14:val="tx1"/>
            </w14:solidFill>
          </w14:textFill>
        </w:rPr>
        <w:instrText xml:space="preserve"> TOC \o "1-3" \h \z \u </w:instrText>
      </w:r>
      <w:r>
        <w:rPr>
          <w:rFonts w:hint="eastAsia" w:ascii="宋体" w:hAnsi="宋体" w:eastAsia="宋体" w:cs="宋体"/>
          <w:bCs w:val="0"/>
          <w:i w:val="0"/>
          <w:iCs w:val="0"/>
          <w:color w:val="000000" w:themeColor="text1"/>
          <w:sz w:val="21"/>
          <w:szCs w:val="21"/>
          <w:highlight w:val="none"/>
          <w14:textFill>
            <w14:solidFill>
              <w14:schemeClr w14:val="tx1"/>
            </w14:solidFill>
          </w14:textFill>
        </w:rPr>
        <w:fldChar w:fldCharType="separate"/>
      </w:r>
      <w:bookmarkStart w:id="0" w:name="_Toc457289841"/>
      <w:r>
        <w:rPr>
          <w:rFonts w:hint="eastAsia" w:ascii="宋体" w:hAnsi="宋体" w:eastAsia="宋体" w:cs="宋体"/>
          <w:bCs w:val="0"/>
          <w:i w:val="0"/>
          <w:iCs w:val="0"/>
          <w:color w:val="000000" w:themeColor="text1"/>
          <w:szCs w:val="21"/>
          <w:highlight w:val="none"/>
          <w14:textFill>
            <w14:solidFill>
              <w14:schemeClr w14:val="tx1"/>
            </w14:solidFill>
          </w14:textFill>
        </w:rPr>
        <w:fldChar w:fldCharType="begin"/>
      </w:r>
      <w:r>
        <w:rPr>
          <w:rFonts w:hint="eastAsia" w:ascii="宋体" w:hAnsi="宋体" w:eastAsia="宋体" w:cs="宋体"/>
          <w:bCs w:val="0"/>
          <w:i w:val="0"/>
          <w:iCs w:val="0"/>
          <w:color w:val="000000" w:themeColor="text1"/>
          <w:szCs w:val="21"/>
          <w:highlight w:val="none"/>
          <w14:textFill>
            <w14:solidFill>
              <w14:schemeClr w14:val="tx1"/>
            </w14:solidFill>
          </w14:textFill>
        </w:rPr>
        <w:instrText xml:space="preserve"> HYPERLINK \l _Toc2330 </w:instrText>
      </w:r>
      <w:r>
        <w:rPr>
          <w:rFonts w:hint="eastAsia" w:ascii="宋体" w:hAnsi="宋体" w:eastAsia="宋体" w:cs="宋体"/>
          <w:bCs w:val="0"/>
          <w:i w:val="0"/>
          <w:iCs w:val="0"/>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kern w:val="2"/>
          <w:highlight w:val="none"/>
          <w14:textFill>
            <w14:solidFill>
              <w14:schemeClr w14:val="tx1"/>
            </w14:solidFill>
          </w14:textFill>
        </w:rPr>
        <w:t>诚信廉政承诺书</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_Toc2330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1</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bCs w:val="0"/>
          <w:i w:val="0"/>
          <w:iCs w:val="0"/>
          <w:color w:val="000000" w:themeColor="text1"/>
          <w:szCs w:val="21"/>
          <w:highlight w:val="none"/>
          <w14:textFill>
            <w14:solidFill>
              <w14:schemeClr w14:val="tx1"/>
            </w14:solidFill>
          </w14:textFill>
        </w:rPr>
        <w:fldChar w:fldCharType="end"/>
      </w:r>
    </w:p>
    <w:p w14:paraId="259CDF76">
      <w:pPr>
        <w:pStyle w:val="52"/>
        <w:keepNext w:val="0"/>
        <w:keepLines w:val="0"/>
        <w:pageBreakBefore w:val="0"/>
        <w:widowControl w:val="0"/>
        <w:tabs>
          <w:tab w:val="right" w:leader="dot" w:pos="9069"/>
        </w:tabs>
        <w:kinsoku/>
        <w:wordWrap/>
        <w:overflowPunct/>
        <w:topLinePunct w:val="0"/>
        <w:autoSpaceDE/>
        <w:autoSpaceDN/>
        <w:bidi w:val="0"/>
        <w:adjustRightInd/>
        <w:snapToGrid w:val="0"/>
        <w:spacing w:before="0" w:after="0"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_Toc26167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bCs w:val="0"/>
          <w:i w:val="0"/>
          <w:iCs w:val="0"/>
          <w:color w:val="000000" w:themeColor="text1"/>
          <w:szCs w:val="30"/>
          <w:highlight w:val="none"/>
          <w14:textFill>
            <w14:solidFill>
              <w14:schemeClr w14:val="tx1"/>
            </w14:solidFill>
          </w14:textFill>
        </w:rPr>
        <w:t>第一章  参考公开招标公告</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_Toc26167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2</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2A765750">
      <w:pPr>
        <w:pStyle w:val="52"/>
        <w:keepNext w:val="0"/>
        <w:keepLines w:val="0"/>
        <w:pageBreakBefore w:val="0"/>
        <w:widowControl w:val="0"/>
        <w:tabs>
          <w:tab w:val="right" w:leader="dot" w:pos="9069"/>
        </w:tabs>
        <w:kinsoku/>
        <w:wordWrap/>
        <w:overflowPunct/>
        <w:topLinePunct w:val="0"/>
        <w:autoSpaceDE/>
        <w:autoSpaceDN/>
        <w:bidi w:val="0"/>
        <w:adjustRightInd/>
        <w:snapToGrid w:val="0"/>
        <w:spacing w:before="0" w:after="0"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_Toc13861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bCs w:val="0"/>
          <w:i w:val="0"/>
          <w:iCs w:val="0"/>
          <w:color w:val="000000" w:themeColor="text1"/>
          <w:szCs w:val="30"/>
          <w:highlight w:val="none"/>
          <w14:textFill>
            <w14:solidFill>
              <w14:schemeClr w14:val="tx1"/>
            </w14:solidFill>
          </w14:textFill>
        </w:rPr>
        <w:t>第二章  供应商须知</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_Toc13861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4</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6CF77CE2">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_Toc373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一、说明</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_Toc373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9</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0DA81CFE">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_Toc23402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二、参考公开招标文件</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_Toc23402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9</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2AC6DAD1">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_Toc4689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三、电子投标文件编写</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_Toc4689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10</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3A8B67FC">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_Toc30201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四、电子投标文件递交</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_Toc30201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15</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2DF8830C">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_Toc28120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五、开标与评标</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_Toc28120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16</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2B8B214A">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_Toc10729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六、授予合同</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_Toc10729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21</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743C6B4A">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_Toc9749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七、相关费用</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_Toc9749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22</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0BE6D63C">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_Toc3619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八、保密和披露</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_Toc3619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22</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74F87A60">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_Toc14134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九、解释权</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_Toc14134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22</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339FCA21">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_Toc29559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十、其他</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_Toc29559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23</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20476D80">
      <w:pPr>
        <w:pStyle w:val="52"/>
        <w:keepNext w:val="0"/>
        <w:keepLines w:val="0"/>
        <w:pageBreakBefore w:val="0"/>
        <w:widowControl w:val="0"/>
        <w:tabs>
          <w:tab w:val="right" w:leader="dot" w:pos="9069"/>
        </w:tabs>
        <w:kinsoku/>
        <w:wordWrap/>
        <w:overflowPunct/>
        <w:topLinePunct w:val="0"/>
        <w:autoSpaceDE/>
        <w:autoSpaceDN/>
        <w:bidi w:val="0"/>
        <w:adjustRightInd/>
        <w:snapToGrid w:val="0"/>
        <w:spacing w:before="0" w:after="0"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_Toc18104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bCs/>
          <w:i w:val="0"/>
          <w:iCs w:val="0"/>
          <w:color w:val="000000" w:themeColor="text1"/>
          <w:kern w:val="2"/>
          <w:highlight w:val="none"/>
          <w14:textFill>
            <w14:solidFill>
              <w14:schemeClr w14:val="tx1"/>
            </w14:solidFill>
          </w14:textFill>
        </w:rPr>
        <w:t>第三章  评分办法</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_Toc18104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24</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6C2ABE59">
      <w:pPr>
        <w:pStyle w:val="52"/>
        <w:keepNext w:val="0"/>
        <w:keepLines w:val="0"/>
        <w:pageBreakBefore w:val="0"/>
        <w:widowControl w:val="0"/>
        <w:tabs>
          <w:tab w:val="right" w:leader="dot" w:pos="9069"/>
        </w:tabs>
        <w:kinsoku/>
        <w:wordWrap/>
        <w:overflowPunct/>
        <w:topLinePunct w:val="0"/>
        <w:autoSpaceDE/>
        <w:autoSpaceDN/>
        <w:bidi w:val="0"/>
        <w:adjustRightInd/>
        <w:snapToGrid w:val="0"/>
        <w:spacing w:before="0" w:after="0"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_Toc27029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kern w:val="2"/>
          <w:highlight w:val="none"/>
          <w14:textFill>
            <w14:solidFill>
              <w14:schemeClr w14:val="tx1"/>
            </w14:solidFill>
          </w14:textFill>
        </w:rPr>
        <w:t>第四章</w:t>
      </w:r>
      <w:r>
        <w:rPr>
          <w:rFonts w:hint="eastAsia" w:ascii="宋体" w:hAnsi="宋体" w:eastAsia="宋体" w:cs="宋体"/>
          <w:i w:val="0"/>
          <w:iCs w:val="0"/>
          <w:color w:val="000000" w:themeColor="text1"/>
          <w:kern w:val="2"/>
          <w:highlight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kern w:val="2"/>
          <w:highlight w:val="none"/>
          <w14:textFill>
            <w14:solidFill>
              <w14:schemeClr w14:val="tx1"/>
            </w14:solidFill>
          </w14:textFill>
        </w:rPr>
        <w:t xml:space="preserve"> 采购内容及项目要求</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_Toc27029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26</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41DD625B">
      <w:pPr>
        <w:pStyle w:val="52"/>
        <w:keepNext w:val="0"/>
        <w:keepLines w:val="0"/>
        <w:pageBreakBefore w:val="0"/>
        <w:widowControl w:val="0"/>
        <w:tabs>
          <w:tab w:val="right" w:leader="dot" w:pos="9069"/>
        </w:tabs>
        <w:kinsoku/>
        <w:wordWrap/>
        <w:overflowPunct/>
        <w:topLinePunct w:val="0"/>
        <w:autoSpaceDE/>
        <w:autoSpaceDN/>
        <w:bidi w:val="0"/>
        <w:adjustRightInd/>
        <w:snapToGrid w:val="0"/>
        <w:spacing w:before="0" w:after="0" w:line="360" w:lineRule="auto"/>
        <w:textAlignment w:val="auto"/>
        <w:rPr>
          <w:rFonts w:hint="eastAsia" w:ascii="宋体" w:hAnsi="宋体" w:eastAsia="宋体" w:cs="宋体"/>
          <w:i w:val="0"/>
          <w:iCs w:val="0"/>
          <w:caps/>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_Toc19726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aps/>
          <w:color w:val="000000" w:themeColor="text1"/>
          <w:szCs w:val="21"/>
          <w:highlight w:val="none"/>
          <w14:textFill>
            <w14:solidFill>
              <w14:schemeClr w14:val="tx1"/>
            </w14:solidFill>
          </w14:textFill>
        </w:rPr>
        <w:t>第五章  合同格式</w:t>
      </w:r>
      <w:r>
        <w:rPr>
          <w:rFonts w:hint="eastAsia" w:ascii="宋体" w:hAnsi="宋体" w:eastAsia="宋体" w:cs="宋体"/>
          <w:i w:val="0"/>
          <w:iCs w:val="0"/>
          <w:caps/>
          <w:color w:val="000000" w:themeColor="text1"/>
          <w:szCs w:val="21"/>
          <w:highlight w:val="none"/>
          <w14:textFill>
            <w14:solidFill>
              <w14:schemeClr w14:val="tx1"/>
            </w14:solidFill>
          </w14:textFill>
        </w:rPr>
        <w:tab/>
      </w:r>
      <w:r>
        <w:rPr>
          <w:rFonts w:hint="eastAsia" w:ascii="宋体" w:hAnsi="宋体" w:eastAsia="宋体" w:cs="宋体"/>
          <w:i w:val="0"/>
          <w:iCs w:val="0"/>
          <w:caps/>
          <w:color w:val="000000" w:themeColor="text1"/>
          <w:szCs w:val="21"/>
          <w:highlight w:val="none"/>
          <w:lang w:val="en-US" w:eastAsia="zh-CN"/>
          <w14:textFill>
            <w14:solidFill>
              <w14:schemeClr w14:val="tx1"/>
            </w14:solidFill>
          </w14:textFill>
        </w:rPr>
        <w:t>2</w: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lang w:val="en-US" w:eastAsia="zh-CN"/>
          <w14:textFill>
            <w14:solidFill>
              <w14:schemeClr w14:val="tx1"/>
            </w14:solidFill>
          </w14:textFill>
        </w:rPr>
        <w:t>8</w:t>
      </w:r>
    </w:p>
    <w:p w14:paraId="397A014C">
      <w:pPr>
        <w:pStyle w:val="52"/>
        <w:keepNext w:val="0"/>
        <w:keepLines w:val="0"/>
        <w:pageBreakBefore w:val="0"/>
        <w:widowControl w:val="0"/>
        <w:tabs>
          <w:tab w:val="right" w:leader="dot" w:pos="9069"/>
        </w:tabs>
        <w:kinsoku/>
        <w:wordWrap/>
        <w:overflowPunct/>
        <w:topLinePunct w:val="0"/>
        <w:autoSpaceDE/>
        <w:autoSpaceDN/>
        <w:bidi w:val="0"/>
        <w:adjustRightInd/>
        <w:snapToGrid w:val="0"/>
        <w:spacing w:before="0" w:after="0" w:line="360" w:lineRule="auto"/>
        <w:textAlignment w:val="auto"/>
        <w:rPr>
          <w:rFonts w:hint="eastAsia" w:ascii="宋体" w:hAnsi="宋体" w:eastAsia="宋体" w:cs="宋体"/>
          <w:i w:val="0"/>
          <w:iCs w:val="0"/>
          <w:caps/>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_Toc6305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aps/>
          <w:color w:val="000000" w:themeColor="text1"/>
          <w:szCs w:val="21"/>
          <w:highlight w:val="none"/>
          <w14:textFill>
            <w14:solidFill>
              <w14:schemeClr w14:val="tx1"/>
            </w14:solidFill>
          </w14:textFill>
        </w:rPr>
        <w:t>第六章  附    件</w:t>
      </w:r>
      <w:r>
        <w:rPr>
          <w:rFonts w:hint="eastAsia" w:ascii="宋体" w:hAnsi="宋体" w:eastAsia="宋体" w:cs="宋体"/>
          <w:i w:val="0"/>
          <w:iCs w:val="0"/>
          <w:caps/>
          <w:color w:val="000000" w:themeColor="text1"/>
          <w:szCs w:val="21"/>
          <w:highlight w:val="none"/>
          <w14:textFill>
            <w14:solidFill>
              <w14:schemeClr w14:val="tx1"/>
            </w14:solidFill>
          </w14:textFill>
        </w:rPr>
        <w:tab/>
      </w:r>
      <w:r>
        <w:rPr>
          <w:rFonts w:hint="eastAsia" w:ascii="宋体" w:hAnsi="宋体" w:eastAsia="宋体" w:cs="宋体"/>
          <w:i w:val="0"/>
          <w:iCs w:val="0"/>
          <w:caps/>
          <w:color w:val="000000" w:themeColor="text1"/>
          <w:szCs w:val="21"/>
          <w:highlight w:val="none"/>
          <w:lang w:val="en-US" w:eastAsia="zh-CN"/>
          <w14:textFill>
            <w14:solidFill>
              <w14:schemeClr w14:val="tx1"/>
            </w14:solidFill>
          </w14:textFill>
        </w:rPr>
        <w:t>3</w: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lang w:val="en-US" w:eastAsia="zh-CN"/>
          <w14:textFill>
            <w14:solidFill>
              <w14:schemeClr w14:val="tx1"/>
            </w14:solidFill>
          </w14:textFill>
        </w:rPr>
        <w:t>2</w:t>
      </w:r>
    </w:p>
    <w:p w14:paraId="31BB59DB">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_Toc1375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szCs w:val="28"/>
          <w:highlight w:val="none"/>
          <w14:textFill>
            <w14:solidFill>
              <w14:schemeClr w14:val="tx1"/>
            </w14:solidFill>
          </w14:textFill>
        </w:rPr>
        <w:t>附件一：投标函</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_Toc1375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32</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0B8043F8">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_Toc31857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szCs w:val="28"/>
          <w:highlight w:val="none"/>
          <w14:textFill>
            <w14:solidFill>
              <w14:schemeClr w14:val="tx1"/>
            </w14:solidFill>
          </w14:textFill>
        </w:rPr>
        <w:t>附件二：法定代表人身份证明或法定代表人授权委托书</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_Toc31857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33</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2C63CC04">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_Toc7243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szCs w:val="28"/>
          <w:highlight w:val="none"/>
          <w14:textFill>
            <w14:solidFill>
              <w14:schemeClr w14:val="tx1"/>
            </w14:solidFill>
          </w14:textFill>
        </w:rPr>
        <w:t>附件三：开标一览表</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_Toc7243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35</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705BF8DE">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_Toc14011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szCs w:val="28"/>
          <w:highlight w:val="none"/>
          <w14:textFill>
            <w14:solidFill>
              <w14:schemeClr w14:val="tx1"/>
            </w14:solidFill>
          </w14:textFill>
        </w:rPr>
        <w:t>附件四：投标明细表</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_Toc14011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36</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645289ED">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_Toc7649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szCs w:val="28"/>
          <w:highlight w:val="none"/>
          <w14:textFill>
            <w14:solidFill>
              <w14:schemeClr w14:val="tx1"/>
            </w14:solidFill>
          </w14:textFill>
        </w:rPr>
        <w:t>附件五：服务条款响应一览表</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_Toc7649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37</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79A8FDDC">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_Toc6078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szCs w:val="28"/>
          <w:highlight w:val="none"/>
          <w14:textFill>
            <w14:solidFill>
              <w14:schemeClr w14:val="tx1"/>
            </w14:solidFill>
          </w14:textFill>
        </w:rPr>
        <w:t>附件六：业绩一览表</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_Toc6078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38</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589B9DB8">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_Toc25636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szCs w:val="28"/>
          <w:highlight w:val="none"/>
          <w14:textFill>
            <w14:solidFill>
              <w14:schemeClr w14:val="tx1"/>
            </w14:solidFill>
          </w14:textFill>
        </w:rPr>
        <w:t>附件七：商务条款响应一览表</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_Toc25636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39</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0BB3B864">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szCs w:val="28"/>
          <w:highlight w:val="none"/>
          <w14:textFill>
            <w14:solidFill>
              <w14:schemeClr w14:val="tx1"/>
            </w14:solidFill>
          </w14:textFill>
        </w:rPr>
      </w:pPr>
      <w:r>
        <w:rPr>
          <w:rFonts w:hint="eastAsia" w:ascii="宋体" w:hAnsi="宋体" w:eastAsia="宋体" w:cs="宋体"/>
          <w:i w:val="0"/>
          <w:iCs w:val="0"/>
          <w:color w:val="000000" w:themeColor="text1"/>
          <w:szCs w:val="28"/>
          <w:highlight w:val="none"/>
          <w14:textFill>
            <w14:solidFill>
              <w14:schemeClr w14:val="tx1"/>
            </w14:solidFill>
          </w14:textFill>
        </w:rPr>
        <w:fldChar w:fldCharType="begin"/>
      </w:r>
      <w:r>
        <w:rPr>
          <w:rFonts w:hint="eastAsia" w:ascii="宋体" w:hAnsi="宋体" w:eastAsia="宋体" w:cs="宋体"/>
          <w:i w:val="0"/>
          <w:iCs w:val="0"/>
          <w:color w:val="000000" w:themeColor="text1"/>
          <w:szCs w:val="28"/>
          <w:highlight w:val="none"/>
          <w14:textFill>
            <w14:solidFill>
              <w14:schemeClr w14:val="tx1"/>
            </w14:solidFill>
          </w14:textFill>
        </w:rPr>
        <w:instrText xml:space="preserve"> HYPERLINK \l _Toc14638 </w:instrText>
      </w:r>
      <w:r>
        <w:rPr>
          <w:rFonts w:hint="eastAsia" w:ascii="宋体" w:hAnsi="宋体" w:eastAsia="宋体" w:cs="宋体"/>
          <w:i w:val="0"/>
          <w:iCs w:val="0"/>
          <w:color w:val="000000" w:themeColor="text1"/>
          <w:szCs w:val="28"/>
          <w:highlight w:val="none"/>
          <w14:textFill>
            <w14:solidFill>
              <w14:schemeClr w14:val="tx1"/>
            </w14:solidFill>
          </w14:textFill>
        </w:rPr>
        <w:fldChar w:fldCharType="separate"/>
      </w:r>
      <w:r>
        <w:rPr>
          <w:rFonts w:hint="eastAsia" w:ascii="宋体" w:hAnsi="宋体" w:eastAsia="宋体" w:cs="宋体"/>
          <w:i w:val="0"/>
          <w:iCs w:val="0"/>
          <w:color w:val="000000" w:themeColor="text1"/>
          <w:szCs w:val="28"/>
          <w:highlight w:val="none"/>
          <w14:textFill>
            <w14:solidFill>
              <w14:schemeClr w14:val="tx1"/>
            </w14:solidFill>
          </w14:textFill>
        </w:rPr>
        <w:t>附件八: 技术人员配置</w:t>
      </w:r>
      <w:r>
        <w:rPr>
          <w:rFonts w:hint="eastAsia" w:ascii="宋体" w:hAnsi="宋体" w:eastAsia="宋体" w:cs="宋体"/>
          <w:i w:val="0"/>
          <w:iCs w:val="0"/>
          <w:color w:val="000000" w:themeColor="text1"/>
          <w:szCs w:val="28"/>
          <w:highlight w:val="none"/>
          <w14:textFill>
            <w14:solidFill>
              <w14:schemeClr w14:val="tx1"/>
            </w14:solidFill>
          </w14:textFill>
        </w:rPr>
        <w:tab/>
      </w:r>
      <w:r>
        <w:rPr>
          <w:rFonts w:hint="eastAsia" w:ascii="宋体" w:hAnsi="宋体" w:eastAsia="宋体" w:cs="宋体"/>
          <w:i w:val="0"/>
          <w:iCs w:val="0"/>
          <w:color w:val="000000" w:themeColor="text1"/>
          <w:szCs w:val="28"/>
          <w:highlight w:val="none"/>
          <w14:textFill>
            <w14:solidFill>
              <w14:schemeClr w14:val="tx1"/>
            </w14:solidFill>
          </w14:textFill>
        </w:rPr>
        <w:fldChar w:fldCharType="begin"/>
      </w:r>
      <w:r>
        <w:rPr>
          <w:rFonts w:hint="eastAsia" w:ascii="宋体" w:hAnsi="宋体" w:eastAsia="宋体" w:cs="宋体"/>
          <w:i w:val="0"/>
          <w:iCs w:val="0"/>
          <w:color w:val="000000" w:themeColor="text1"/>
          <w:szCs w:val="28"/>
          <w:highlight w:val="none"/>
          <w14:textFill>
            <w14:solidFill>
              <w14:schemeClr w14:val="tx1"/>
            </w14:solidFill>
          </w14:textFill>
        </w:rPr>
        <w:instrText xml:space="preserve"> PAGEREF _Toc14638 \h </w:instrText>
      </w:r>
      <w:r>
        <w:rPr>
          <w:rFonts w:hint="eastAsia" w:ascii="宋体" w:hAnsi="宋体" w:eastAsia="宋体" w:cs="宋体"/>
          <w:i w:val="0"/>
          <w:iCs w:val="0"/>
          <w:color w:val="000000" w:themeColor="text1"/>
          <w:szCs w:val="28"/>
          <w:highlight w:val="none"/>
          <w14:textFill>
            <w14:solidFill>
              <w14:schemeClr w14:val="tx1"/>
            </w14:solidFill>
          </w14:textFill>
        </w:rPr>
        <w:fldChar w:fldCharType="separate"/>
      </w:r>
      <w:r>
        <w:rPr>
          <w:rFonts w:hint="eastAsia" w:ascii="宋体" w:hAnsi="宋体" w:eastAsia="宋体" w:cs="宋体"/>
          <w:i w:val="0"/>
          <w:iCs w:val="0"/>
          <w:color w:val="000000" w:themeColor="text1"/>
          <w:szCs w:val="28"/>
          <w:highlight w:val="none"/>
          <w14:textFill>
            <w14:solidFill>
              <w14:schemeClr w14:val="tx1"/>
            </w14:solidFill>
          </w14:textFill>
        </w:rPr>
        <w:t>40</w:t>
      </w:r>
      <w:r>
        <w:rPr>
          <w:rFonts w:hint="eastAsia" w:ascii="宋体" w:hAnsi="宋体" w:eastAsia="宋体" w:cs="宋体"/>
          <w:i w:val="0"/>
          <w:iCs w:val="0"/>
          <w:color w:val="000000" w:themeColor="text1"/>
          <w:szCs w:val="28"/>
          <w:highlight w:val="none"/>
          <w14:textFill>
            <w14:solidFill>
              <w14:schemeClr w14:val="tx1"/>
            </w14:solidFill>
          </w14:textFill>
        </w:rPr>
        <w:fldChar w:fldCharType="end"/>
      </w:r>
      <w:r>
        <w:rPr>
          <w:rFonts w:hint="eastAsia" w:ascii="宋体" w:hAnsi="宋体" w:eastAsia="宋体" w:cs="宋体"/>
          <w:i w:val="0"/>
          <w:iCs w:val="0"/>
          <w:color w:val="000000" w:themeColor="text1"/>
          <w:szCs w:val="28"/>
          <w:highlight w:val="none"/>
          <w14:textFill>
            <w14:solidFill>
              <w14:schemeClr w14:val="tx1"/>
            </w14:solidFill>
          </w14:textFill>
        </w:rPr>
        <w:fldChar w:fldCharType="end"/>
      </w:r>
    </w:p>
    <w:p w14:paraId="1999800A">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_Toc4815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szCs w:val="28"/>
          <w:highlight w:val="none"/>
          <w14:textFill>
            <w14:solidFill>
              <w14:schemeClr w14:val="tx1"/>
            </w14:solidFill>
          </w14:textFill>
        </w:rPr>
        <w:t>附件九：供应商资格证明文件（部分）</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_Toc4815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41</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7307B16F">
      <w:pPr>
        <w:pStyle w:val="39"/>
        <w:keepNext w:val="0"/>
        <w:keepLines w:val="0"/>
        <w:pageBreakBefore w:val="0"/>
        <w:widowControl w:val="0"/>
        <w:tabs>
          <w:tab w:val="right" w:leader="dot" w:pos="9069"/>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_Toc9568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szCs w:val="28"/>
          <w:highlight w:val="none"/>
          <w14:textFill>
            <w14:solidFill>
              <w14:schemeClr w14:val="tx1"/>
            </w14:solidFill>
          </w14:textFill>
        </w:rPr>
        <w:t>格式1：供应商资信证明文件</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_Toc9568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41</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5D89DB97">
      <w:pPr>
        <w:pStyle w:val="39"/>
        <w:keepNext w:val="0"/>
        <w:keepLines w:val="0"/>
        <w:pageBreakBefore w:val="0"/>
        <w:widowControl w:val="0"/>
        <w:tabs>
          <w:tab w:val="right" w:leader="dot" w:pos="9069"/>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_Toc21057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bCs/>
          <w:i w:val="0"/>
          <w:iCs w:val="0"/>
          <w:color w:val="000000" w:themeColor="text1"/>
          <w:szCs w:val="28"/>
          <w:highlight w:val="none"/>
          <w14:textFill>
            <w14:solidFill>
              <w14:schemeClr w14:val="tx1"/>
            </w14:solidFill>
          </w14:textFill>
        </w:rPr>
        <w:t>格式2：参加政府采购活动前3年内在经营活动中没有重大违法记录的书面声明</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_Toc21057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42</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71252D26">
      <w:pPr>
        <w:pStyle w:val="39"/>
        <w:keepNext w:val="0"/>
        <w:keepLines w:val="0"/>
        <w:pageBreakBefore w:val="0"/>
        <w:widowControl w:val="0"/>
        <w:tabs>
          <w:tab w:val="right" w:leader="dot" w:pos="9069"/>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_Toc5394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szCs w:val="28"/>
          <w:highlight w:val="none"/>
          <w14:textFill>
            <w14:solidFill>
              <w14:schemeClr w14:val="tx1"/>
            </w14:solidFill>
          </w14:textFill>
        </w:rPr>
        <w:t>格式3:</w:t>
      </w:r>
      <w:r>
        <w:rPr>
          <w:rFonts w:hint="eastAsia" w:ascii="宋体" w:hAnsi="宋体" w:eastAsia="宋体" w:cs="宋体"/>
          <w:i w:val="0"/>
          <w:iCs w:val="0"/>
          <w:color w:val="000000" w:themeColor="text1"/>
          <w:highlight w:val="none"/>
          <w14:textFill>
            <w14:solidFill>
              <w14:schemeClr w14:val="tx1"/>
            </w14:solidFill>
          </w14:textFill>
        </w:rPr>
        <w:t xml:space="preserve"> </w:t>
      </w:r>
      <w:r>
        <w:rPr>
          <w:rFonts w:hint="eastAsia" w:ascii="宋体" w:hAnsi="宋体" w:eastAsia="宋体" w:cs="宋体"/>
          <w:i w:val="0"/>
          <w:iCs w:val="0"/>
          <w:color w:val="000000" w:themeColor="text1"/>
          <w:szCs w:val="28"/>
          <w:highlight w:val="none"/>
          <w14:textFill>
            <w14:solidFill>
              <w14:schemeClr w14:val="tx1"/>
            </w14:solidFill>
          </w14:textFill>
        </w:rPr>
        <w:t>供应商依法缴纳税收和社会保障资金的证明材料</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_Toc5394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43</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20665D4F">
      <w:pPr>
        <w:pStyle w:val="39"/>
        <w:keepNext w:val="0"/>
        <w:keepLines w:val="0"/>
        <w:pageBreakBefore w:val="0"/>
        <w:widowControl w:val="0"/>
        <w:tabs>
          <w:tab w:val="right" w:leader="dot" w:pos="9069"/>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_Toc19122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szCs w:val="28"/>
          <w:highlight w:val="none"/>
          <w14:textFill>
            <w14:solidFill>
              <w14:schemeClr w14:val="tx1"/>
            </w14:solidFill>
          </w14:textFill>
        </w:rPr>
        <w:t>格式4：履行合同所必需的设备和专业技术能力的证明材料</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_Toc19122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44</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78249667">
      <w:pPr>
        <w:pStyle w:val="61"/>
        <w:keepNext w:val="0"/>
        <w:keepLines w:val="0"/>
        <w:pageBreakBefore w:val="0"/>
        <w:widowControl w:val="0"/>
        <w:tabs>
          <w:tab w:val="right" w:leader="dot" w:pos="9069"/>
          <w:tab w:val="clear" w:pos="8597"/>
        </w:tabs>
        <w:kinsoku/>
        <w:wordWrap/>
        <w:overflowPunct/>
        <w:topLinePunct w:val="0"/>
        <w:autoSpaceDE/>
        <w:autoSpaceDN/>
        <w:bidi w:val="0"/>
        <w:adjustRightInd/>
        <w:snapToGrid w:val="0"/>
        <w:spacing w:line="360" w:lineRule="auto"/>
        <w:textAlignment w:val="auto"/>
        <w:rPr>
          <w:rFonts w:hint="eastAsia" w:ascii="宋体" w:hAnsi="宋体" w:eastAsia="宋体" w:cs="宋体"/>
          <w:i w:val="0"/>
          <w:iCs w:val="0"/>
          <w:color w:val="000000" w:themeColor="text1"/>
          <w:highlight w:val="none"/>
          <w14:textFill>
            <w14:solidFill>
              <w14:schemeClr w14:val="tx1"/>
            </w14:solidFill>
          </w14:textFill>
        </w:r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begin"/>
      </w:r>
      <w:r>
        <w:rPr>
          <w:rFonts w:hint="eastAsia" w:ascii="宋体" w:hAnsi="宋体" w:eastAsia="宋体" w:cs="宋体"/>
          <w:i w:val="0"/>
          <w:iCs w:val="0"/>
          <w:caps/>
          <w:color w:val="000000" w:themeColor="text1"/>
          <w:szCs w:val="21"/>
          <w:highlight w:val="none"/>
          <w14:textFill>
            <w14:solidFill>
              <w14:schemeClr w14:val="tx1"/>
            </w14:solidFill>
          </w14:textFill>
        </w:rPr>
        <w:instrText xml:space="preserve"> HYPERLINK \l _Toc24647 </w:instrText>
      </w:r>
      <w:r>
        <w:rPr>
          <w:rFonts w:hint="eastAsia" w:ascii="宋体" w:hAnsi="宋体" w:eastAsia="宋体" w:cs="宋体"/>
          <w:i w:val="0"/>
          <w:iCs w:val="0"/>
          <w:caps/>
          <w:color w:val="000000" w:themeColor="text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szCs w:val="28"/>
          <w:highlight w:val="none"/>
          <w14:textFill>
            <w14:solidFill>
              <w14:schemeClr w14:val="tx1"/>
            </w14:solidFill>
          </w14:textFill>
        </w:rPr>
        <w:t>附件十：电子投标文件封面格式</w:t>
      </w:r>
      <w:r>
        <w:rPr>
          <w:rFonts w:hint="eastAsia" w:ascii="宋体" w:hAnsi="宋体" w:eastAsia="宋体" w:cs="宋体"/>
          <w:i w:val="0"/>
          <w:iCs w:val="0"/>
          <w:color w:val="000000" w:themeColor="text1"/>
          <w:highlight w:val="none"/>
          <w14:textFill>
            <w14:solidFill>
              <w14:schemeClr w14:val="tx1"/>
            </w14:solidFill>
          </w14:textFill>
        </w:rPr>
        <w:tab/>
      </w:r>
      <w:r>
        <w:rPr>
          <w:rFonts w:hint="eastAsia" w:ascii="宋体" w:hAnsi="宋体" w:eastAsia="宋体" w:cs="宋体"/>
          <w:i w:val="0"/>
          <w:iCs w:val="0"/>
          <w:color w:val="000000" w:themeColor="text1"/>
          <w:highlight w:val="none"/>
          <w14:textFill>
            <w14:solidFill>
              <w14:schemeClr w14:val="tx1"/>
            </w14:solidFill>
          </w14:textFill>
        </w:rPr>
        <w:fldChar w:fldCharType="begin"/>
      </w:r>
      <w:r>
        <w:rPr>
          <w:rFonts w:hint="eastAsia" w:ascii="宋体" w:hAnsi="宋体" w:eastAsia="宋体" w:cs="宋体"/>
          <w:i w:val="0"/>
          <w:iCs w:val="0"/>
          <w:color w:val="000000" w:themeColor="text1"/>
          <w:highlight w:val="none"/>
          <w14:textFill>
            <w14:solidFill>
              <w14:schemeClr w14:val="tx1"/>
            </w14:solidFill>
          </w14:textFill>
        </w:rPr>
        <w:instrText xml:space="preserve"> PAGEREF _Toc24647 \h </w:instrText>
      </w:r>
      <w:r>
        <w:rPr>
          <w:rFonts w:hint="eastAsia" w:ascii="宋体" w:hAnsi="宋体" w:eastAsia="宋体" w:cs="宋体"/>
          <w:i w:val="0"/>
          <w:iCs w:val="0"/>
          <w:color w:val="000000" w:themeColor="text1"/>
          <w:highlight w:val="none"/>
          <w14:textFill>
            <w14:solidFill>
              <w14:schemeClr w14:val="tx1"/>
            </w14:solidFill>
          </w14:textFill>
        </w:rPr>
        <w:fldChar w:fldCharType="separate"/>
      </w:r>
      <w:r>
        <w:rPr>
          <w:rFonts w:hint="eastAsia" w:ascii="宋体" w:hAnsi="宋体" w:eastAsia="宋体" w:cs="宋体"/>
          <w:i w:val="0"/>
          <w:iCs w:val="0"/>
          <w:color w:val="000000" w:themeColor="text1"/>
          <w:highlight w:val="none"/>
          <w14:textFill>
            <w14:solidFill>
              <w14:schemeClr w14:val="tx1"/>
            </w14:solidFill>
          </w14:textFill>
        </w:rPr>
        <w:t>45</w:t>
      </w:r>
      <w:r>
        <w:rPr>
          <w:rFonts w:hint="eastAsia" w:ascii="宋体" w:hAnsi="宋体" w:eastAsia="宋体" w:cs="宋体"/>
          <w:i w:val="0"/>
          <w:iCs w:val="0"/>
          <w:color w:val="000000" w:themeColor="text1"/>
          <w:highlight w:val="none"/>
          <w14:textFill>
            <w14:solidFill>
              <w14:schemeClr w14:val="tx1"/>
            </w14:solidFill>
          </w14:textFill>
        </w:rPr>
        <w:fldChar w:fldCharType="end"/>
      </w: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p>
    <w:p w14:paraId="04F21ACD">
      <w:pPr>
        <w:pStyle w:val="2"/>
        <w:keepNext w:val="0"/>
        <w:keepLines w:val="0"/>
        <w:pageBreakBefore w:val="0"/>
        <w:widowControl w:val="0"/>
        <w:kinsoku/>
        <w:wordWrap/>
        <w:overflowPunct/>
        <w:topLinePunct w:val="0"/>
        <w:autoSpaceDE/>
        <w:autoSpaceDN/>
        <w:bidi w:val="0"/>
        <w:adjustRightInd/>
        <w:snapToGrid w:val="0"/>
        <w:spacing w:before="0" w:after="0" w:line="360" w:lineRule="auto"/>
        <w:jc w:val="center"/>
        <w:textAlignment w:val="auto"/>
        <w:rPr>
          <w:rFonts w:ascii="宋体" w:hAnsi="宋体" w:eastAsia="宋体" w:cs="宋体"/>
          <w:caps/>
          <w:color w:val="000000" w:themeColor="text1"/>
          <w:sz w:val="21"/>
          <w:szCs w:val="21"/>
          <w:highlight w:val="none"/>
          <w14:textFill>
            <w14:solidFill>
              <w14:schemeClr w14:val="tx1"/>
            </w14:solidFill>
          </w14:textFill>
        </w:rPr>
        <w:sectPr>
          <w:headerReference r:id="rId3" w:type="default"/>
          <w:footerReference r:id="rId4" w:type="default"/>
          <w:footerReference r:id="rId5" w:type="even"/>
          <w:pgSz w:w="11905" w:h="16838"/>
          <w:pgMar w:top="1418" w:right="1418" w:bottom="1418" w:left="1418" w:header="851" w:footer="822" w:gutter="0"/>
          <w:cols w:space="720" w:num="1"/>
          <w:docGrid w:linePitch="290" w:charSpace="0"/>
        </w:sectPr>
      </w:pPr>
      <w:r>
        <w:rPr>
          <w:rFonts w:hint="eastAsia" w:ascii="宋体" w:hAnsi="宋体" w:eastAsia="宋体" w:cs="宋体"/>
          <w:i w:val="0"/>
          <w:iCs w:val="0"/>
          <w:caps/>
          <w:color w:val="000000" w:themeColor="text1"/>
          <w:szCs w:val="21"/>
          <w:highlight w:val="none"/>
          <w14:textFill>
            <w14:solidFill>
              <w14:schemeClr w14:val="tx1"/>
            </w14:solidFill>
          </w14:textFill>
        </w:rPr>
        <w:fldChar w:fldCharType="end"/>
      </w:r>
      <w:bookmarkEnd w:id="0"/>
    </w:p>
    <w:p w14:paraId="7596ACAD">
      <w:pPr>
        <w:pStyle w:val="2"/>
        <w:spacing w:before="120" w:after="120" w:line="360" w:lineRule="auto"/>
        <w:jc w:val="center"/>
        <w:rPr>
          <w:rFonts w:ascii="宋体" w:hAnsi="宋体" w:eastAsia="宋体" w:cs="宋体"/>
          <w:color w:val="000000" w:themeColor="text1"/>
          <w:kern w:val="2"/>
          <w:sz w:val="32"/>
          <w:highlight w:val="none"/>
          <w14:textFill>
            <w14:solidFill>
              <w14:schemeClr w14:val="tx1"/>
            </w14:solidFill>
          </w14:textFill>
        </w:rPr>
      </w:pPr>
      <w:bookmarkStart w:id="1" w:name="_Toc2330"/>
      <w:r>
        <w:rPr>
          <w:rFonts w:hint="eastAsia" w:ascii="宋体" w:hAnsi="宋体" w:eastAsia="宋体" w:cs="宋体"/>
          <w:color w:val="000000" w:themeColor="text1"/>
          <w:kern w:val="2"/>
          <w:sz w:val="32"/>
          <w:highlight w:val="none"/>
          <w14:textFill>
            <w14:solidFill>
              <w14:schemeClr w14:val="tx1"/>
            </w14:solidFill>
          </w14:textFill>
        </w:rPr>
        <w:t>诚信廉政承诺书</w:t>
      </w:r>
      <w:bookmarkEnd w:id="1"/>
    </w:p>
    <w:p w14:paraId="306B720B">
      <w:pPr>
        <w:spacing w:line="440" w:lineRule="exact"/>
        <w:ind w:firstLine="616" w:firstLineChars="257"/>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为充分体现公开、公平、公正、诚信原则，共同维护招投标市场秩序，本单位在参与招投标过程中特作以下承诺： </w:t>
      </w:r>
    </w:p>
    <w:p w14:paraId="2502D9F4">
      <w:pPr>
        <w:spacing w:line="440" w:lineRule="exact"/>
        <w:ind w:firstLine="616" w:firstLineChars="257"/>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1．严格遵守国家及山东大学招投标管理规定，保证在招投标活动中无任何违规、违纪、违法行为。</w:t>
      </w:r>
    </w:p>
    <w:p w14:paraId="797023D4">
      <w:pPr>
        <w:spacing w:line="440" w:lineRule="exact"/>
        <w:ind w:firstLine="616" w:firstLineChars="257"/>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2．不以各种名目向采购人、工作人员及其相关人员请客、送礼、赠送有价证券、提供回扣和行贿等。</w:t>
      </w:r>
    </w:p>
    <w:p w14:paraId="5E1B7313">
      <w:pPr>
        <w:spacing w:line="440" w:lineRule="exact"/>
        <w:ind w:firstLine="616" w:firstLineChars="257"/>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3．不以不正当手段向采购人谋取资格预审及投标的照顾。</w:t>
      </w:r>
    </w:p>
    <w:p w14:paraId="5E1A91DE">
      <w:pPr>
        <w:spacing w:line="440" w:lineRule="exact"/>
        <w:ind w:firstLine="616" w:firstLineChars="257"/>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4．不以提供不正当利益等方式向标底编制、审查人员打听标底编制情况。</w:t>
      </w:r>
    </w:p>
    <w:p w14:paraId="3C5AD60E">
      <w:pPr>
        <w:spacing w:line="440" w:lineRule="exact"/>
        <w:ind w:firstLine="616" w:firstLineChars="257"/>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5．在确定成交供应商前，不向评标专家打招呼谋求照顾，不与采购人就投标价格、投标方案等实质内容进行谈判。</w:t>
      </w:r>
    </w:p>
    <w:p w14:paraId="03D299DA">
      <w:pPr>
        <w:spacing w:line="440" w:lineRule="exact"/>
        <w:ind w:firstLine="616" w:firstLineChars="257"/>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6．不与采购人或采购代理机构或其他串通投标，损害国家利益、社会公共利益或者他人的合法权益。</w:t>
      </w:r>
    </w:p>
    <w:p w14:paraId="4164ED9A">
      <w:pPr>
        <w:spacing w:line="440" w:lineRule="exact"/>
        <w:ind w:firstLine="616" w:firstLineChars="257"/>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7．成交后，不向采购人及工作人员赠送感谢费、好处费等。</w:t>
      </w:r>
    </w:p>
    <w:p w14:paraId="57FC09A1">
      <w:pPr>
        <w:spacing w:line="440" w:lineRule="exact"/>
        <w:ind w:firstLine="616" w:firstLineChars="257"/>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8．合同履行过程中不以任何形式及手段进行违规、违纪、违法活动。</w:t>
      </w:r>
    </w:p>
    <w:p w14:paraId="7B0A59C6">
      <w:pPr>
        <w:spacing w:line="440" w:lineRule="exact"/>
        <w:ind w:firstLine="616" w:firstLineChars="257"/>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9．所提供的一切材料都是真实、有效、合法的。</w:t>
      </w:r>
    </w:p>
    <w:p w14:paraId="5722FD89">
      <w:pPr>
        <w:spacing w:line="440" w:lineRule="exact"/>
        <w:ind w:firstLine="616" w:firstLineChars="257"/>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10．不在开标后进行虚假恶意投诉。</w:t>
      </w:r>
    </w:p>
    <w:p w14:paraId="74654D4E">
      <w:pPr>
        <w:spacing w:line="440" w:lineRule="exact"/>
        <w:ind w:firstLine="616" w:firstLineChars="257"/>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11．主动接受、配合山东大学招标采购管理中心及纪检监察部门的监督检查。</w:t>
      </w:r>
    </w:p>
    <w:p w14:paraId="6D538FB0">
      <w:pPr>
        <w:spacing w:line="440" w:lineRule="exact"/>
        <w:rPr>
          <w:rFonts w:ascii="宋体" w:hAnsi="宋体" w:eastAsia="宋体" w:cs="宋体"/>
          <w:color w:val="000000" w:themeColor="text1"/>
          <w:sz w:val="24"/>
          <w:highlight w:val="none"/>
          <w14:textFill>
            <w14:solidFill>
              <w14:schemeClr w14:val="tx1"/>
            </w14:solidFill>
          </w14:textFill>
        </w:rPr>
      </w:pPr>
    </w:p>
    <w:p w14:paraId="39BC3193">
      <w:pPr>
        <w:spacing w:line="440" w:lineRule="exact"/>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若违反上述承诺，愿接受相应处罚，直至追究法律责任。</w:t>
      </w:r>
    </w:p>
    <w:p w14:paraId="03C697C4">
      <w:pPr>
        <w:spacing w:line="440" w:lineRule="exact"/>
        <w:rPr>
          <w:rFonts w:ascii="宋体" w:hAnsi="宋体" w:eastAsia="宋体" w:cs="宋体"/>
          <w:color w:val="000000" w:themeColor="text1"/>
          <w:highlight w:val="none"/>
          <w14:textFill>
            <w14:solidFill>
              <w14:schemeClr w14:val="tx1"/>
            </w14:solidFill>
          </w14:textFill>
        </w:rPr>
      </w:pPr>
    </w:p>
    <w:p w14:paraId="74B8F8FD">
      <w:pPr>
        <w:spacing w:line="4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承诺单位（盖章）：                      法定代表人或授权代理人签字（或盖章）：</w:t>
      </w:r>
    </w:p>
    <w:p w14:paraId="77350A5A">
      <w:pPr>
        <w:spacing w:line="440" w:lineRule="exact"/>
        <w:rPr>
          <w:rFonts w:ascii="宋体" w:hAnsi="宋体" w:eastAsia="宋体" w:cs="宋体"/>
          <w:color w:val="000000" w:themeColor="text1"/>
          <w:sz w:val="24"/>
          <w:highlight w:val="none"/>
          <w14:textFill>
            <w14:solidFill>
              <w14:schemeClr w14:val="tx1"/>
            </w14:solidFill>
          </w14:textFill>
        </w:rPr>
      </w:pPr>
    </w:p>
    <w:p w14:paraId="48DB160E">
      <w:pPr>
        <w:spacing w:line="440" w:lineRule="exact"/>
        <w:rPr>
          <w:rFonts w:ascii="宋体" w:hAnsi="宋体" w:eastAsia="宋体" w:cs="宋体"/>
          <w:color w:val="000000" w:themeColor="text1"/>
          <w:highlight w:val="none"/>
          <w14:textFill>
            <w14:solidFill>
              <w14:schemeClr w14:val="tx1"/>
            </w14:solidFill>
          </w14:textFill>
        </w:rPr>
      </w:pPr>
    </w:p>
    <w:p w14:paraId="17E9FE91">
      <w:pPr>
        <w:spacing w:line="440" w:lineRule="exact"/>
        <w:ind w:firstLine="6240" w:firstLineChars="260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年    月    日</w:t>
      </w:r>
    </w:p>
    <w:p w14:paraId="06D7AE3C">
      <w:pPr>
        <w:pStyle w:val="40"/>
        <w:spacing w:line="440" w:lineRule="exact"/>
        <w:ind w:firstLine="2007" w:firstLineChars="833"/>
        <w:rPr>
          <w:rFonts w:hAnsi="宋体" w:eastAsia="宋体" w:cs="宋体"/>
          <w:b/>
          <w:color w:val="000000" w:themeColor="text1"/>
          <w:sz w:val="24"/>
          <w:highlight w:val="none"/>
          <w14:textFill>
            <w14:solidFill>
              <w14:schemeClr w14:val="tx1"/>
            </w14:solidFill>
          </w14:textFill>
        </w:rPr>
      </w:pPr>
      <w:r>
        <w:rPr>
          <w:rFonts w:hint="eastAsia" w:hAnsi="宋体" w:eastAsia="宋体" w:cs="宋体"/>
          <w:b/>
          <w:color w:val="000000" w:themeColor="text1"/>
          <w:sz w:val="24"/>
          <w:highlight w:val="none"/>
          <w14:textFill>
            <w14:solidFill>
              <w14:schemeClr w14:val="tx1"/>
            </w14:solidFill>
          </w14:textFill>
        </w:rPr>
        <w:t>（供应商签章后作为电子投标文件的一部分）</w:t>
      </w:r>
    </w:p>
    <w:p w14:paraId="1B43F80F">
      <w:pPr>
        <w:pStyle w:val="2"/>
        <w:keepNext w:val="0"/>
        <w:keepLines w:val="0"/>
        <w:pageBreakBefore w:val="0"/>
        <w:widowControl w:val="0"/>
        <w:kinsoku/>
        <w:wordWrap/>
        <w:overflowPunct/>
        <w:topLinePunct w:val="0"/>
        <w:autoSpaceDE/>
        <w:autoSpaceDN/>
        <w:bidi w:val="0"/>
        <w:adjustRightInd/>
        <w:snapToGrid w:val="0"/>
        <w:spacing w:before="0" w:after="0" w:line="460" w:lineRule="exact"/>
        <w:jc w:val="center"/>
        <w:textAlignment w:val="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2"/>
          <w:sz w:val="32"/>
          <w:highlight w:val="none"/>
          <w14:textFill>
            <w14:solidFill>
              <w14:schemeClr w14:val="tx1"/>
            </w14:solidFill>
          </w14:textFill>
        </w:rPr>
        <w:br w:type="page"/>
      </w:r>
      <w:bookmarkStart w:id="2" w:name="_Toc26167"/>
      <w:r>
        <w:rPr>
          <w:rFonts w:hint="eastAsia" w:ascii="宋体" w:hAnsi="宋体" w:eastAsia="宋体" w:cs="宋体"/>
          <w:bCs w:val="0"/>
          <w:color w:val="000000" w:themeColor="text1"/>
          <w:sz w:val="30"/>
          <w:szCs w:val="30"/>
          <w:highlight w:val="none"/>
          <w14:textFill>
            <w14:solidFill>
              <w14:schemeClr w14:val="tx1"/>
            </w14:solidFill>
          </w14:textFill>
        </w:rPr>
        <w:t>第一章  参考公开招标公告</w:t>
      </w:r>
      <w:bookmarkEnd w:id="2"/>
    </w:p>
    <w:p w14:paraId="19901D23">
      <w:pPr>
        <w:keepNext w:val="0"/>
        <w:keepLines w:val="0"/>
        <w:pageBreakBefore w:val="0"/>
        <w:widowControl w:val="0"/>
        <w:pBdr>
          <w:top w:val="single" w:color="auto" w:sz="4" w:space="1"/>
          <w:left w:val="single" w:color="auto" w:sz="4" w:space="0"/>
          <w:bottom w:val="single" w:color="auto" w:sz="4" w:space="1"/>
          <w:right w:val="single" w:color="auto" w:sz="4" w:space="4"/>
        </w:pBdr>
        <w:kinsoku/>
        <w:wordWrap/>
        <w:overflowPunct/>
        <w:topLinePunct w:val="0"/>
        <w:autoSpaceDE/>
        <w:autoSpaceDN/>
        <w:bidi w:val="0"/>
        <w:adjustRightInd/>
        <w:snapToGrid w:val="0"/>
        <w:spacing w:line="460" w:lineRule="exact"/>
        <w:textAlignment w:val="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项目概况</w:t>
      </w:r>
    </w:p>
    <w:p w14:paraId="48BA7858">
      <w:pPr>
        <w:keepNext w:val="0"/>
        <w:keepLines w:val="0"/>
        <w:pageBreakBefore w:val="0"/>
        <w:widowControl w:val="0"/>
        <w:pBdr>
          <w:top w:val="single" w:color="auto" w:sz="4" w:space="1"/>
          <w:left w:val="single" w:color="auto" w:sz="4" w:space="0"/>
          <w:bottom w:val="single" w:color="auto" w:sz="4" w:space="1"/>
          <w:right w:val="single" w:color="auto" w:sz="4" w:space="4"/>
        </w:pBdr>
        <w:kinsoku/>
        <w:wordWrap/>
        <w:overflowPunct/>
        <w:topLinePunct w:val="0"/>
        <w:autoSpaceDE/>
        <w:autoSpaceDN/>
        <w:bidi w:val="0"/>
        <w:adjustRightInd/>
        <w:snapToGrid w:val="0"/>
        <w:spacing w:line="460" w:lineRule="exact"/>
        <w:ind w:firstLine="480" w:firstLineChars="200"/>
        <w:textAlignment w:val="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eastAsia="zh-CN"/>
          <w14:textFill>
            <w14:solidFill>
              <w14:schemeClr w14:val="tx1"/>
            </w14:solidFill>
          </w14:textFill>
        </w:rPr>
        <w:t>山东大学本科生、研究生校方责任保险服务项目</w:t>
      </w:r>
      <w:r>
        <w:rPr>
          <w:rFonts w:hint="eastAsia" w:ascii="宋体" w:hAnsi="宋体" w:eastAsia="宋体" w:cs="宋体"/>
          <w:color w:val="000000" w:themeColor="text1"/>
          <w:sz w:val="24"/>
          <w:highlight w:val="none"/>
          <w14:textFill>
            <w14:solidFill>
              <w14:schemeClr w14:val="tx1"/>
            </w14:solidFill>
          </w14:textFill>
        </w:rPr>
        <w:t>的潜在供应商应通过</w:t>
      </w:r>
      <w:r>
        <w:rPr>
          <w:rFonts w:hint="eastAsia" w:ascii="宋体" w:hAnsi="宋体" w:eastAsia="宋体" w:cs="宋体"/>
          <w:color w:val="000000" w:themeColor="text1"/>
          <w:sz w:val="24"/>
          <w:highlight w:val="none"/>
          <w:u w:val="single"/>
          <w14:textFill>
            <w14:solidFill>
              <w14:schemeClr w14:val="tx1"/>
            </w14:solidFill>
          </w14:textFill>
        </w:rPr>
        <w:t>在线下载方式</w:t>
      </w:r>
      <w:r>
        <w:rPr>
          <w:rFonts w:hint="eastAsia" w:ascii="宋体" w:hAnsi="宋体" w:eastAsia="宋体" w:cs="宋体"/>
          <w:color w:val="000000" w:themeColor="text1"/>
          <w:sz w:val="24"/>
          <w:highlight w:val="none"/>
          <w14:textFill>
            <w14:solidFill>
              <w14:schemeClr w14:val="tx1"/>
            </w14:solidFill>
          </w14:textFill>
        </w:rPr>
        <w:t>获取参考公开招标文件，并于</w:t>
      </w:r>
      <w:r>
        <w:rPr>
          <w:rFonts w:hint="eastAsia" w:ascii="宋体" w:hAnsi="宋体" w:eastAsia="宋体" w:cs="宋体"/>
          <w:color w:val="000000" w:themeColor="text1"/>
          <w:sz w:val="24"/>
          <w:highlight w:val="none"/>
          <w:u w:val="single"/>
          <w:lang w:eastAsia="zh-CN"/>
          <w14:textFill>
            <w14:solidFill>
              <w14:schemeClr w14:val="tx1"/>
            </w14:solidFill>
          </w14:textFill>
        </w:rPr>
        <w:t>2025年</w:t>
      </w:r>
      <w:r>
        <w:rPr>
          <w:rFonts w:hint="eastAsia" w:ascii="宋体" w:hAnsi="宋体" w:eastAsia="宋体" w:cs="宋体"/>
          <w:color w:val="000000" w:themeColor="text1"/>
          <w:sz w:val="24"/>
          <w:highlight w:val="none"/>
          <w:u w:val="single"/>
          <w:lang w:val="en-US" w:eastAsia="zh-CN"/>
          <w14:textFill>
            <w14:solidFill>
              <w14:schemeClr w14:val="tx1"/>
            </w14:solidFill>
          </w14:textFill>
        </w:rPr>
        <w:t>05</w:t>
      </w:r>
      <w:r>
        <w:rPr>
          <w:rFonts w:hint="eastAsia" w:ascii="宋体" w:hAnsi="宋体" w:eastAsia="宋体" w:cs="宋体"/>
          <w:color w:val="000000" w:themeColor="text1"/>
          <w:sz w:val="24"/>
          <w:highlight w:val="none"/>
          <w:u w:val="single"/>
          <w:lang w:eastAsia="zh-CN"/>
          <w14:textFill>
            <w14:solidFill>
              <w14:schemeClr w14:val="tx1"/>
            </w14:solidFill>
          </w14:textFill>
        </w:rPr>
        <w:t>月</w:t>
      </w:r>
      <w:r>
        <w:rPr>
          <w:rFonts w:hint="eastAsia" w:ascii="宋体" w:hAnsi="宋体" w:eastAsia="宋体" w:cs="宋体"/>
          <w:color w:val="000000" w:themeColor="text1"/>
          <w:sz w:val="24"/>
          <w:highlight w:val="none"/>
          <w:u w:val="single"/>
          <w:lang w:val="en-US" w:eastAsia="zh-CN"/>
          <w14:textFill>
            <w14:solidFill>
              <w14:schemeClr w14:val="tx1"/>
            </w14:solidFill>
          </w14:textFill>
        </w:rPr>
        <w:t>16</w:t>
      </w:r>
      <w:r>
        <w:rPr>
          <w:rFonts w:hint="eastAsia" w:ascii="宋体" w:hAnsi="宋体" w:eastAsia="宋体" w:cs="宋体"/>
          <w:color w:val="000000" w:themeColor="text1"/>
          <w:sz w:val="24"/>
          <w:highlight w:val="none"/>
          <w:u w:val="single"/>
          <w:lang w:eastAsia="zh-CN"/>
          <w14:textFill>
            <w14:solidFill>
              <w14:schemeClr w14:val="tx1"/>
            </w14:solidFill>
          </w14:textFill>
        </w:rPr>
        <w:t>日</w:t>
      </w:r>
      <w:r>
        <w:rPr>
          <w:rFonts w:hint="eastAsia" w:ascii="宋体" w:hAnsi="宋体" w:eastAsia="宋体" w:cs="宋体"/>
          <w:color w:val="000000" w:themeColor="text1"/>
          <w:sz w:val="24"/>
          <w:highlight w:val="none"/>
          <w:u w:val="single"/>
          <w:lang w:val="en-US" w:eastAsia="zh-CN"/>
          <w14:textFill>
            <w14:solidFill>
              <w14:schemeClr w14:val="tx1"/>
            </w14:solidFill>
          </w14:textFill>
        </w:rPr>
        <w:t>14</w:t>
      </w:r>
      <w:r>
        <w:rPr>
          <w:rFonts w:hint="eastAsia" w:ascii="宋体" w:hAnsi="宋体" w:eastAsia="宋体" w:cs="宋体"/>
          <w:color w:val="000000" w:themeColor="text1"/>
          <w:sz w:val="24"/>
          <w:highlight w:val="none"/>
          <w:u w:val="single"/>
          <w:lang w:eastAsia="zh-CN"/>
          <w14:textFill>
            <w14:solidFill>
              <w14:schemeClr w14:val="tx1"/>
            </w14:solidFill>
          </w14:textFill>
        </w:rPr>
        <w:t>点</w:t>
      </w:r>
      <w:r>
        <w:rPr>
          <w:rFonts w:hint="eastAsia" w:ascii="宋体" w:hAnsi="宋体" w:eastAsia="宋体" w:cs="宋体"/>
          <w:color w:val="000000" w:themeColor="text1"/>
          <w:sz w:val="24"/>
          <w:highlight w:val="none"/>
          <w:u w:val="single"/>
          <w:lang w:val="en-US" w:eastAsia="zh-CN"/>
          <w14:textFill>
            <w14:solidFill>
              <w14:schemeClr w14:val="tx1"/>
            </w14:solidFill>
          </w14:textFill>
        </w:rPr>
        <w:t>30</w:t>
      </w:r>
      <w:r>
        <w:rPr>
          <w:rFonts w:hint="eastAsia" w:ascii="宋体" w:hAnsi="宋体" w:eastAsia="宋体" w:cs="宋体"/>
          <w:color w:val="000000" w:themeColor="text1"/>
          <w:sz w:val="24"/>
          <w:highlight w:val="none"/>
          <w:u w:val="single"/>
          <w:lang w:eastAsia="zh-CN"/>
          <w14:textFill>
            <w14:solidFill>
              <w14:schemeClr w14:val="tx1"/>
            </w14:solidFill>
          </w14:textFill>
        </w:rPr>
        <w:t>分</w:t>
      </w:r>
      <w:r>
        <w:rPr>
          <w:rFonts w:hint="eastAsia" w:ascii="宋体" w:hAnsi="宋体" w:eastAsia="宋体" w:cs="宋体"/>
          <w:color w:val="000000" w:themeColor="text1"/>
          <w:sz w:val="24"/>
          <w:highlight w:val="none"/>
          <w:u w:val="single"/>
          <w14:textFill>
            <w14:solidFill>
              <w14:schemeClr w14:val="tx1"/>
            </w14:solidFill>
          </w14:textFill>
        </w:rPr>
        <w:t>（北京时间）</w:t>
      </w:r>
      <w:r>
        <w:rPr>
          <w:rFonts w:hint="eastAsia" w:ascii="宋体" w:hAnsi="宋体" w:eastAsia="宋体" w:cs="宋体"/>
          <w:bCs/>
          <w:color w:val="000000" w:themeColor="text1"/>
          <w:sz w:val="24"/>
          <w:highlight w:val="none"/>
          <w14:textFill>
            <w14:solidFill>
              <w14:schemeClr w14:val="tx1"/>
            </w14:solidFill>
          </w14:textFill>
        </w:rPr>
        <w:t>前递交电子投标文件</w:t>
      </w:r>
      <w:r>
        <w:rPr>
          <w:rFonts w:hint="eastAsia" w:ascii="宋体" w:hAnsi="宋体" w:eastAsia="宋体" w:cs="宋体"/>
          <w:color w:val="000000" w:themeColor="text1"/>
          <w:sz w:val="24"/>
          <w:highlight w:val="none"/>
          <w14:textFill>
            <w14:solidFill>
              <w14:schemeClr w14:val="tx1"/>
            </w14:solidFill>
          </w14:textFill>
        </w:rPr>
        <w:t>。</w:t>
      </w:r>
    </w:p>
    <w:p w14:paraId="34A79D63">
      <w:pPr>
        <w:keepNext w:val="0"/>
        <w:keepLines w:val="0"/>
        <w:pageBreakBefore w:val="0"/>
        <w:widowControl w:val="0"/>
        <w:kinsoku/>
        <w:wordWrap/>
        <w:overflowPunct/>
        <w:topLinePunct w:val="0"/>
        <w:autoSpaceDE/>
        <w:autoSpaceDN/>
        <w:bidi w:val="0"/>
        <w:adjustRightInd/>
        <w:snapToGrid w:val="0"/>
        <w:spacing w:line="460" w:lineRule="exact"/>
        <w:textAlignment w:val="auto"/>
        <w:rPr>
          <w:rFonts w:ascii="宋体" w:hAnsi="宋体" w:eastAsia="宋体" w:cs="宋体"/>
          <w:color w:val="000000" w:themeColor="text1"/>
          <w:sz w:val="24"/>
          <w:highlight w:val="none"/>
          <w14:textFill>
            <w14:solidFill>
              <w14:schemeClr w14:val="tx1"/>
            </w14:solidFill>
          </w14:textFill>
        </w:rPr>
      </w:pPr>
      <w:bookmarkStart w:id="3" w:name="_Toc35393621"/>
      <w:bookmarkEnd w:id="3"/>
      <w:bookmarkStart w:id="4" w:name="_Toc28359002"/>
      <w:bookmarkEnd w:id="4"/>
      <w:bookmarkStart w:id="5" w:name="_Toc35393790"/>
      <w:bookmarkEnd w:id="5"/>
      <w:bookmarkStart w:id="6" w:name="_Toc28359079"/>
      <w:bookmarkEnd w:id="6"/>
      <w:r>
        <w:rPr>
          <w:rFonts w:hint="eastAsia" w:ascii="宋体" w:hAnsi="宋体" w:eastAsia="宋体" w:cs="宋体"/>
          <w:b/>
          <w:bCs/>
          <w:color w:val="000000" w:themeColor="text1"/>
          <w:sz w:val="24"/>
          <w:highlight w:val="none"/>
          <w14:textFill>
            <w14:solidFill>
              <w14:schemeClr w14:val="tx1"/>
            </w14:solidFill>
          </w14:textFill>
        </w:rPr>
        <w:t>一、项目基本情况</w:t>
      </w:r>
    </w:p>
    <w:p w14:paraId="1D4DBB81">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 </w:t>
      </w:r>
      <w:r>
        <w:rPr>
          <w:rFonts w:hint="eastAsia" w:ascii="宋体" w:hAnsi="宋体" w:eastAsia="宋体" w:cs="宋体"/>
          <w:color w:val="000000" w:themeColor="text1"/>
          <w:sz w:val="24"/>
          <w:highlight w:val="none"/>
          <w:lang w:eastAsia="zh-CN"/>
          <w14:textFill>
            <w14:solidFill>
              <w14:schemeClr w14:val="tx1"/>
            </w14:solidFill>
          </w14:textFill>
        </w:rPr>
        <w:t>SDJDGD20250048-Q015</w:t>
      </w:r>
      <w:r>
        <w:rPr>
          <w:rFonts w:hint="eastAsia" w:ascii="宋体" w:hAnsi="宋体" w:eastAsia="宋体" w:cs="宋体"/>
          <w:color w:val="000000" w:themeColor="text1"/>
          <w:sz w:val="24"/>
          <w:highlight w:val="none"/>
          <w14:textFill>
            <w14:solidFill>
              <w14:schemeClr w14:val="tx1"/>
            </w14:solidFill>
          </w14:textFill>
        </w:rPr>
        <w:t xml:space="preserve"> </w:t>
      </w:r>
    </w:p>
    <w:p w14:paraId="4A1F03DA">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项目名称：</w:t>
      </w:r>
      <w:r>
        <w:rPr>
          <w:rFonts w:hint="eastAsia" w:ascii="宋体" w:hAnsi="宋体" w:eastAsia="宋体" w:cs="宋体"/>
          <w:color w:val="000000" w:themeColor="text1"/>
          <w:sz w:val="24"/>
          <w:highlight w:val="none"/>
          <w:lang w:eastAsia="zh-CN"/>
          <w14:textFill>
            <w14:solidFill>
              <w14:schemeClr w14:val="tx1"/>
            </w14:solidFill>
          </w14:textFill>
        </w:rPr>
        <w:t>山东大学本科生、研究生校方责任保险服务项目</w:t>
      </w:r>
    </w:p>
    <w:p w14:paraId="22E3A0AF">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预算金额：</w:t>
      </w:r>
      <w:r>
        <w:rPr>
          <w:rFonts w:ascii="宋体" w:hAnsi="宋体" w:eastAsia="宋体" w:cs="宋体"/>
          <w:color w:val="000000" w:themeColor="text1"/>
          <w:sz w:val="24"/>
          <w:highlight w:val="none"/>
          <w14:textFill>
            <w14:solidFill>
              <w14:schemeClr w14:val="tx1"/>
            </w14:solidFill>
          </w14:textFill>
        </w:rPr>
        <w:t>66.8</w:t>
      </w:r>
      <w:r>
        <w:rPr>
          <w:rFonts w:hint="eastAsia" w:ascii="宋体" w:hAnsi="宋体" w:eastAsia="宋体" w:cs="宋体"/>
          <w:color w:val="000000" w:themeColor="text1"/>
          <w:sz w:val="24"/>
          <w:highlight w:val="none"/>
          <w14:textFill>
            <w14:solidFill>
              <w14:schemeClr w14:val="tx1"/>
            </w14:solidFill>
          </w14:textFill>
        </w:rPr>
        <w:t>万元</w:t>
      </w:r>
    </w:p>
    <w:p w14:paraId="11980EED">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最高限价（如有）：</w:t>
      </w:r>
      <w:r>
        <w:rPr>
          <w:rFonts w:ascii="宋体" w:hAnsi="宋体" w:eastAsia="宋体" w:cs="宋体"/>
          <w:color w:val="000000" w:themeColor="text1"/>
          <w:sz w:val="24"/>
          <w:highlight w:val="none"/>
          <w14:textFill>
            <w14:solidFill>
              <w14:schemeClr w14:val="tx1"/>
            </w14:solidFill>
          </w14:textFill>
        </w:rPr>
        <w:t>66.8</w:t>
      </w:r>
      <w:r>
        <w:rPr>
          <w:rFonts w:hint="eastAsia" w:ascii="宋体" w:hAnsi="宋体" w:eastAsia="宋体" w:cs="宋体"/>
          <w:color w:val="000000" w:themeColor="text1"/>
          <w:sz w:val="24"/>
          <w:highlight w:val="none"/>
          <w14:textFill>
            <w14:solidFill>
              <w14:schemeClr w14:val="tx1"/>
            </w14:solidFill>
          </w14:textFill>
        </w:rPr>
        <w:t>万元</w:t>
      </w:r>
    </w:p>
    <w:p w14:paraId="11815A2A">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采购需求：</w:t>
      </w:r>
      <w:r>
        <w:rPr>
          <w:rFonts w:hint="eastAsia" w:ascii="宋体" w:hAnsi="宋体" w:eastAsia="宋体" w:cs="宋体"/>
          <w:color w:val="000000" w:themeColor="text1"/>
          <w:sz w:val="24"/>
          <w:highlight w:val="none"/>
          <w:lang w:eastAsia="zh-CN"/>
          <w14:textFill>
            <w14:solidFill>
              <w14:schemeClr w14:val="tx1"/>
            </w14:solidFill>
          </w14:textFill>
        </w:rPr>
        <w:t>山东大学本科生、研究生校方责任保险服务项目</w:t>
      </w:r>
      <w:r>
        <w:rPr>
          <w:rFonts w:hint="eastAsia" w:ascii="宋体" w:hAnsi="宋体" w:eastAsia="宋体" w:cs="宋体"/>
          <w:color w:val="000000" w:themeColor="text1"/>
          <w:sz w:val="24"/>
          <w:highlight w:val="none"/>
          <w14:textFill>
            <w14:solidFill>
              <w14:schemeClr w14:val="tx1"/>
            </w14:solidFill>
          </w14:textFill>
        </w:rPr>
        <w:t>，详见第四章。</w:t>
      </w:r>
    </w:p>
    <w:p w14:paraId="2A6CBC59">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标段划分：共1个包。</w:t>
      </w:r>
    </w:p>
    <w:p w14:paraId="288279ED">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本项目接受联合体投标。</w:t>
      </w:r>
    </w:p>
    <w:p w14:paraId="308C398A">
      <w:pPr>
        <w:keepNext w:val="0"/>
        <w:keepLines w:val="0"/>
        <w:pageBreakBefore w:val="0"/>
        <w:widowControl w:val="0"/>
        <w:kinsoku/>
        <w:wordWrap/>
        <w:overflowPunct/>
        <w:topLinePunct w:val="0"/>
        <w:autoSpaceDE/>
        <w:autoSpaceDN/>
        <w:bidi w:val="0"/>
        <w:adjustRightInd/>
        <w:snapToGrid w:val="0"/>
        <w:spacing w:line="460" w:lineRule="exact"/>
        <w:textAlignment w:val="auto"/>
        <w:rPr>
          <w:rFonts w:ascii="宋体" w:hAnsi="宋体" w:eastAsia="宋体" w:cs="宋体"/>
          <w:b/>
          <w:bCs/>
          <w:color w:val="000000" w:themeColor="text1"/>
          <w:sz w:val="24"/>
          <w:highlight w:val="none"/>
          <w14:textFill>
            <w14:solidFill>
              <w14:schemeClr w14:val="tx1"/>
            </w14:solidFill>
          </w14:textFill>
        </w:rPr>
      </w:pPr>
      <w:bookmarkStart w:id="7" w:name="_Toc35393622"/>
      <w:bookmarkEnd w:id="7"/>
      <w:bookmarkStart w:id="8" w:name="_Toc35393791"/>
      <w:bookmarkEnd w:id="8"/>
      <w:bookmarkStart w:id="9" w:name="_Toc28359003"/>
      <w:bookmarkEnd w:id="9"/>
      <w:bookmarkStart w:id="10" w:name="_Toc28359080"/>
      <w:bookmarkEnd w:id="10"/>
      <w:r>
        <w:rPr>
          <w:rFonts w:hint="eastAsia" w:ascii="宋体" w:hAnsi="宋体" w:eastAsia="宋体" w:cs="宋体"/>
          <w:b/>
          <w:bCs/>
          <w:color w:val="000000" w:themeColor="text1"/>
          <w:sz w:val="24"/>
          <w:highlight w:val="none"/>
          <w14:textFill>
            <w14:solidFill>
              <w14:schemeClr w14:val="tx1"/>
            </w14:solidFill>
          </w14:textFill>
        </w:rPr>
        <w:t>二、申请人的资格要求</w:t>
      </w:r>
    </w:p>
    <w:p w14:paraId="22EA28AB">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bookmarkStart w:id="11" w:name="_Toc28359004"/>
      <w:bookmarkStart w:id="12" w:name="_Toc28359081"/>
      <w:r>
        <w:rPr>
          <w:rFonts w:hint="eastAsia" w:ascii="宋体" w:hAnsi="宋体" w:eastAsia="宋体" w:cs="宋体"/>
          <w:color w:val="000000" w:themeColor="text1"/>
          <w:sz w:val="24"/>
          <w:highlight w:val="none"/>
          <w14:textFill>
            <w14:solidFill>
              <w14:schemeClr w14:val="tx1"/>
            </w14:solidFill>
          </w14:textFill>
        </w:rPr>
        <w:t>1.具有本项目服务或实施能力的单位或其分支机构；</w:t>
      </w:r>
    </w:p>
    <w:p w14:paraId="15015156">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在“信用中国”、中国政府采购网网站中被列入失信被执行人、重大税收违法</w:t>
      </w:r>
      <w:r>
        <w:rPr>
          <w:rFonts w:hint="eastAsia" w:ascii="宋体" w:hAnsi="宋体" w:eastAsia="宋体" w:cs="宋体"/>
          <w:color w:val="000000" w:themeColor="text1"/>
          <w:sz w:val="24"/>
          <w:highlight w:val="none"/>
          <w:lang w:eastAsia="zh-CN"/>
          <w14:textFill>
            <w14:solidFill>
              <w14:schemeClr w14:val="tx1"/>
            </w14:solidFill>
          </w14:textFill>
        </w:rPr>
        <w:t>失信主体</w:t>
      </w:r>
      <w:r>
        <w:rPr>
          <w:rFonts w:hint="eastAsia" w:ascii="宋体" w:hAnsi="宋体" w:eastAsia="宋体" w:cs="宋体"/>
          <w:color w:val="000000" w:themeColor="text1"/>
          <w:sz w:val="24"/>
          <w:highlight w:val="none"/>
          <w14:textFill>
            <w14:solidFill>
              <w14:schemeClr w14:val="tx1"/>
            </w14:solidFill>
          </w14:textFill>
        </w:rPr>
        <w:t>、政府采购严重违法失信行为记录名单的供应商，不得参加本次政府采购活动；</w:t>
      </w:r>
    </w:p>
    <w:p w14:paraId="5205AE2E">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单位负责人为同一人或者存在直接控股、管理关系的不同供应商，不得参加同一合同项下（同一包号）的政府采购活动。</w:t>
      </w:r>
    </w:p>
    <w:p w14:paraId="71294FC1">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为采购项目提供整体设计、规范编制或者项目管理、监理、检测等服务的供应商，不得再参加该采购项目的其他采购活动（单一来源采购项目除外）</w:t>
      </w:r>
      <w:r>
        <w:rPr>
          <w:rFonts w:hint="eastAsia" w:ascii="宋体" w:hAnsi="宋体" w:eastAsia="宋体" w:cs="宋体"/>
          <w:color w:val="000000" w:themeColor="text1"/>
          <w:sz w:val="24"/>
          <w:highlight w:val="none"/>
          <w:lang w:eastAsia="zh-CN"/>
          <w14:textFill>
            <w14:solidFill>
              <w14:schemeClr w14:val="tx1"/>
            </w14:solidFill>
          </w14:textFill>
        </w:rPr>
        <w:t>。</w:t>
      </w:r>
    </w:p>
    <w:bookmarkEnd w:id="11"/>
    <w:bookmarkEnd w:id="12"/>
    <w:p w14:paraId="27DB7C53">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bookmarkStart w:id="13" w:name="_Toc35393792"/>
      <w:bookmarkEnd w:id="13"/>
      <w:bookmarkStart w:id="14" w:name="_Toc35393623"/>
      <w:bookmarkEnd w:id="14"/>
      <w:r>
        <w:rPr>
          <w:rFonts w:hint="eastAsia" w:ascii="宋体" w:hAnsi="宋体" w:eastAsia="宋体" w:cs="宋体"/>
          <w:color w:val="000000" w:themeColor="text1"/>
          <w:sz w:val="24"/>
          <w:highlight w:val="none"/>
          <w:lang w:val="en-US" w:eastAsia="zh-CN"/>
          <w14:textFill>
            <w14:solidFill>
              <w14:schemeClr w14:val="tx1"/>
            </w14:solidFill>
          </w14:textFill>
        </w:rPr>
        <w:t>5.本项目的特定资格要求:具有《经营保险业务许可证》</w:t>
      </w:r>
      <w:r>
        <w:rPr>
          <w:rFonts w:hint="eastAsia" w:ascii="宋体" w:hAnsi="宋体" w:eastAsia="宋体" w:cs="宋体"/>
          <w:color w:val="000000" w:themeColor="text1"/>
          <w:sz w:val="24"/>
          <w:highlight w:val="none"/>
          <w:lang w:eastAsia="zh-CN"/>
          <w14:textFill>
            <w14:solidFill>
              <w14:schemeClr w14:val="tx1"/>
            </w14:solidFill>
          </w14:textFill>
        </w:rPr>
        <w:t>。</w:t>
      </w:r>
    </w:p>
    <w:p w14:paraId="2DA483ED">
      <w:pPr>
        <w:keepNext w:val="0"/>
        <w:keepLines w:val="0"/>
        <w:pageBreakBefore w:val="0"/>
        <w:widowControl w:val="0"/>
        <w:kinsoku/>
        <w:wordWrap/>
        <w:overflowPunct/>
        <w:topLinePunct w:val="0"/>
        <w:autoSpaceDE/>
        <w:autoSpaceDN/>
        <w:bidi w:val="0"/>
        <w:adjustRightInd/>
        <w:snapToGrid w:val="0"/>
        <w:spacing w:line="460" w:lineRule="exact"/>
        <w:textAlignment w:val="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三、获取参考公开招标文件</w:t>
      </w:r>
    </w:p>
    <w:p w14:paraId="1B65E25B">
      <w:pPr>
        <w:keepNext w:val="0"/>
        <w:keepLines w:val="0"/>
        <w:pageBreakBefore w:val="0"/>
        <w:widowControl w:val="0"/>
        <w:kinsoku/>
        <w:wordWrap/>
        <w:overflowPunct/>
        <w:topLinePunct w:val="0"/>
        <w:autoSpaceDE/>
        <w:autoSpaceDN/>
        <w:bidi w:val="0"/>
        <w:adjustRightInd/>
        <w:snapToGrid w:val="0"/>
        <w:spacing w:line="460" w:lineRule="exact"/>
        <w:ind w:firstLine="540"/>
        <w:textAlignment w:val="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时间：</w:t>
      </w:r>
      <w:r>
        <w:rPr>
          <w:rFonts w:hint="eastAsia" w:ascii="宋体" w:hAnsi="宋体" w:eastAsia="宋体" w:cs="宋体"/>
          <w:color w:val="000000" w:themeColor="text1"/>
          <w:kern w:val="0"/>
          <w:sz w:val="24"/>
          <w:highlight w:val="none"/>
          <w:lang w:eastAsia="zh-CN"/>
          <w14:textFill>
            <w14:solidFill>
              <w14:schemeClr w14:val="tx1"/>
            </w14:solidFill>
          </w14:textFill>
        </w:rPr>
        <w:t>2025年</w:t>
      </w:r>
      <w:r>
        <w:rPr>
          <w:rFonts w:hint="eastAsia" w:ascii="宋体" w:hAnsi="宋体" w:eastAsia="宋体" w:cs="宋体"/>
          <w:color w:val="000000" w:themeColor="text1"/>
          <w:kern w:val="0"/>
          <w:sz w:val="24"/>
          <w:highlight w:val="none"/>
          <w:lang w:val="en-US" w:eastAsia="zh-CN"/>
          <w14:textFill>
            <w14:solidFill>
              <w14:schemeClr w14:val="tx1"/>
            </w14:solidFill>
          </w14:textFill>
        </w:rPr>
        <w:t>05</w:t>
      </w:r>
      <w:r>
        <w:rPr>
          <w:rFonts w:hint="eastAsia" w:ascii="宋体" w:hAnsi="宋体" w:eastAsia="宋体" w:cs="宋体"/>
          <w:color w:val="000000" w:themeColor="text1"/>
          <w:kern w:val="0"/>
          <w:sz w:val="24"/>
          <w:highlight w:val="none"/>
          <w14:textFill>
            <w14:solidFill>
              <w14:schemeClr w14:val="tx1"/>
            </w14:solidFill>
          </w14:textFill>
        </w:rPr>
        <w:t>月</w:t>
      </w:r>
      <w:r>
        <w:rPr>
          <w:rFonts w:hint="eastAsia" w:ascii="宋体" w:hAnsi="宋体" w:eastAsia="宋体" w:cs="宋体"/>
          <w:color w:val="000000" w:themeColor="text1"/>
          <w:kern w:val="0"/>
          <w:sz w:val="24"/>
          <w:highlight w:val="none"/>
          <w:lang w:val="en-US" w:eastAsia="zh-CN"/>
          <w14:textFill>
            <w14:solidFill>
              <w14:schemeClr w14:val="tx1"/>
            </w14:solidFill>
          </w14:textFill>
        </w:rPr>
        <w:t>10</w:t>
      </w:r>
      <w:r>
        <w:rPr>
          <w:rFonts w:hint="eastAsia" w:ascii="宋体" w:hAnsi="宋体" w:eastAsia="宋体" w:cs="宋体"/>
          <w:color w:val="000000" w:themeColor="text1"/>
          <w:kern w:val="0"/>
          <w:sz w:val="24"/>
          <w:highlight w:val="none"/>
          <w14:textFill>
            <w14:solidFill>
              <w14:schemeClr w14:val="tx1"/>
            </w14:solidFill>
          </w14:textFill>
        </w:rPr>
        <w:t>日</w:t>
      </w:r>
      <w:r>
        <w:rPr>
          <w:rFonts w:hint="eastAsia" w:ascii="宋体" w:hAnsi="宋体" w:eastAsia="宋体" w:cs="宋体"/>
          <w:color w:val="000000" w:themeColor="text1"/>
          <w:sz w:val="24"/>
          <w:highlight w:val="none"/>
          <w14:textFill>
            <w14:solidFill>
              <w14:schemeClr w14:val="tx1"/>
            </w14:solidFill>
          </w14:textFill>
        </w:rPr>
        <w:t>至</w:t>
      </w:r>
      <w:r>
        <w:rPr>
          <w:rFonts w:hint="eastAsia" w:ascii="宋体" w:hAnsi="宋体" w:eastAsia="宋体" w:cs="宋体"/>
          <w:color w:val="000000" w:themeColor="text1"/>
          <w:kern w:val="0"/>
          <w:sz w:val="24"/>
          <w:highlight w:val="none"/>
          <w:lang w:eastAsia="zh-CN"/>
          <w14:textFill>
            <w14:solidFill>
              <w14:schemeClr w14:val="tx1"/>
            </w14:solidFill>
          </w14:textFill>
        </w:rPr>
        <w:t>2025年</w:t>
      </w:r>
      <w:r>
        <w:rPr>
          <w:rFonts w:hint="eastAsia" w:ascii="宋体" w:hAnsi="宋体" w:eastAsia="宋体" w:cs="宋体"/>
          <w:bCs/>
          <w:color w:val="000000" w:themeColor="text1"/>
          <w:sz w:val="24"/>
          <w:highlight w:val="none"/>
          <w:lang w:val="en-US" w:eastAsia="zh-CN"/>
          <w14:textFill>
            <w14:solidFill>
              <w14:schemeClr w14:val="tx1"/>
            </w14:solidFill>
          </w14:textFill>
        </w:rPr>
        <w:t>05</w:t>
      </w:r>
      <w:r>
        <w:rPr>
          <w:rFonts w:hint="eastAsia" w:ascii="宋体" w:hAnsi="宋体" w:eastAsia="宋体" w:cs="宋体"/>
          <w:bCs/>
          <w:color w:val="000000" w:themeColor="text1"/>
          <w:sz w:val="24"/>
          <w:highlight w:val="none"/>
          <w14:textFill>
            <w14:solidFill>
              <w14:schemeClr w14:val="tx1"/>
            </w14:solidFill>
          </w14:textFill>
        </w:rPr>
        <w:t>月</w:t>
      </w:r>
      <w:r>
        <w:rPr>
          <w:rFonts w:hint="eastAsia" w:ascii="宋体" w:hAnsi="宋体" w:eastAsia="宋体" w:cs="宋体"/>
          <w:bCs/>
          <w:color w:val="000000" w:themeColor="text1"/>
          <w:sz w:val="24"/>
          <w:highlight w:val="none"/>
          <w:lang w:val="en-US" w:eastAsia="zh-CN"/>
          <w14:textFill>
            <w14:solidFill>
              <w14:schemeClr w14:val="tx1"/>
            </w14:solidFill>
          </w14:textFill>
        </w:rPr>
        <w:t>14</w:t>
      </w:r>
      <w:r>
        <w:rPr>
          <w:rFonts w:hint="eastAsia" w:ascii="宋体" w:hAnsi="宋体" w:eastAsia="宋体" w:cs="宋体"/>
          <w:bCs/>
          <w:color w:val="000000" w:themeColor="text1"/>
          <w:sz w:val="24"/>
          <w:highlight w:val="none"/>
          <w14:textFill>
            <w14:solidFill>
              <w14:schemeClr w14:val="tx1"/>
            </w14:solidFill>
          </w14:textFill>
        </w:rPr>
        <w:t>日</w:t>
      </w:r>
      <w:r>
        <w:rPr>
          <w:rFonts w:hint="eastAsia" w:ascii="宋体" w:hAnsi="宋体" w:eastAsia="宋体" w:cs="宋体"/>
          <w:color w:val="000000" w:themeColor="text1"/>
          <w:sz w:val="24"/>
          <w:highlight w:val="none"/>
          <w14:textFill>
            <w14:solidFill>
              <w14:schemeClr w14:val="tx1"/>
            </w14:solidFill>
          </w14:textFill>
        </w:rPr>
        <w:t>，每天上午8:30至12:00，下午12:00至17:00（北京时间，法定节假日除外）</w:t>
      </w:r>
    </w:p>
    <w:p w14:paraId="2EA98CEF">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地点：</w:t>
      </w:r>
      <w:r>
        <w:rPr>
          <w:rFonts w:hint="eastAsia" w:ascii="宋体" w:hAnsi="宋体" w:eastAsia="宋体" w:cs="宋体"/>
          <w:color w:val="000000" w:themeColor="text1"/>
          <w:sz w:val="24"/>
          <w:highlight w:val="none"/>
          <w:u w:val="single"/>
          <w14:textFill>
            <w14:solidFill>
              <w14:schemeClr w14:val="tx1"/>
            </w14:solidFill>
          </w14:textFill>
        </w:rPr>
        <w:t>山东大学采购网（http://www.cgw.sdu.edu.cn/）</w:t>
      </w:r>
    </w:p>
    <w:p w14:paraId="60F7683E">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hint="eastAsia" w:ascii="宋体" w:hAnsi="宋体" w:eastAsia="宋体" w:cs="宋体"/>
          <w:color w:val="000000" w:themeColor="text1"/>
          <w:kern w:val="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方式：</w:t>
      </w:r>
      <w:r>
        <w:rPr>
          <w:rFonts w:hint="eastAsia" w:ascii="宋体" w:hAnsi="宋体" w:eastAsia="宋体" w:cs="宋体"/>
          <w:color w:val="000000" w:themeColor="text1"/>
          <w:kern w:val="1"/>
          <w:sz w:val="24"/>
          <w:highlight w:val="none"/>
          <w14:textFill>
            <w14:solidFill>
              <w14:schemeClr w14:val="tx1"/>
            </w14:solidFill>
          </w14:textFill>
        </w:rPr>
        <w:t>本项目采用电子标。潜在供应商需登录山东大学招标采购网站（http://www.cgw.sdu.edu.cn）进行预注册，完成预注册后，在获取采购文件截止时间前在线进行招标项目信息填报，审核成功后下载采购文件。</w:t>
      </w:r>
    </w:p>
    <w:p w14:paraId="7668D200">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left"/>
        <w:textAlignment w:val="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参考公开招标文件售价：</w:t>
      </w:r>
      <w:r>
        <w:rPr>
          <w:rFonts w:hint="eastAsia" w:ascii="宋体" w:hAnsi="宋体" w:eastAsia="宋体" w:cs="宋体"/>
          <w:color w:val="000000" w:themeColor="text1"/>
          <w:sz w:val="24"/>
          <w:highlight w:val="none"/>
          <w:lang w:val="en-US" w:eastAsia="zh-CN"/>
          <w14:textFill>
            <w14:solidFill>
              <w14:schemeClr w14:val="tx1"/>
            </w14:solidFill>
          </w14:textFill>
        </w:rPr>
        <w:t>0元</w:t>
      </w:r>
    </w:p>
    <w:p w14:paraId="2E4D3320">
      <w:pPr>
        <w:keepNext w:val="0"/>
        <w:keepLines w:val="0"/>
        <w:pageBreakBefore w:val="0"/>
        <w:widowControl w:val="0"/>
        <w:kinsoku/>
        <w:wordWrap/>
        <w:overflowPunct/>
        <w:topLinePunct w:val="0"/>
        <w:autoSpaceDE/>
        <w:autoSpaceDN/>
        <w:bidi w:val="0"/>
        <w:adjustRightInd/>
        <w:snapToGrid w:val="0"/>
        <w:spacing w:line="460" w:lineRule="exact"/>
        <w:textAlignment w:val="auto"/>
        <w:rPr>
          <w:rFonts w:ascii="宋体" w:hAnsi="宋体" w:eastAsia="宋体" w:cs="宋体"/>
          <w:color w:val="000000" w:themeColor="text1"/>
          <w:sz w:val="24"/>
          <w:highlight w:val="none"/>
          <w14:textFill>
            <w14:solidFill>
              <w14:schemeClr w14:val="tx1"/>
            </w14:solidFill>
          </w14:textFill>
        </w:rPr>
      </w:pPr>
      <w:bookmarkStart w:id="15" w:name="_Toc28359005"/>
      <w:bookmarkEnd w:id="15"/>
      <w:bookmarkStart w:id="16" w:name="_Toc35393624"/>
      <w:bookmarkEnd w:id="16"/>
      <w:bookmarkStart w:id="17" w:name="_Toc35393793"/>
      <w:bookmarkEnd w:id="17"/>
      <w:bookmarkStart w:id="18" w:name="_Toc28359082"/>
      <w:bookmarkEnd w:id="18"/>
      <w:r>
        <w:rPr>
          <w:rFonts w:hint="eastAsia" w:ascii="宋体" w:hAnsi="宋体" w:eastAsia="宋体" w:cs="宋体"/>
          <w:b/>
          <w:bCs/>
          <w:color w:val="000000" w:themeColor="text1"/>
          <w:sz w:val="24"/>
          <w:highlight w:val="none"/>
          <w14:textFill>
            <w14:solidFill>
              <w14:schemeClr w14:val="tx1"/>
            </w14:solidFill>
          </w14:textFill>
        </w:rPr>
        <w:t>四、提交电子投标文件截止时间、开标时间和地点</w:t>
      </w:r>
    </w:p>
    <w:p w14:paraId="62AF2678">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bCs/>
          <w:color w:val="000000" w:themeColor="text1"/>
          <w:kern w:val="0"/>
          <w:sz w:val="24"/>
          <w:highlight w:val="none"/>
          <w14:textFill>
            <w14:solidFill>
              <w14:schemeClr w14:val="tx1"/>
            </w14:solidFill>
          </w14:textFill>
        </w:rPr>
        <w:t>时间：2025年05月</w:t>
      </w:r>
      <w:r>
        <w:rPr>
          <w:rFonts w:hint="eastAsia" w:ascii="宋体" w:hAnsi="宋体" w:eastAsia="宋体" w:cs="宋体"/>
          <w:bCs/>
          <w:color w:val="000000" w:themeColor="text1"/>
          <w:kern w:val="0"/>
          <w:sz w:val="24"/>
          <w:highlight w:val="none"/>
          <w:lang w:val="en-US" w:eastAsia="zh-CN"/>
          <w14:textFill>
            <w14:solidFill>
              <w14:schemeClr w14:val="tx1"/>
            </w14:solidFill>
          </w14:textFill>
        </w:rPr>
        <w:t>16</w:t>
      </w:r>
      <w:r>
        <w:rPr>
          <w:rFonts w:hint="eastAsia" w:ascii="宋体" w:hAnsi="宋体" w:eastAsia="宋体" w:cs="宋体"/>
          <w:bCs/>
          <w:color w:val="000000" w:themeColor="text1"/>
          <w:kern w:val="0"/>
          <w:sz w:val="24"/>
          <w:highlight w:val="none"/>
          <w14:textFill>
            <w14:solidFill>
              <w14:schemeClr w14:val="tx1"/>
            </w14:solidFill>
          </w14:textFill>
        </w:rPr>
        <w:t>日14点30分（北京时间）</w:t>
      </w:r>
    </w:p>
    <w:p w14:paraId="7463AD3F">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地点：本项目采用山东大学电子招投标系统进行网上投标、开标，潜在供应商应当在提交电子投标文件截止时间前，使用CA通过系统上传电子投标文件。</w:t>
      </w:r>
    </w:p>
    <w:p w14:paraId="2EFA3A0E">
      <w:pPr>
        <w:keepNext w:val="0"/>
        <w:keepLines w:val="0"/>
        <w:pageBreakBefore w:val="0"/>
        <w:widowControl w:val="0"/>
        <w:kinsoku/>
        <w:wordWrap/>
        <w:overflowPunct/>
        <w:topLinePunct w:val="0"/>
        <w:autoSpaceDE/>
        <w:autoSpaceDN/>
        <w:bidi w:val="0"/>
        <w:adjustRightInd/>
        <w:snapToGrid w:val="0"/>
        <w:spacing w:line="460" w:lineRule="exact"/>
        <w:textAlignment w:val="auto"/>
        <w:rPr>
          <w:rFonts w:ascii="宋体" w:hAnsi="宋体" w:eastAsia="宋体" w:cs="宋体"/>
          <w:color w:val="000000" w:themeColor="text1"/>
          <w:sz w:val="24"/>
          <w:highlight w:val="none"/>
          <w14:textFill>
            <w14:solidFill>
              <w14:schemeClr w14:val="tx1"/>
            </w14:solidFill>
          </w14:textFill>
        </w:rPr>
      </w:pPr>
      <w:bookmarkStart w:id="19" w:name="_Toc28359084"/>
      <w:bookmarkEnd w:id="19"/>
      <w:bookmarkStart w:id="20" w:name="_Toc35393794"/>
      <w:bookmarkEnd w:id="20"/>
      <w:bookmarkStart w:id="21" w:name="_Toc28359007"/>
      <w:bookmarkEnd w:id="21"/>
      <w:bookmarkStart w:id="22" w:name="_Toc35393625"/>
      <w:bookmarkEnd w:id="22"/>
      <w:r>
        <w:rPr>
          <w:rFonts w:hint="eastAsia" w:ascii="宋体" w:hAnsi="宋体" w:eastAsia="宋体" w:cs="宋体"/>
          <w:b/>
          <w:bCs/>
          <w:color w:val="000000" w:themeColor="text1"/>
          <w:sz w:val="24"/>
          <w:highlight w:val="none"/>
          <w14:textFill>
            <w14:solidFill>
              <w14:schemeClr w14:val="tx1"/>
            </w14:solidFill>
          </w14:textFill>
        </w:rPr>
        <w:t>五、公告期限</w:t>
      </w:r>
    </w:p>
    <w:p w14:paraId="509201C7">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自本公告发布之日起</w:t>
      </w:r>
      <w:r>
        <w:rPr>
          <w:rFonts w:hint="eastAsia" w:ascii="宋体" w:hAnsi="宋体" w:eastAsia="宋体" w:cs="宋体"/>
          <w:color w:val="000000" w:themeColor="text1"/>
          <w:kern w:val="0"/>
          <w:sz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highlight w:val="none"/>
          <w:lang w:eastAsia="zh-CN"/>
          <w14:textFill>
            <w14:solidFill>
              <w14:schemeClr w14:val="tx1"/>
            </w14:solidFill>
          </w14:textFill>
        </w:rPr>
        <w:t>个工作日</w:t>
      </w:r>
      <w:r>
        <w:rPr>
          <w:rFonts w:hint="eastAsia" w:ascii="宋体" w:hAnsi="宋体" w:eastAsia="宋体" w:cs="宋体"/>
          <w:color w:val="000000" w:themeColor="text1"/>
          <w:kern w:val="0"/>
          <w:sz w:val="24"/>
          <w:highlight w:val="none"/>
          <w14:textFill>
            <w14:solidFill>
              <w14:schemeClr w14:val="tx1"/>
            </w14:solidFill>
          </w14:textFill>
        </w:rPr>
        <w:t>。</w:t>
      </w:r>
    </w:p>
    <w:p w14:paraId="0C5B0F34">
      <w:pPr>
        <w:keepNext w:val="0"/>
        <w:keepLines w:val="0"/>
        <w:pageBreakBefore w:val="0"/>
        <w:widowControl w:val="0"/>
        <w:kinsoku/>
        <w:wordWrap/>
        <w:overflowPunct/>
        <w:topLinePunct w:val="0"/>
        <w:autoSpaceDE/>
        <w:autoSpaceDN/>
        <w:bidi w:val="0"/>
        <w:adjustRightInd/>
        <w:snapToGrid w:val="0"/>
        <w:spacing w:line="460" w:lineRule="exact"/>
        <w:textAlignment w:val="auto"/>
        <w:rPr>
          <w:rFonts w:ascii="宋体" w:hAnsi="宋体" w:eastAsia="宋体" w:cs="宋体"/>
          <w:b/>
          <w:bCs/>
          <w:color w:val="000000" w:themeColor="text1"/>
          <w:sz w:val="24"/>
          <w:highlight w:val="none"/>
          <w14:textFill>
            <w14:solidFill>
              <w14:schemeClr w14:val="tx1"/>
            </w14:solidFill>
          </w14:textFill>
        </w:rPr>
      </w:pPr>
      <w:bookmarkStart w:id="23" w:name="_Toc35393795"/>
      <w:bookmarkEnd w:id="23"/>
      <w:bookmarkStart w:id="24" w:name="_Toc35393626"/>
      <w:bookmarkEnd w:id="24"/>
      <w:r>
        <w:rPr>
          <w:rFonts w:hint="eastAsia" w:ascii="宋体" w:hAnsi="宋体" w:eastAsia="宋体" w:cs="宋体"/>
          <w:b/>
          <w:bCs/>
          <w:color w:val="000000" w:themeColor="text1"/>
          <w:sz w:val="24"/>
          <w:highlight w:val="none"/>
          <w14:textFill>
            <w14:solidFill>
              <w14:schemeClr w14:val="tx1"/>
            </w14:solidFill>
          </w14:textFill>
        </w:rPr>
        <w:t>六、其他补充事宜</w:t>
      </w:r>
    </w:p>
    <w:p w14:paraId="1C63048D">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ascii="宋体" w:hAnsi="宋体" w:eastAsia="宋体" w:cs="宋体"/>
          <w:color w:val="000000" w:themeColor="text1"/>
          <w:kern w:val="0"/>
          <w:sz w:val="24"/>
          <w:highlight w:val="none"/>
          <w14:textFill>
            <w14:solidFill>
              <w14:schemeClr w14:val="tx1"/>
            </w14:solidFill>
          </w14:textFill>
        </w:rPr>
      </w:pPr>
      <w:bookmarkStart w:id="25" w:name="_Toc28359008"/>
      <w:bookmarkStart w:id="26" w:name="_Toc35393796"/>
      <w:bookmarkStart w:id="27" w:name="_Toc28359085"/>
      <w:bookmarkStart w:id="28" w:name="_Toc35393627"/>
      <w:r>
        <w:rPr>
          <w:rFonts w:hint="eastAsia" w:ascii="宋体" w:hAnsi="宋体" w:eastAsia="宋体" w:cs="宋体"/>
          <w:color w:val="000000" w:themeColor="text1"/>
          <w:kern w:val="0"/>
          <w:sz w:val="24"/>
          <w:highlight w:val="none"/>
          <w14:textFill>
            <w14:solidFill>
              <w14:schemeClr w14:val="tx1"/>
            </w14:solidFill>
          </w14:textFill>
        </w:rPr>
        <w:t>1、供应商必须整包响应不可分拆响应。</w:t>
      </w:r>
    </w:p>
    <w:p w14:paraId="1DB253B7">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ascii="宋体" w:hAnsi="宋体" w:eastAsia="宋体" w:cs="宋体"/>
          <w:color w:val="000000" w:themeColor="text1"/>
          <w:kern w:val="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本次采购公告在</w:t>
      </w:r>
      <w:r>
        <w:rPr>
          <w:rFonts w:hint="eastAsia" w:ascii="宋体" w:hAnsi="宋体" w:eastAsia="宋体" w:cs="宋体"/>
          <w:color w:val="000000" w:themeColor="text1"/>
          <w:sz w:val="24"/>
          <w:highlight w:val="none"/>
          <w:u w:val="single"/>
          <w14:textFill>
            <w14:solidFill>
              <w14:schemeClr w14:val="tx1"/>
            </w14:solidFill>
          </w14:textFill>
        </w:rPr>
        <w:t>山东大学采购网</w:t>
      </w:r>
      <w:r>
        <w:rPr>
          <w:rFonts w:hint="eastAsia" w:ascii="宋体" w:hAnsi="宋体" w:eastAsia="宋体" w:cs="宋体"/>
          <w:color w:val="000000" w:themeColor="text1"/>
          <w:sz w:val="24"/>
          <w:highlight w:val="none"/>
          <w14:textFill>
            <w14:solidFill>
              <w14:schemeClr w14:val="tx1"/>
            </w14:solidFill>
          </w14:textFill>
        </w:rPr>
        <w:t>上发布</w:t>
      </w:r>
      <w:r>
        <w:rPr>
          <w:rFonts w:hint="eastAsia" w:ascii="宋体" w:hAnsi="宋体" w:eastAsia="宋体" w:cs="宋体"/>
          <w:color w:val="000000" w:themeColor="text1"/>
          <w:kern w:val="1"/>
          <w:sz w:val="24"/>
          <w:highlight w:val="none"/>
          <w14:textFill>
            <w14:solidFill>
              <w14:schemeClr w14:val="tx1"/>
            </w14:solidFill>
          </w14:textFill>
        </w:rPr>
        <w:t>。</w:t>
      </w:r>
    </w:p>
    <w:p w14:paraId="55779658">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3、本采购项目的答疑、变更、修改、澄清、补遗内容及对项目的暂停、延期通知等情况均在系统中发布，潜在供应商自行查阅相关信息，未按要求查阅者自行承担相应后果。</w:t>
      </w:r>
    </w:p>
    <w:p w14:paraId="67CF8CE7">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highlight w:val="none"/>
          <w14:textFill>
            <w14:solidFill>
              <w14:schemeClr w14:val="tx1"/>
            </w14:solidFill>
          </w14:textFill>
        </w:rPr>
        <w:t>、本项目采用电子标。潜在供应商必须按相关程序办理数字证书和安装响应文件工具后方可在系统上传电子投标文件。详细操作说明见山东大学采购网-资料下载-山东大学电子投标指南文件。</w:t>
      </w:r>
    </w:p>
    <w:p w14:paraId="205D5914">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highlight w:val="none"/>
          <w14:textFill>
            <w14:solidFill>
              <w14:schemeClr w14:val="tx1"/>
            </w14:solidFill>
          </w14:textFill>
        </w:rPr>
        <w:t>、潜在供应商在使用系统进行电子投标文件编制过程中遇到任何技术问题均可向系统技术支持咨询，技术咨询电话：400-808-5975转2。</w:t>
      </w:r>
    </w:p>
    <w:bookmarkEnd w:id="25"/>
    <w:bookmarkEnd w:id="26"/>
    <w:bookmarkEnd w:id="27"/>
    <w:bookmarkEnd w:id="28"/>
    <w:p w14:paraId="382F21F8">
      <w:pPr>
        <w:keepNext w:val="0"/>
        <w:keepLines w:val="0"/>
        <w:pageBreakBefore w:val="0"/>
        <w:widowControl w:val="0"/>
        <w:kinsoku/>
        <w:wordWrap/>
        <w:overflowPunct/>
        <w:topLinePunct w:val="0"/>
        <w:autoSpaceDE/>
        <w:autoSpaceDN/>
        <w:bidi w:val="0"/>
        <w:adjustRightInd/>
        <w:snapToGrid w:val="0"/>
        <w:spacing w:line="460" w:lineRule="exact"/>
        <w:textAlignment w:val="auto"/>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七、联系方式</w:t>
      </w:r>
    </w:p>
    <w:p w14:paraId="0336E86F">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left"/>
        <w:textAlignment w:val="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1.采购人信息</w:t>
      </w:r>
    </w:p>
    <w:p w14:paraId="6C7FACC9">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left"/>
        <w:textAlignment w:val="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名称：山东大学</w:t>
      </w:r>
    </w:p>
    <w:p w14:paraId="217D9D0B">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left"/>
        <w:textAlignment w:val="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地址：山东大学中心校区明德楼</w:t>
      </w:r>
      <w:bookmarkStart w:id="29" w:name="_Toc28359009"/>
      <w:bookmarkStart w:id="30" w:name="_Toc28359086"/>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联系方式：0531-88365560 </w:t>
      </w:r>
    </w:p>
    <w:bookmarkEnd w:id="29"/>
    <w:bookmarkEnd w:id="30"/>
    <w:p w14:paraId="6AFE7966">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left"/>
        <w:textAlignment w:val="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2.采购代理机构信息</w:t>
      </w:r>
    </w:p>
    <w:p w14:paraId="3F84260E">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left"/>
        <w:textAlignment w:val="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名称：山东善誉招标咨询有限公司　　　　　　　　　　　　</w:t>
      </w:r>
    </w:p>
    <w:p w14:paraId="4BB4C56C">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left"/>
        <w:textAlignment w:val="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地址：济南市高新区舜华南路汉峪金谷A2区4栋23楼2302室　　　　　 　 　　　　　</w:t>
      </w:r>
    </w:p>
    <w:p w14:paraId="71068E02">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left"/>
        <w:textAlignment w:val="auto"/>
        <w:rPr>
          <w:rFonts w:ascii="宋体" w:hAnsi="宋体" w:eastAsia="宋体" w:cs="宋体"/>
          <w:color w:val="000000" w:themeColor="text1"/>
          <w:sz w:val="24"/>
          <w:highlight w:val="none"/>
          <w14:textFill>
            <w14:solidFill>
              <w14:schemeClr w14:val="tx1"/>
            </w14:solidFill>
          </w14:textFill>
        </w:rPr>
      </w:pPr>
      <w:bookmarkStart w:id="31" w:name="_Toc28359087"/>
      <w:bookmarkStart w:id="32" w:name="_Toc28359010"/>
      <w:r>
        <w:rPr>
          <w:rFonts w:hint="eastAsia" w:ascii="宋体" w:hAnsi="宋体" w:eastAsia="宋体" w:cs="宋体"/>
          <w:color w:val="000000" w:themeColor="text1"/>
          <w:sz w:val="24"/>
          <w:highlight w:val="none"/>
          <w14:textFill>
            <w14:solidFill>
              <w14:schemeClr w14:val="tx1"/>
            </w14:solidFill>
          </w14:textFill>
        </w:rPr>
        <w:t>联系方式：0531-55516892　　　　　　　　　　　</w:t>
      </w:r>
    </w:p>
    <w:bookmarkEnd w:id="31"/>
    <w:bookmarkEnd w:id="32"/>
    <w:p w14:paraId="2382D166">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left"/>
        <w:textAlignment w:val="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3.项目联系方式</w:t>
      </w:r>
    </w:p>
    <w:p w14:paraId="64170416">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left"/>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项目联系人：</w:t>
      </w:r>
      <w:r>
        <w:rPr>
          <w:rFonts w:hint="eastAsia" w:ascii="宋体" w:hAnsi="宋体" w:eastAsia="宋体" w:cs="宋体"/>
          <w:color w:val="000000" w:themeColor="text1"/>
          <w:sz w:val="24"/>
          <w:highlight w:val="none"/>
          <w:lang w:eastAsia="zh-CN"/>
          <w14:textFill>
            <w14:solidFill>
              <w14:schemeClr w14:val="tx1"/>
            </w14:solidFill>
          </w14:textFill>
        </w:rPr>
        <w:t>郭小青、朱琳</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p>
    <w:p w14:paraId="6CA7F478">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left"/>
        <w:textAlignment w:val="auto"/>
        <w:rPr>
          <w:rFonts w:ascii="宋体" w:hAnsi="宋体" w:eastAsia="宋体" w:cs="宋体"/>
          <w:b/>
          <w:color w:val="000000" w:themeColor="text1"/>
          <w:kern w:val="44"/>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　话：0531-55516892</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13361074886</w:t>
      </w:r>
      <w:r>
        <w:rPr>
          <w:rFonts w:hint="eastAsia" w:ascii="宋体" w:hAnsi="宋体" w:eastAsia="宋体" w:cs="宋体"/>
          <w:color w:val="000000" w:themeColor="text1"/>
          <w:sz w:val="24"/>
          <w:highlight w:val="none"/>
          <w14:textFill>
            <w14:solidFill>
              <w14:schemeClr w14:val="tx1"/>
            </w14:solidFill>
          </w14:textFill>
        </w:rPr>
        <w:t>　　　　</w:t>
      </w:r>
    </w:p>
    <w:p w14:paraId="0F6212DA">
      <w:pPr>
        <w:rPr>
          <w:rFonts w:hint="eastAsia" w:ascii="宋体" w:hAnsi="宋体" w:eastAsia="宋体" w:cs="宋体"/>
          <w:bCs w:val="0"/>
          <w:color w:val="000000" w:themeColor="text1"/>
          <w:sz w:val="30"/>
          <w:szCs w:val="30"/>
          <w:highlight w:val="none"/>
          <w14:textFill>
            <w14:solidFill>
              <w14:schemeClr w14:val="tx1"/>
            </w14:solidFill>
          </w14:textFill>
        </w:rPr>
      </w:pPr>
      <w:bookmarkStart w:id="33" w:name="_Toc13861"/>
      <w:r>
        <w:rPr>
          <w:rFonts w:hint="eastAsia" w:ascii="宋体" w:hAnsi="宋体" w:eastAsia="宋体" w:cs="宋体"/>
          <w:bCs w:val="0"/>
          <w:color w:val="000000" w:themeColor="text1"/>
          <w:sz w:val="30"/>
          <w:szCs w:val="30"/>
          <w:highlight w:val="none"/>
          <w14:textFill>
            <w14:solidFill>
              <w14:schemeClr w14:val="tx1"/>
            </w14:solidFill>
          </w14:textFill>
        </w:rPr>
        <w:br w:type="page"/>
      </w:r>
    </w:p>
    <w:p w14:paraId="65B4B4B1">
      <w:pPr>
        <w:pStyle w:val="2"/>
        <w:spacing w:before="0" w:after="0" w:line="360" w:lineRule="auto"/>
        <w:jc w:val="center"/>
        <w:rPr>
          <w:rFonts w:ascii="宋体" w:hAnsi="宋体" w:eastAsia="宋体" w:cs="宋体"/>
          <w:bCs w:val="0"/>
          <w:color w:val="000000" w:themeColor="text1"/>
          <w:sz w:val="30"/>
          <w:szCs w:val="30"/>
          <w:highlight w:val="none"/>
          <w14:textFill>
            <w14:solidFill>
              <w14:schemeClr w14:val="tx1"/>
            </w14:solidFill>
          </w14:textFill>
        </w:rPr>
      </w:pPr>
      <w:r>
        <w:rPr>
          <w:rFonts w:hint="eastAsia" w:ascii="宋体" w:hAnsi="宋体" w:eastAsia="宋体" w:cs="宋体"/>
          <w:bCs w:val="0"/>
          <w:color w:val="000000" w:themeColor="text1"/>
          <w:sz w:val="30"/>
          <w:szCs w:val="30"/>
          <w:highlight w:val="none"/>
          <w14:textFill>
            <w14:solidFill>
              <w14:schemeClr w14:val="tx1"/>
            </w14:solidFill>
          </w14:textFill>
        </w:rPr>
        <w:t>第二章  供应商须知</w:t>
      </w:r>
      <w:bookmarkEnd w:id="33"/>
    </w:p>
    <w:p w14:paraId="6084C8DC">
      <w:pPr>
        <w:spacing w:line="360" w:lineRule="auto"/>
        <w:jc w:val="center"/>
        <w:rPr>
          <w:rFonts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供应商须知前附表</w:t>
      </w:r>
    </w:p>
    <w:p w14:paraId="611A999B">
      <w:pPr>
        <w:spacing w:line="360" w:lineRule="auto"/>
        <w:ind w:firstLine="240" w:firstLineChars="1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本表是对“供应商须知”正文的具体补充和修改，如有不一致，以“前附表”为准。</w:t>
      </w:r>
    </w:p>
    <w:tbl>
      <w:tblPr>
        <w:tblStyle w:val="74"/>
        <w:tblW w:w="9127"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644"/>
        <w:gridCol w:w="8483"/>
      </w:tblGrid>
      <w:tr w14:paraId="643C1A9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72" w:hRule="atLeast"/>
          <w:tblHeader/>
          <w:jc w:val="center"/>
        </w:trPr>
        <w:tc>
          <w:tcPr>
            <w:tcW w:w="644" w:type="dxa"/>
            <w:vAlign w:val="center"/>
          </w:tcPr>
          <w:p w14:paraId="5483A88C">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8483" w:type="dxa"/>
            <w:vAlign w:val="center"/>
          </w:tcPr>
          <w:p w14:paraId="59E5E983">
            <w:pPr>
              <w:spacing w:line="420" w:lineRule="exact"/>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内      容</w:t>
            </w:r>
          </w:p>
        </w:tc>
      </w:tr>
      <w:tr w14:paraId="2B98F5C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78" w:hRule="atLeast"/>
          <w:jc w:val="center"/>
        </w:trPr>
        <w:tc>
          <w:tcPr>
            <w:tcW w:w="9127" w:type="dxa"/>
            <w:gridSpan w:val="2"/>
            <w:vAlign w:val="center"/>
          </w:tcPr>
          <w:p w14:paraId="70D4B7B8">
            <w:pPr>
              <w:spacing w:line="420" w:lineRule="exact"/>
              <w:ind w:left="-27" w:firstLine="1"/>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说明</w:t>
            </w:r>
          </w:p>
        </w:tc>
      </w:tr>
      <w:tr w14:paraId="542B572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305" w:hRule="atLeast"/>
          <w:jc w:val="center"/>
        </w:trPr>
        <w:tc>
          <w:tcPr>
            <w:tcW w:w="644" w:type="dxa"/>
            <w:vAlign w:val="center"/>
          </w:tcPr>
          <w:p w14:paraId="26195E02">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8483" w:type="dxa"/>
            <w:vAlign w:val="center"/>
          </w:tcPr>
          <w:p w14:paraId="36384B98">
            <w:pPr>
              <w:spacing w:line="420" w:lineRule="exact"/>
              <w:ind w:firstLine="458" w:firstLineChars="191"/>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项目名称：</w:t>
            </w:r>
            <w:r>
              <w:rPr>
                <w:rFonts w:hint="eastAsia" w:ascii="宋体" w:hAnsi="宋体" w:eastAsia="宋体" w:cs="宋体"/>
                <w:color w:val="000000" w:themeColor="text1"/>
                <w:sz w:val="24"/>
                <w:highlight w:val="none"/>
                <w:lang w:eastAsia="zh-CN"/>
                <w14:textFill>
                  <w14:solidFill>
                    <w14:schemeClr w14:val="tx1"/>
                  </w14:solidFill>
                </w14:textFill>
              </w:rPr>
              <w:t>山东大学本科生、研究生校方责任保险服务项目</w:t>
            </w:r>
          </w:p>
          <w:p w14:paraId="28B8CA08">
            <w:pPr>
              <w:spacing w:line="420" w:lineRule="exact"/>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项目编号：</w:t>
            </w:r>
            <w:r>
              <w:rPr>
                <w:rFonts w:hint="eastAsia" w:ascii="宋体" w:hAnsi="宋体" w:eastAsia="宋体" w:cs="宋体"/>
                <w:color w:val="000000" w:themeColor="text1"/>
                <w:sz w:val="24"/>
                <w:highlight w:val="none"/>
                <w:lang w:eastAsia="zh-CN"/>
                <w14:textFill>
                  <w14:solidFill>
                    <w14:schemeClr w14:val="tx1"/>
                  </w14:solidFill>
                </w14:textFill>
              </w:rPr>
              <w:t>SDJDGD20250048-Q015</w:t>
            </w:r>
            <w:r>
              <w:rPr>
                <w:rFonts w:hint="eastAsia" w:ascii="宋体" w:hAnsi="宋体" w:eastAsia="宋体" w:cs="宋体"/>
                <w:color w:val="000000" w:themeColor="text1"/>
                <w:sz w:val="24"/>
                <w:highlight w:val="none"/>
                <w14:textFill>
                  <w14:solidFill>
                    <w14:schemeClr w14:val="tx1"/>
                  </w14:solidFill>
                </w14:textFill>
              </w:rPr>
              <w:t xml:space="preserve"> </w:t>
            </w:r>
          </w:p>
        </w:tc>
      </w:tr>
      <w:tr w14:paraId="48CF906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305" w:hRule="atLeast"/>
          <w:jc w:val="center"/>
        </w:trPr>
        <w:tc>
          <w:tcPr>
            <w:tcW w:w="644" w:type="dxa"/>
            <w:vAlign w:val="center"/>
          </w:tcPr>
          <w:p w14:paraId="1DBAEFCC">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tc>
        <w:tc>
          <w:tcPr>
            <w:tcW w:w="8483" w:type="dxa"/>
            <w:vAlign w:val="center"/>
          </w:tcPr>
          <w:p w14:paraId="278E3848">
            <w:pPr>
              <w:spacing w:line="420" w:lineRule="exact"/>
              <w:ind w:firstLine="523" w:firstLineChars="21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 购 人：山东大学</w:t>
            </w:r>
          </w:p>
          <w:p w14:paraId="1611ED76">
            <w:pPr>
              <w:spacing w:line="420" w:lineRule="exact"/>
              <w:ind w:firstLine="523" w:firstLineChars="21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联系方式：0531-88365560 </w:t>
            </w:r>
          </w:p>
        </w:tc>
      </w:tr>
      <w:tr w14:paraId="1912E9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1243" w:hRule="atLeast"/>
          <w:jc w:val="center"/>
        </w:trPr>
        <w:tc>
          <w:tcPr>
            <w:tcW w:w="644" w:type="dxa"/>
            <w:vAlign w:val="center"/>
          </w:tcPr>
          <w:p w14:paraId="5DE36C4C">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p>
        </w:tc>
        <w:tc>
          <w:tcPr>
            <w:tcW w:w="8483" w:type="dxa"/>
            <w:vAlign w:val="center"/>
          </w:tcPr>
          <w:p w14:paraId="78BE983E">
            <w:pPr>
              <w:spacing w:line="420" w:lineRule="exact"/>
              <w:ind w:firstLine="523" w:firstLineChars="21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采购代理机构：山东善誉招标咨询有限公司</w:t>
            </w:r>
          </w:p>
          <w:p w14:paraId="42E36D4C">
            <w:pPr>
              <w:spacing w:line="420" w:lineRule="exact"/>
              <w:ind w:firstLine="523" w:firstLineChars="21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 系 人：</w:t>
            </w:r>
            <w:r>
              <w:rPr>
                <w:rFonts w:hint="eastAsia" w:ascii="宋体" w:hAnsi="宋体" w:eastAsia="宋体" w:cs="宋体"/>
                <w:color w:val="000000" w:themeColor="text1"/>
                <w:sz w:val="24"/>
                <w:highlight w:val="none"/>
                <w:lang w:eastAsia="zh-CN"/>
                <w14:textFill>
                  <w14:solidFill>
                    <w14:schemeClr w14:val="tx1"/>
                  </w14:solidFill>
                </w14:textFill>
              </w:rPr>
              <w:t>郭小青、朱琳</w:t>
            </w:r>
          </w:p>
          <w:p w14:paraId="29E4D04E">
            <w:pPr>
              <w:spacing w:line="420" w:lineRule="exact"/>
              <w:ind w:firstLine="523" w:firstLineChars="218"/>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联系电话：0531-55516892</w:t>
            </w:r>
          </w:p>
          <w:p w14:paraId="4A18160E">
            <w:pPr>
              <w:spacing w:line="420" w:lineRule="exact"/>
              <w:ind w:firstLine="523" w:firstLineChars="218"/>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邮    箱：</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"mailto:sdsmzb@163.com"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sdsyzb</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@163.com</w:t>
            </w:r>
            <w:r>
              <w:rPr>
                <w:rFonts w:hint="eastAsia" w:ascii="宋体" w:hAnsi="宋体" w:eastAsia="宋体" w:cs="宋体"/>
                <w:color w:val="000000" w:themeColor="text1"/>
                <w:sz w:val="24"/>
                <w:highlight w:val="none"/>
                <w14:textFill>
                  <w14:solidFill>
                    <w14:schemeClr w14:val="tx1"/>
                  </w14:solidFill>
                </w14:textFill>
              </w:rPr>
              <w:fldChar w:fldCharType="end"/>
            </w:r>
          </w:p>
        </w:tc>
      </w:tr>
      <w:tr w14:paraId="781B83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6" w:hRule="atLeast"/>
          <w:jc w:val="center"/>
        </w:trPr>
        <w:tc>
          <w:tcPr>
            <w:tcW w:w="644" w:type="dxa"/>
            <w:vAlign w:val="center"/>
          </w:tcPr>
          <w:p w14:paraId="05869339">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w:t>
            </w:r>
          </w:p>
        </w:tc>
        <w:tc>
          <w:tcPr>
            <w:tcW w:w="8483" w:type="dxa"/>
            <w:vAlign w:val="center"/>
          </w:tcPr>
          <w:p w14:paraId="16CAAB54">
            <w:pPr>
              <w:spacing w:line="420" w:lineRule="exact"/>
              <w:ind w:firstLine="523" w:firstLineChars="21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资金来源：已落实</w:t>
            </w:r>
          </w:p>
        </w:tc>
      </w:tr>
      <w:tr w14:paraId="7368B27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00" w:hRule="atLeast"/>
          <w:jc w:val="center"/>
        </w:trPr>
        <w:tc>
          <w:tcPr>
            <w:tcW w:w="644" w:type="dxa"/>
            <w:vAlign w:val="center"/>
          </w:tcPr>
          <w:p w14:paraId="5282DCCF">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w:t>
            </w:r>
          </w:p>
        </w:tc>
        <w:tc>
          <w:tcPr>
            <w:tcW w:w="8483" w:type="dxa"/>
            <w:vAlign w:val="center"/>
          </w:tcPr>
          <w:p w14:paraId="015DDE39">
            <w:pPr>
              <w:adjustRightInd w:val="0"/>
              <w:snapToGrid w:val="0"/>
              <w:spacing w:line="420" w:lineRule="exact"/>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供应商资格要求：详见本招标公告资格要求</w:t>
            </w:r>
          </w:p>
          <w:p w14:paraId="0922EF33">
            <w:pPr>
              <w:adjustRightInd w:val="0"/>
              <w:snapToGrid w:val="0"/>
              <w:spacing w:line="420" w:lineRule="exact"/>
              <w:ind w:firstLine="482" w:firstLineChars="20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注：1）采购代理机构将在本项目开标当天按参考公开招标公告指定的网站，查询供应商在投标截止时间之前是否被列入失信单位名单，参与本项目的供应商被列入失信被执行人、重大税收违法失信主体、政府采购严重违法失信行为记录名单的，在评标过程中资格审查时，其投标按无效投标处理。</w:t>
            </w:r>
          </w:p>
          <w:p w14:paraId="1C3F3DBD">
            <w:pPr>
              <w:adjustRightInd w:val="0"/>
              <w:snapToGrid w:val="0"/>
              <w:spacing w:line="420" w:lineRule="exact"/>
              <w:ind w:firstLine="482" w:firstLineChars="20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采购代理机构对于查询到的供应商失信行为事由、处理机关名称及处理日期、处理有效期间等，以屏幕截图的方式保存。</w:t>
            </w:r>
          </w:p>
          <w:p w14:paraId="41304235">
            <w:pPr>
              <w:adjustRightInd w:val="0"/>
              <w:snapToGrid w:val="0"/>
              <w:spacing w:line="420" w:lineRule="exact"/>
              <w:ind w:firstLine="482"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2）本项目实行资格后审，资格审查未通过，不进入下一步评审。</w:t>
            </w:r>
          </w:p>
        </w:tc>
      </w:tr>
      <w:tr w14:paraId="4629AAD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9127" w:type="dxa"/>
            <w:gridSpan w:val="2"/>
            <w:vAlign w:val="center"/>
          </w:tcPr>
          <w:p w14:paraId="1293AB92">
            <w:pPr>
              <w:spacing w:line="420" w:lineRule="exact"/>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参考公开招标文件的答疑、澄清和修改</w:t>
            </w:r>
          </w:p>
        </w:tc>
      </w:tr>
      <w:tr w14:paraId="413862A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44" w:type="dxa"/>
            <w:vAlign w:val="center"/>
          </w:tcPr>
          <w:p w14:paraId="478B2FA0">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w:t>
            </w:r>
          </w:p>
        </w:tc>
        <w:tc>
          <w:tcPr>
            <w:tcW w:w="8483" w:type="dxa"/>
            <w:vAlign w:val="center"/>
          </w:tcPr>
          <w:p w14:paraId="41AEF833">
            <w:pPr>
              <w:snapToGrid w:val="0"/>
              <w:spacing w:line="420" w:lineRule="exact"/>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提交疑问时间：</w:t>
            </w:r>
            <w:r>
              <w:rPr>
                <w:rFonts w:hint="eastAsia" w:ascii="宋体" w:hAnsi="宋体" w:eastAsia="宋体" w:cs="宋体"/>
                <w:color w:val="000000" w:themeColor="text1"/>
                <w:sz w:val="24"/>
                <w:highlight w:val="none"/>
                <w:lang w:eastAsia="zh-CN"/>
                <w14:textFill>
                  <w14:solidFill>
                    <w14:schemeClr w14:val="tx1"/>
                  </w14:solidFill>
                </w14:textFill>
              </w:rPr>
              <w:t>2025年</w:t>
            </w:r>
            <w:r>
              <w:rPr>
                <w:rFonts w:hint="eastAsia" w:ascii="宋体" w:hAnsi="宋体" w:eastAsia="宋体" w:cs="宋体"/>
                <w:color w:val="000000" w:themeColor="text1"/>
                <w:sz w:val="24"/>
                <w:highlight w:val="none"/>
                <w:lang w:val="en-US" w:eastAsia="zh-CN"/>
                <w14:textFill>
                  <w14:solidFill>
                    <w14:schemeClr w14:val="tx1"/>
                  </w14:solidFill>
                </w14:textFill>
              </w:rPr>
              <w:t>05</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lang w:val="en-US" w:eastAsia="zh-CN"/>
                <w14:textFill>
                  <w14:solidFill>
                    <w14:schemeClr w14:val="tx1"/>
                  </w14:solidFill>
                </w14:textFill>
              </w:rPr>
              <w:t>14</w:t>
            </w:r>
            <w:r>
              <w:rPr>
                <w:rFonts w:hint="eastAsia" w:ascii="宋体" w:hAnsi="宋体" w:eastAsia="宋体" w:cs="宋体"/>
                <w:color w:val="000000" w:themeColor="text1"/>
                <w:sz w:val="24"/>
                <w:highlight w:val="none"/>
                <w14:textFill>
                  <w14:solidFill>
                    <w14:schemeClr w14:val="tx1"/>
                  </w14:solidFill>
                </w14:textFill>
              </w:rPr>
              <w:t>日17:30前。</w:t>
            </w:r>
          </w:p>
          <w:p w14:paraId="707485A8">
            <w:pPr>
              <w:snapToGrid w:val="0"/>
              <w:spacing w:line="420" w:lineRule="exact"/>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提交疑问方式：发电子邮件至</w:t>
            </w:r>
            <w:r>
              <w:rPr>
                <w:rFonts w:hint="eastAsia" w:ascii="宋体" w:hAnsi="宋体" w:eastAsia="宋体" w:cs="宋体"/>
                <w:color w:val="000000" w:themeColor="text1"/>
                <w:sz w:val="24"/>
                <w:highlight w:val="none"/>
                <w:u w:val="single"/>
                <w14:textFill>
                  <w14:solidFill>
                    <w14:schemeClr w14:val="tx1"/>
                  </w14:solidFill>
                </w14:textFill>
              </w:rPr>
              <w:t>sdsyzb</w:t>
            </w:r>
            <w:r>
              <w:rPr>
                <w:rFonts w:hint="eastAsia" w:ascii="宋体" w:hAnsi="宋体" w:eastAsia="宋体" w:cs="宋体"/>
                <w:color w:val="000000" w:themeColor="text1"/>
                <w:sz w:val="24"/>
                <w:highlight w:val="none"/>
                <w:u w:val="single"/>
                <w:lang w:val="en-US" w:eastAsia="zh-CN"/>
                <w14:textFill>
                  <w14:solidFill>
                    <w14:schemeClr w14:val="tx1"/>
                  </w14:solidFill>
                </w14:textFill>
              </w:rPr>
              <w:t>3</w:t>
            </w:r>
            <w:r>
              <w:rPr>
                <w:rFonts w:hint="eastAsia" w:ascii="宋体" w:hAnsi="宋体" w:eastAsia="宋体" w:cs="宋体"/>
                <w:color w:val="000000" w:themeColor="text1"/>
                <w:sz w:val="24"/>
                <w:highlight w:val="none"/>
                <w:u w:val="single"/>
                <w14:textFill>
                  <w14:solidFill>
                    <w14:schemeClr w14:val="tx1"/>
                  </w14:solidFill>
                </w14:textFill>
              </w:rPr>
              <w:t>@163.com</w:t>
            </w:r>
            <w:r>
              <w:rPr>
                <w:rFonts w:hint="eastAsia" w:ascii="宋体" w:hAnsi="宋体" w:eastAsia="宋体" w:cs="宋体"/>
                <w:color w:val="000000" w:themeColor="text1"/>
                <w:sz w:val="24"/>
                <w:highlight w:val="none"/>
                <w14:textFill>
                  <w14:solidFill>
                    <w14:schemeClr w14:val="tx1"/>
                  </w14:solidFill>
                </w14:textFill>
              </w:rPr>
              <w:t>（word文档及加盖公章的扫描件各一份），邮件主题为“ XX公司关于XX项目的疑问”，并电话通知代理机构。</w:t>
            </w:r>
          </w:p>
        </w:tc>
      </w:tr>
      <w:tr w14:paraId="1BD43A1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44" w:type="dxa"/>
            <w:vAlign w:val="center"/>
          </w:tcPr>
          <w:p w14:paraId="2B2DC523">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w:t>
            </w:r>
          </w:p>
        </w:tc>
        <w:tc>
          <w:tcPr>
            <w:tcW w:w="8483" w:type="dxa"/>
            <w:vAlign w:val="center"/>
          </w:tcPr>
          <w:p w14:paraId="15F09E18">
            <w:pPr>
              <w:snapToGrid w:val="0"/>
              <w:spacing w:line="420" w:lineRule="exact"/>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答疑、澄清和修改文件时间：在投标截止时间1天前。</w:t>
            </w:r>
          </w:p>
          <w:p w14:paraId="4AEDB20B">
            <w:pPr>
              <w:snapToGrid w:val="0"/>
              <w:spacing w:line="420" w:lineRule="exact"/>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方式：本招标项目的答疑、变更、修改、澄清、补遗内容及对项目的暂停、延期通知等情况均在系统中发布。潜在供应商自行查阅相关信息，未按要求查阅者自行承担相应后果。</w:t>
            </w:r>
          </w:p>
        </w:tc>
      </w:tr>
      <w:tr w14:paraId="30A6262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9127" w:type="dxa"/>
            <w:gridSpan w:val="2"/>
            <w:vAlign w:val="center"/>
          </w:tcPr>
          <w:p w14:paraId="37C58C5A">
            <w:pPr>
              <w:spacing w:line="420" w:lineRule="exact"/>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电子投标文件</w:t>
            </w:r>
          </w:p>
        </w:tc>
      </w:tr>
      <w:tr w14:paraId="13A28ED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44" w:type="dxa"/>
            <w:vMerge w:val="restart"/>
            <w:vAlign w:val="center"/>
          </w:tcPr>
          <w:p w14:paraId="711338C7">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w:t>
            </w:r>
          </w:p>
        </w:tc>
        <w:tc>
          <w:tcPr>
            <w:tcW w:w="8483" w:type="dxa"/>
            <w:vAlign w:val="center"/>
          </w:tcPr>
          <w:p w14:paraId="09761F7C">
            <w:pPr>
              <w:spacing w:line="420" w:lineRule="exact"/>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“电子投标文件组成”详见“供应商须知”第9条。</w:t>
            </w:r>
          </w:p>
        </w:tc>
      </w:tr>
      <w:tr w14:paraId="0DEA6E2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44" w:type="dxa"/>
            <w:vMerge w:val="continue"/>
            <w:vAlign w:val="center"/>
          </w:tcPr>
          <w:p w14:paraId="5E4DDFA9">
            <w:pPr>
              <w:spacing w:line="420" w:lineRule="exact"/>
              <w:jc w:val="center"/>
              <w:rPr>
                <w:rFonts w:ascii="宋体" w:hAnsi="宋体" w:eastAsia="宋体" w:cs="宋体"/>
                <w:color w:val="000000" w:themeColor="text1"/>
                <w:sz w:val="24"/>
                <w:highlight w:val="none"/>
                <w14:textFill>
                  <w14:solidFill>
                    <w14:schemeClr w14:val="tx1"/>
                  </w14:solidFill>
                </w14:textFill>
              </w:rPr>
            </w:pPr>
          </w:p>
        </w:tc>
        <w:tc>
          <w:tcPr>
            <w:tcW w:w="8483" w:type="dxa"/>
            <w:vAlign w:val="center"/>
          </w:tcPr>
          <w:p w14:paraId="6C8A3A46">
            <w:pPr>
              <w:spacing w:line="420" w:lineRule="exact"/>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电子签章：根据参考公开招标文件格式的要求在规定的地方进行电子签章。具体操作详见：山东大学采购网(http://www.cgw.sdu.edu.cn)-资料下载-山东大学电子投标指南文件。</w:t>
            </w:r>
          </w:p>
        </w:tc>
      </w:tr>
      <w:tr w14:paraId="143E8F4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44" w:type="dxa"/>
            <w:vMerge w:val="continue"/>
            <w:vAlign w:val="center"/>
          </w:tcPr>
          <w:p w14:paraId="75902554">
            <w:pPr>
              <w:spacing w:line="420" w:lineRule="exact"/>
              <w:jc w:val="center"/>
              <w:rPr>
                <w:rFonts w:ascii="宋体" w:hAnsi="宋体" w:eastAsia="宋体" w:cs="宋体"/>
                <w:color w:val="000000" w:themeColor="text1"/>
                <w:sz w:val="24"/>
                <w:highlight w:val="none"/>
                <w14:textFill>
                  <w14:solidFill>
                    <w14:schemeClr w14:val="tx1"/>
                  </w14:solidFill>
                </w14:textFill>
              </w:rPr>
            </w:pPr>
          </w:p>
        </w:tc>
        <w:tc>
          <w:tcPr>
            <w:tcW w:w="8483" w:type="dxa"/>
            <w:vAlign w:val="center"/>
          </w:tcPr>
          <w:p w14:paraId="35F507F2">
            <w:pPr>
              <w:spacing w:line="420" w:lineRule="exact"/>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电子投标文件加密、上传：上传时，系统通过供应商当前使用的CA 数字证书加密电子投标文件。</w:t>
            </w:r>
          </w:p>
        </w:tc>
      </w:tr>
      <w:tr w14:paraId="70F5CA6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44" w:type="dxa"/>
            <w:vAlign w:val="center"/>
          </w:tcPr>
          <w:p w14:paraId="3F0B71C2">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9</w:t>
            </w:r>
          </w:p>
        </w:tc>
        <w:tc>
          <w:tcPr>
            <w:tcW w:w="8483" w:type="dxa"/>
            <w:vAlign w:val="center"/>
          </w:tcPr>
          <w:p w14:paraId="3517E696">
            <w:pPr>
              <w:spacing w:line="420" w:lineRule="exact"/>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“投标报价”详见“供应商须知”第10条。</w:t>
            </w:r>
          </w:p>
        </w:tc>
      </w:tr>
      <w:tr w14:paraId="2BA90F9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05" w:hRule="atLeast"/>
          <w:jc w:val="center"/>
        </w:trPr>
        <w:tc>
          <w:tcPr>
            <w:tcW w:w="9127" w:type="dxa"/>
            <w:gridSpan w:val="2"/>
            <w:vAlign w:val="center"/>
          </w:tcPr>
          <w:p w14:paraId="2063B1CF">
            <w:pPr>
              <w:spacing w:line="420" w:lineRule="exact"/>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投标保证金及投标有效期</w:t>
            </w:r>
          </w:p>
        </w:tc>
      </w:tr>
      <w:tr w14:paraId="02CD695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44" w:type="dxa"/>
            <w:vAlign w:val="center"/>
          </w:tcPr>
          <w:p w14:paraId="0FC6FE74">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w:t>
            </w:r>
          </w:p>
        </w:tc>
        <w:tc>
          <w:tcPr>
            <w:tcW w:w="8483" w:type="dxa"/>
            <w:vAlign w:val="center"/>
          </w:tcPr>
          <w:p w14:paraId="601C5446">
            <w:pPr>
              <w:spacing w:line="420" w:lineRule="exact"/>
              <w:ind w:firstLine="525" w:firstLineChars="21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投标保证金金额：人民币</w:t>
            </w:r>
            <w:r>
              <w:rPr>
                <w:rFonts w:hint="eastAsia" w:ascii="宋体" w:hAnsi="宋体" w:eastAsia="宋体" w:cs="宋体"/>
                <w:b/>
                <w:color w:val="000000" w:themeColor="text1"/>
                <w:sz w:val="24"/>
                <w:highlight w:val="none"/>
                <w:u w:val="single"/>
                <w:lang w:val="en-US" w:eastAsia="zh-CN"/>
                <w14:textFill>
                  <w14:solidFill>
                    <w14:schemeClr w14:val="tx1"/>
                  </w14:solidFill>
                </w14:textFill>
              </w:rPr>
              <w:t>7000</w:t>
            </w:r>
            <w:r>
              <w:rPr>
                <w:rFonts w:hint="eastAsia" w:ascii="宋体" w:hAnsi="宋体" w:eastAsia="宋体" w:cs="宋体"/>
                <w:b/>
                <w:color w:val="000000" w:themeColor="text1"/>
                <w:sz w:val="24"/>
                <w:highlight w:val="none"/>
                <w14:textFill>
                  <w14:solidFill>
                    <w14:schemeClr w14:val="tx1"/>
                  </w14:solidFill>
                </w14:textFill>
              </w:rPr>
              <w:t>元整（</w:t>
            </w:r>
            <w:r>
              <w:rPr>
                <w:rFonts w:hint="eastAsia" w:ascii="宋体" w:hAnsi="宋体" w:eastAsia="宋体" w:cs="宋体"/>
                <w:b/>
                <w:color w:val="000000" w:themeColor="text1"/>
                <w:sz w:val="24"/>
                <w:highlight w:val="none"/>
                <w:lang w:eastAsia="zh-CN"/>
                <w14:textFill>
                  <w14:solidFill>
                    <w14:schemeClr w14:val="tx1"/>
                  </w14:solidFill>
                </w14:textFill>
              </w:rPr>
              <w:t>柒仟元整</w:t>
            </w:r>
            <w:r>
              <w:rPr>
                <w:rFonts w:hint="eastAsia" w:ascii="宋体" w:hAnsi="宋体" w:eastAsia="宋体" w:cs="宋体"/>
                <w:b/>
                <w:color w:val="000000" w:themeColor="text1"/>
                <w:sz w:val="24"/>
                <w:highlight w:val="none"/>
                <w14:textFill>
                  <w14:solidFill>
                    <w14:schemeClr w14:val="tx1"/>
                  </w14:solidFill>
                </w14:textFill>
              </w:rPr>
              <w:t>）。</w:t>
            </w:r>
          </w:p>
          <w:p w14:paraId="39D9DABF">
            <w:pPr>
              <w:spacing w:line="420" w:lineRule="exact"/>
              <w:ind w:firstLine="525" w:firstLineChars="21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开 户 名：山东善誉招标咨询有限公司历下分公司</w:t>
            </w:r>
          </w:p>
          <w:p w14:paraId="75A998A4">
            <w:pPr>
              <w:spacing w:line="420" w:lineRule="exact"/>
              <w:ind w:firstLine="525" w:firstLineChars="21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开户银行：莱商银行股份有限公司济南历下支行</w:t>
            </w:r>
          </w:p>
          <w:p w14:paraId="0651C1D2">
            <w:pPr>
              <w:spacing w:line="420" w:lineRule="exact"/>
              <w:ind w:firstLine="525" w:firstLineChars="21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账    号：8030 4050 1421 0063 85</w:t>
            </w:r>
          </w:p>
          <w:p w14:paraId="09853AAF">
            <w:pPr>
              <w:spacing w:line="420" w:lineRule="exact"/>
              <w:ind w:firstLine="525" w:firstLineChars="21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投标保证金缴纳形式：电汇或网银或支票或汇票或本票或保函等</w:t>
            </w:r>
          </w:p>
          <w:p w14:paraId="5728F130">
            <w:pPr>
              <w:spacing w:line="420" w:lineRule="exact"/>
              <w:ind w:firstLine="525" w:firstLineChars="21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备注：</w:t>
            </w:r>
          </w:p>
          <w:p w14:paraId="58B99F52">
            <w:pPr>
              <w:spacing w:line="420" w:lineRule="exact"/>
              <w:ind w:firstLine="525" w:firstLineChars="21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投标保证金以电汇或网银或支票形式提交的，必须从供应商的单位银行账户转出，并在投标截止时间前到达指定账户。供应商应充分考虑银行信息交换时间，由此带来的投标保证金不能按时到帐的责任由供应商自行承担。其他形式递交的投标保证金须在投标截止时间前提交。</w:t>
            </w:r>
          </w:p>
          <w:p w14:paraId="6421E14E">
            <w:pPr>
              <w:spacing w:line="420" w:lineRule="exact"/>
              <w:ind w:firstLine="525" w:firstLineChars="218"/>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2、汇款时请在交易附言内填写：</w:t>
            </w:r>
            <w:r>
              <w:rPr>
                <w:rFonts w:hint="eastAsia" w:ascii="宋体" w:hAnsi="宋体" w:eastAsia="宋体" w:cs="宋体"/>
                <w:color w:val="000000" w:themeColor="text1"/>
                <w:sz w:val="24"/>
                <w:highlight w:val="none"/>
                <w:lang w:eastAsia="zh-CN"/>
                <w14:textFill>
                  <w14:solidFill>
                    <w14:schemeClr w14:val="tx1"/>
                  </w14:solidFill>
                </w14:textFill>
              </w:rPr>
              <w:t>山东大学本科生、研究生校方责任保险服务项目</w:t>
            </w:r>
            <w:r>
              <w:rPr>
                <w:rFonts w:hint="eastAsia" w:ascii="宋体" w:hAnsi="宋体" w:eastAsia="宋体" w:cs="宋体"/>
                <w:color w:val="000000" w:themeColor="text1"/>
                <w:sz w:val="24"/>
                <w:highlight w:val="none"/>
                <w14:textFill>
                  <w14:solidFill>
                    <w14:schemeClr w14:val="tx1"/>
                  </w14:solidFill>
                </w14:textFill>
              </w:rPr>
              <w:t>（项目简称）</w:t>
            </w:r>
          </w:p>
        </w:tc>
      </w:tr>
      <w:tr w14:paraId="69D0BA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74" w:hRule="atLeast"/>
          <w:jc w:val="center"/>
        </w:trPr>
        <w:tc>
          <w:tcPr>
            <w:tcW w:w="644" w:type="dxa"/>
            <w:vAlign w:val="center"/>
          </w:tcPr>
          <w:p w14:paraId="1D4F200D">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w:t>
            </w:r>
          </w:p>
        </w:tc>
        <w:tc>
          <w:tcPr>
            <w:tcW w:w="8483" w:type="dxa"/>
            <w:vAlign w:val="center"/>
          </w:tcPr>
          <w:p w14:paraId="7F8D4659">
            <w:pPr>
              <w:spacing w:line="420" w:lineRule="exact"/>
              <w:ind w:firstLine="523" w:firstLineChars="21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投标有效期：自投标截止之日起</w:t>
            </w:r>
            <w:r>
              <w:rPr>
                <w:rFonts w:hint="eastAsia" w:ascii="宋体" w:hAnsi="宋体" w:eastAsia="宋体" w:cs="宋体"/>
                <w:color w:val="000000" w:themeColor="text1"/>
                <w:sz w:val="24"/>
                <w:highlight w:val="none"/>
                <w:u w:val="single"/>
                <w14:textFill>
                  <w14:solidFill>
                    <w14:schemeClr w14:val="tx1"/>
                  </w14:solidFill>
                </w14:textFill>
              </w:rPr>
              <w:t>120</w:t>
            </w:r>
            <w:r>
              <w:rPr>
                <w:rFonts w:hint="eastAsia" w:ascii="宋体" w:hAnsi="宋体" w:eastAsia="宋体" w:cs="宋体"/>
                <w:color w:val="000000" w:themeColor="text1"/>
                <w:sz w:val="24"/>
                <w:highlight w:val="none"/>
                <w14:textFill>
                  <w14:solidFill>
                    <w14:schemeClr w14:val="tx1"/>
                  </w14:solidFill>
                </w14:textFill>
              </w:rPr>
              <w:t>日历天</w:t>
            </w:r>
          </w:p>
        </w:tc>
      </w:tr>
      <w:tr w14:paraId="37DCEF4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74" w:hRule="atLeast"/>
          <w:jc w:val="center"/>
        </w:trPr>
        <w:tc>
          <w:tcPr>
            <w:tcW w:w="9127" w:type="dxa"/>
            <w:gridSpan w:val="2"/>
            <w:vAlign w:val="bottom"/>
          </w:tcPr>
          <w:p w14:paraId="07A09E13">
            <w:pPr>
              <w:spacing w:line="420" w:lineRule="exact"/>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电子投标文件的递交</w:t>
            </w:r>
          </w:p>
        </w:tc>
      </w:tr>
      <w:tr w14:paraId="2618B8C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49" w:hRule="atLeast"/>
          <w:jc w:val="center"/>
        </w:trPr>
        <w:tc>
          <w:tcPr>
            <w:tcW w:w="644" w:type="dxa"/>
            <w:vMerge w:val="restart"/>
            <w:vAlign w:val="center"/>
          </w:tcPr>
          <w:p w14:paraId="31D56A37">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12</w:t>
            </w:r>
          </w:p>
        </w:tc>
        <w:tc>
          <w:tcPr>
            <w:tcW w:w="8483" w:type="dxa"/>
            <w:vAlign w:val="center"/>
          </w:tcPr>
          <w:p w14:paraId="63588284">
            <w:pPr>
              <w:spacing w:line="420" w:lineRule="exact"/>
              <w:ind w:firstLine="525" w:firstLineChars="21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电子投标文件递交时间：投标截止时间前均可自行上传投标文件；                  </w:t>
            </w:r>
          </w:p>
          <w:p w14:paraId="5593E72E">
            <w:pPr>
              <w:spacing w:line="420" w:lineRule="exact"/>
              <w:ind w:firstLine="525" w:firstLineChars="21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★电子投标文件递交截止时间：2025年05月</w:t>
            </w:r>
            <w:r>
              <w:rPr>
                <w:rFonts w:hint="eastAsia" w:ascii="宋体" w:hAnsi="宋体" w:eastAsia="宋体" w:cs="宋体"/>
                <w:b/>
                <w:color w:val="000000" w:themeColor="text1"/>
                <w:sz w:val="24"/>
                <w:highlight w:val="none"/>
                <w:lang w:val="en-US" w:eastAsia="zh-CN"/>
                <w14:textFill>
                  <w14:solidFill>
                    <w14:schemeClr w14:val="tx1"/>
                  </w14:solidFill>
                </w14:textFill>
              </w:rPr>
              <w:t>16</w:t>
            </w:r>
            <w:r>
              <w:rPr>
                <w:rFonts w:hint="eastAsia" w:ascii="宋体" w:hAnsi="宋体" w:eastAsia="宋体" w:cs="宋体"/>
                <w:b/>
                <w:color w:val="000000" w:themeColor="text1"/>
                <w:sz w:val="24"/>
                <w:highlight w:val="none"/>
                <w14:textFill>
                  <w14:solidFill>
                    <w14:schemeClr w14:val="tx1"/>
                  </w14:solidFill>
                </w14:textFill>
              </w:rPr>
              <w:t>日14点30分（北京时间）。</w:t>
            </w:r>
          </w:p>
        </w:tc>
      </w:tr>
      <w:tr w14:paraId="51D94C8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745" w:hRule="atLeast"/>
          <w:jc w:val="center"/>
        </w:trPr>
        <w:tc>
          <w:tcPr>
            <w:tcW w:w="644" w:type="dxa"/>
            <w:vMerge w:val="continue"/>
            <w:vAlign w:val="center"/>
          </w:tcPr>
          <w:p w14:paraId="1D74DDA5">
            <w:pPr>
              <w:spacing w:line="420" w:lineRule="exact"/>
              <w:jc w:val="center"/>
              <w:rPr>
                <w:rFonts w:ascii="宋体" w:hAnsi="宋体" w:eastAsia="宋体" w:cs="宋体"/>
                <w:color w:val="000000" w:themeColor="text1"/>
                <w:sz w:val="24"/>
                <w:highlight w:val="none"/>
                <w14:textFill>
                  <w14:solidFill>
                    <w14:schemeClr w14:val="tx1"/>
                  </w14:solidFill>
                </w14:textFill>
              </w:rPr>
            </w:pPr>
          </w:p>
        </w:tc>
        <w:tc>
          <w:tcPr>
            <w:tcW w:w="8483" w:type="dxa"/>
            <w:vAlign w:val="center"/>
          </w:tcPr>
          <w:p w14:paraId="2767BD63">
            <w:pPr>
              <w:spacing w:line="420" w:lineRule="exact"/>
              <w:ind w:firstLine="525" w:firstLineChars="21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电子投标文件递交方式：</w:t>
            </w:r>
            <w:r>
              <w:rPr>
                <w:rFonts w:hint="eastAsia" w:ascii="宋体" w:hAnsi="宋体" w:eastAsia="宋体" w:cs="宋体"/>
                <w:color w:val="000000" w:themeColor="text1"/>
                <w:sz w:val="24"/>
                <w:highlight w:val="none"/>
                <w14:textFill>
                  <w14:solidFill>
                    <w14:schemeClr w14:val="tx1"/>
                  </w14:solidFill>
                </w14:textFill>
              </w:rPr>
              <w:t>供应商制作电子投标文件前须提前办理数字证书和电子签章，办理方式和注意事项详见山东大学采购网《山东大学电子招投标系统供应商投标操作手册》。供应商根据《山东大学电子招投标系统供应商投标操作手册》下载并安装相关工具软件，按要求编制电子投标文件，并在提交电子投标文件截止时间前加密上传。除上述方式之外，不接受以纸质文件以及其他任何方式提交的电子投标文件。</w:t>
            </w:r>
          </w:p>
        </w:tc>
      </w:tr>
      <w:tr w14:paraId="32A1868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745" w:hRule="atLeast"/>
          <w:jc w:val="center"/>
        </w:trPr>
        <w:tc>
          <w:tcPr>
            <w:tcW w:w="9127" w:type="dxa"/>
            <w:gridSpan w:val="2"/>
            <w:vAlign w:val="center"/>
          </w:tcPr>
          <w:p w14:paraId="18593DB8">
            <w:pPr>
              <w:spacing w:line="420" w:lineRule="exact"/>
              <w:jc w:val="center"/>
              <w:rPr>
                <w:rFonts w:ascii="宋体" w:hAnsi="宋体" w:eastAsia="宋体" w:cs="宋体"/>
                <w:b/>
                <w:color w:val="000000" w:themeColor="text1"/>
                <w:sz w:val="24"/>
                <w:highlight w:val="none"/>
                <w14:textFill>
                  <w14:solidFill>
                    <w14:schemeClr w14:val="tx1"/>
                  </w14:solidFill>
                </w14:textFill>
              </w:rPr>
            </w:pPr>
            <w:bookmarkStart w:id="34" w:name="_Hlk34123929"/>
            <w:bookmarkEnd w:id="34"/>
            <w:r>
              <w:rPr>
                <w:rFonts w:hint="eastAsia" w:ascii="宋体" w:hAnsi="宋体" w:eastAsia="宋体" w:cs="宋体"/>
                <w:b/>
                <w:color w:val="000000" w:themeColor="text1"/>
                <w:sz w:val="24"/>
                <w:highlight w:val="none"/>
                <w14:textFill>
                  <w14:solidFill>
                    <w14:schemeClr w14:val="tx1"/>
                  </w14:solidFill>
                </w14:textFill>
              </w:rPr>
              <w:t>开标及评标</w:t>
            </w:r>
          </w:p>
        </w:tc>
      </w:tr>
      <w:tr w14:paraId="33F1DAF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1058" w:hRule="atLeast"/>
          <w:jc w:val="center"/>
        </w:trPr>
        <w:tc>
          <w:tcPr>
            <w:tcW w:w="644" w:type="dxa"/>
            <w:vAlign w:val="center"/>
          </w:tcPr>
          <w:p w14:paraId="79B3865E">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13</w:t>
            </w:r>
          </w:p>
        </w:tc>
        <w:tc>
          <w:tcPr>
            <w:tcW w:w="8483" w:type="dxa"/>
            <w:vAlign w:val="center"/>
          </w:tcPr>
          <w:p w14:paraId="7736B85C">
            <w:pPr>
              <w:spacing w:line="420" w:lineRule="exact"/>
              <w:ind w:firstLine="525" w:firstLineChars="21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开标时间：详见参考公开招标公告；</w:t>
            </w:r>
          </w:p>
          <w:p w14:paraId="094B9723">
            <w:pPr>
              <w:spacing w:line="420" w:lineRule="exact"/>
              <w:ind w:firstLine="525" w:firstLineChars="21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开标方式：</w:t>
            </w:r>
            <w:r>
              <w:rPr>
                <w:rFonts w:hint="eastAsia" w:ascii="宋体" w:hAnsi="宋体" w:eastAsia="宋体" w:cs="宋体"/>
                <w:color w:val="000000" w:themeColor="text1"/>
                <w:sz w:val="24"/>
                <w:highlight w:val="none"/>
                <w14:textFill>
                  <w14:solidFill>
                    <w14:schemeClr w14:val="tx1"/>
                  </w14:solidFill>
                </w14:textFill>
              </w:rPr>
              <w:t>本项目通过山东大学电子招投标系统进行开标，供应商应在开标前登录系统，参加开标过程并确认开标结果，供应商未参加开标的视同认同开标结果。</w:t>
            </w:r>
          </w:p>
        </w:tc>
      </w:tr>
      <w:tr w14:paraId="0C712AD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44" w:type="dxa"/>
            <w:vAlign w:val="center"/>
          </w:tcPr>
          <w:p w14:paraId="606A8AAD">
            <w:pPr>
              <w:spacing w:line="420" w:lineRule="exact"/>
              <w:jc w:val="center"/>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14</w:t>
            </w:r>
          </w:p>
        </w:tc>
        <w:tc>
          <w:tcPr>
            <w:tcW w:w="8483" w:type="dxa"/>
            <w:vAlign w:val="center"/>
          </w:tcPr>
          <w:p w14:paraId="7256F13A">
            <w:pPr>
              <w:spacing w:line="420" w:lineRule="exact"/>
              <w:ind w:firstLine="523" w:firstLineChars="21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评标委员会组成：采购人将根据本项目的特点组建评标委员会，其成员由采购人代表及评审专家 3人及以上单数组成，其中经济、技术等方面的专家不得少于成员总数的三分之二。</w:t>
            </w:r>
          </w:p>
        </w:tc>
      </w:tr>
      <w:tr w14:paraId="5286FE9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44" w:type="dxa"/>
            <w:vAlign w:val="center"/>
          </w:tcPr>
          <w:p w14:paraId="6C865698">
            <w:pPr>
              <w:spacing w:line="420" w:lineRule="exact"/>
              <w:jc w:val="center"/>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15</w:t>
            </w:r>
          </w:p>
        </w:tc>
        <w:tc>
          <w:tcPr>
            <w:tcW w:w="8483" w:type="dxa"/>
            <w:vAlign w:val="center"/>
          </w:tcPr>
          <w:p w14:paraId="78B4FE26">
            <w:pPr>
              <w:spacing w:line="420" w:lineRule="exact"/>
              <w:ind w:firstLine="523" w:firstLineChars="21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评标方法：本次评标采用综合评分法，评标委员会成员根据第三章“评分办法”进行打分，按照得分由高到低顺序对各供应商进行排序，并推荐成交候选人，由采购人依法确定成交供应商。</w:t>
            </w:r>
          </w:p>
        </w:tc>
      </w:tr>
      <w:tr w14:paraId="429C06B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9127" w:type="dxa"/>
            <w:gridSpan w:val="2"/>
            <w:vAlign w:val="center"/>
          </w:tcPr>
          <w:p w14:paraId="1FE22B18">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授予合同</w:t>
            </w:r>
          </w:p>
        </w:tc>
      </w:tr>
      <w:tr w14:paraId="5F94DDF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44" w:type="dxa"/>
            <w:vAlign w:val="center"/>
          </w:tcPr>
          <w:p w14:paraId="76B99F5F">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16</w:t>
            </w:r>
          </w:p>
        </w:tc>
        <w:tc>
          <w:tcPr>
            <w:tcW w:w="8483" w:type="dxa"/>
            <w:vAlign w:val="center"/>
          </w:tcPr>
          <w:p w14:paraId="4A23EF01">
            <w:pPr>
              <w:spacing w:line="420" w:lineRule="exact"/>
              <w:ind w:firstLine="523" w:firstLineChars="21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供应商应当在收到中标通知书后30日内与采购人签订合同。</w:t>
            </w:r>
          </w:p>
        </w:tc>
      </w:tr>
      <w:tr w14:paraId="610354F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9127" w:type="dxa"/>
            <w:gridSpan w:val="2"/>
            <w:vAlign w:val="center"/>
          </w:tcPr>
          <w:p w14:paraId="6D1530F0">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相关费用</w:t>
            </w:r>
          </w:p>
        </w:tc>
      </w:tr>
      <w:tr w14:paraId="0E61B89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44" w:type="dxa"/>
            <w:vAlign w:val="center"/>
          </w:tcPr>
          <w:p w14:paraId="57DF18E3">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17</w:t>
            </w:r>
          </w:p>
        </w:tc>
        <w:tc>
          <w:tcPr>
            <w:tcW w:w="8483" w:type="dxa"/>
            <w:vAlign w:val="center"/>
          </w:tcPr>
          <w:p w14:paraId="24CAAD29">
            <w:pPr>
              <w:spacing w:line="420" w:lineRule="exact"/>
              <w:ind w:firstLine="523" w:firstLineChars="21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成交服务费：</w:t>
            </w:r>
            <w:r>
              <w:rPr>
                <w:rFonts w:hint="eastAsia" w:ascii="宋体" w:hAnsi="宋体" w:eastAsia="宋体" w:cs="宋体"/>
                <w:color w:val="000000" w:themeColor="text1"/>
                <w:sz w:val="24"/>
                <w:highlight w:val="none"/>
                <w14:textFill>
                  <w14:solidFill>
                    <w14:schemeClr w14:val="tx1"/>
                  </w14:solidFill>
                </w14:textFill>
              </w:rPr>
              <w:t>成交供应商</w:t>
            </w:r>
            <w:r>
              <w:rPr>
                <w:rFonts w:hint="eastAsia" w:ascii="宋体" w:hAnsi="宋体" w:eastAsia="宋体" w:cs="宋体"/>
                <w:color w:val="000000" w:themeColor="text1"/>
                <w:kern w:val="0"/>
                <w:sz w:val="24"/>
                <w:highlight w:val="none"/>
                <w14:textFill>
                  <w14:solidFill>
                    <w14:schemeClr w14:val="tx1"/>
                  </w14:solidFill>
                </w14:textFill>
              </w:rPr>
              <w:t>参照国家发展改革委员会办公厅发改办[2003]857号文、国家发展计划委员会计价格[2002]1980号文件规定的“服务类”收费标准下浮40%后向采购代理机构交纳</w:t>
            </w:r>
            <w:r>
              <w:rPr>
                <w:rFonts w:hint="eastAsia" w:ascii="宋体" w:hAnsi="宋体" w:eastAsia="宋体" w:cs="宋体"/>
                <w:color w:val="000000" w:themeColor="text1"/>
                <w:kern w:val="0"/>
                <w:sz w:val="24"/>
                <w:highlight w:val="none"/>
                <w:lang w:eastAsia="zh-CN"/>
                <w14:textFill>
                  <w14:solidFill>
                    <w14:schemeClr w14:val="tx1"/>
                  </w14:solidFill>
                </w14:textFill>
              </w:rPr>
              <w:t>服务费</w:t>
            </w:r>
            <w:r>
              <w:rPr>
                <w:rFonts w:hint="eastAsia" w:ascii="宋体" w:hAnsi="宋体" w:eastAsia="宋体" w:cs="宋体"/>
                <w:color w:val="000000" w:themeColor="text1"/>
                <w:kern w:val="0"/>
                <w:sz w:val="24"/>
                <w:highlight w:val="none"/>
                <w14:textFill>
                  <w14:solidFill>
                    <w14:schemeClr w14:val="tx1"/>
                  </w14:solidFill>
                </w14:textFill>
              </w:rPr>
              <w:t>，不足贰仟元的按贰仟元收取。</w:t>
            </w:r>
          </w:p>
        </w:tc>
      </w:tr>
      <w:tr w14:paraId="4BC4A8F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9127" w:type="dxa"/>
            <w:gridSpan w:val="2"/>
            <w:vAlign w:val="center"/>
          </w:tcPr>
          <w:p w14:paraId="55F24EC4">
            <w:pPr>
              <w:spacing w:line="420" w:lineRule="exact"/>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其他</w:t>
            </w:r>
          </w:p>
        </w:tc>
      </w:tr>
      <w:tr w14:paraId="3A16A3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44" w:type="dxa"/>
            <w:vAlign w:val="center"/>
          </w:tcPr>
          <w:p w14:paraId="5292FDEC">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18</w:t>
            </w:r>
          </w:p>
        </w:tc>
        <w:tc>
          <w:tcPr>
            <w:tcW w:w="8483" w:type="dxa"/>
            <w:vAlign w:val="center"/>
          </w:tcPr>
          <w:p w14:paraId="6C2419AD">
            <w:pPr>
              <w:spacing w:line="420" w:lineRule="exact"/>
              <w:ind w:firstLine="361" w:firstLineChars="150"/>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付款方式：</w:t>
            </w:r>
          </w:p>
          <w:p w14:paraId="759D997F">
            <w:pPr>
              <w:spacing w:line="420" w:lineRule="exact"/>
              <w:ind w:firstLine="360" w:firstLineChars="150"/>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eastAsia="宋体" w:cs="宋体"/>
                <w:b w:val="0"/>
                <w:bCs w:val="0"/>
                <w:color w:val="000000" w:themeColor="text1"/>
                <w:kern w:val="0"/>
                <w:sz w:val="24"/>
                <w:highlight w:val="none"/>
                <w14:textFill>
                  <w14:solidFill>
                    <w14:schemeClr w14:val="tx1"/>
                  </w14:solidFill>
                </w14:textFill>
              </w:rPr>
              <w:t>每年结算一次，待参保人数确定后付款。</w:t>
            </w:r>
          </w:p>
        </w:tc>
      </w:tr>
      <w:tr w14:paraId="548A1AE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44" w:type="dxa"/>
            <w:vAlign w:val="center"/>
          </w:tcPr>
          <w:p w14:paraId="118D79B2">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w:t>
            </w:r>
          </w:p>
        </w:tc>
        <w:tc>
          <w:tcPr>
            <w:tcW w:w="8483" w:type="dxa"/>
            <w:vAlign w:val="center"/>
          </w:tcPr>
          <w:p w14:paraId="7B8265D8">
            <w:pPr>
              <w:spacing w:line="420" w:lineRule="exact"/>
              <w:ind w:firstLine="361" w:firstLineChars="15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服务地点：</w:t>
            </w:r>
            <w:r>
              <w:rPr>
                <w:rFonts w:hint="eastAsia" w:ascii="宋体" w:hAnsi="宋体" w:eastAsia="宋体" w:cs="宋体"/>
                <w:color w:val="000000" w:themeColor="text1"/>
                <w:kern w:val="0"/>
                <w:sz w:val="24"/>
                <w:highlight w:val="none"/>
                <w14:textFill>
                  <w14:solidFill>
                    <w14:schemeClr w14:val="tx1"/>
                  </w14:solidFill>
                </w14:textFill>
              </w:rPr>
              <w:t>采购人指定地点。</w:t>
            </w:r>
          </w:p>
        </w:tc>
      </w:tr>
      <w:tr w14:paraId="0263CFA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90" w:hRule="atLeast"/>
          <w:jc w:val="center"/>
        </w:trPr>
        <w:tc>
          <w:tcPr>
            <w:tcW w:w="644" w:type="dxa"/>
            <w:vAlign w:val="center"/>
          </w:tcPr>
          <w:p w14:paraId="513737D5">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w:t>
            </w:r>
          </w:p>
        </w:tc>
        <w:tc>
          <w:tcPr>
            <w:tcW w:w="8483" w:type="dxa"/>
            <w:vAlign w:val="center"/>
          </w:tcPr>
          <w:p w14:paraId="4E65C264">
            <w:pPr>
              <w:spacing w:line="420" w:lineRule="exact"/>
              <w:ind w:firstLine="480" w:firstLineChars="200"/>
              <w:jc w:val="left"/>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履约保证金金额：/</w:t>
            </w:r>
          </w:p>
          <w:p w14:paraId="30DF5244">
            <w:pPr>
              <w:spacing w:line="420" w:lineRule="exact"/>
              <w:ind w:firstLine="480" w:firstLineChars="200"/>
              <w:jc w:val="lef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履约保证金形式：/</w:t>
            </w:r>
          </w:p>
        </w:tc>
      </w:tr>
      <w:tr w14:paraId="3C5DB42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816" w:hRule="atLeast"/>
          <w:jc w:val="center"/>
        </w:trPr>
        <w:tc>
          <w:tcPr>
            <w:tcW w:w="644" w:type="dxa"/>
            <w:tcBorders>
              <w:right w:val="single" w:color="auto" w:sz="4" w:space="0"/>
            </w:tcBorders>
            <w:vAlign w:val="center"/>
          </w:tcPr>
          <w:p w14:paraId="4A22D293">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w:t>
            </w:r>
          </w:p>
        </w:tc>
        <w:tc>
          <w:tcPr>
            <w:tcW w:w="8483" w:type="dxa"/>
            <w:tcBorders>
              <w:left w:val="single" w:color="auto" w:sz="4" w:space="0"/>
            </w:tcBorders>
            <w:vAlign w:val="center"/>
          </w:tcPr>
          <w:p w14:paraId="34F52A1F">
            <w:pPr>
              <w:spacing w:line="420" w:lineRule="exact"/>
              <w:ind w:firstLine="482" w:firstLineChars="200"/>
              <w:jc w:val="lef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现场踏勘：本项目不组织统一踏勘现场。</w:t>
            </w:r>
          </w:p>
        </w:tc>
      </w:tr>
      <w:tr w14:paraId="1ECEA15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91" w:hRule="atLeast"/>
          <w:jc w:val="center"/>
        </w:trPr>
        <w:tc>
          <w:tcPr>
            <w:tcW w:w="644" w:type="dxa"/>
            <w:tcBorders>
              <w:right w:val="single" w:color="auto" w:sz="4" w:space="0"/>
            </w:tcBorders>
            <w:vAlign w:val="center"/>
          </w:tcPr>
          <w:p w14:paraId="71D48A7D">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22</w:t>
            </w:r>
          </w:p>
        </w:tc>
        <w:tc>
          <w:tcPr>
            <w:tcW w:w="8483" w:type="dxa"/>
            <w:tcBorders>
              <w:left w:val="single" w:color="auto" w:sz="4" w:space="0"/>
            </w:tcBorders>
            <w:vAlign w:val="center"/>
          </w:tcPr>
          <w:p w14:paraId="01D1CD35">
            <w:pPr>
              <w:spacing w:line="420" w:lineRule="exact"/>
              <w:ind w:firstLine="360" w:firstLineChars="15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对于电子投标文件中含义不明确、同类问题表述不一致或者有明显文字和计算错误的内容，评标委员会可以书面形式要求供应商作出必要的澄清、说明或者补正。</w:t>
            </w:r>
          </w:p>
          <w:p w14:paraId="68BA1E07">
            <w:pPr>
              <w:spacing w:line="420" w:lineRule="exact"/>
              <w:ind w:firstLine="360" w:firstLineChars="15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供应商的澄清、说明或者补正应当采用书面形式，通过评审管理系统上传加盖电子公章的扫描件。供应商的澄清、说明或者补正不得超出电子投标文件的范围或者改变电子投标文件的实质性内容。</w:t>
            </w:r>
          </w:p>
          <w:p w14:paraId="471EE017">
            <w:pPr>
              <w:spacing w:line="420" w:lineRule="exact"/>
              <w:ind w:firstLine="360" w:firstLineChars="15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除评标委员会要求供应商做出的澄清、说明或者补正以外，评标委员会不接受供应商的任何询问、说明、更改及文件。</w:t>
            </w:r>
          </w:p>
          <w:p w14:paraId="0687B244">
            <w:pPr>
              <w:spacing w:line="420" w:lineRule="exact"/>
              <w:ind w:firstLine="360" w:firstLineChars="15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供应商的澄清必须在规定的时间内提交。</w:t>
            </w:r>
          </w:p>
        </w:tc>
      </w:tr>
      <w:tr w14:paraId="7384267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91" w:hRule="atLeast"/>
          <w:jc w:val="center"/>
        </w:trPr>
        <w:tc>
          <w:tcPr>
            <w:tcW w:w="644" w:type="dxa"/>
            <w:tcBorders>
              <w:right w:val="single" w:color="auto" w:sz="4" w:space="0"/>
            </w:tcBorders>
            <w:vAlign w:val="center"/>
          </w:tcPr>
          <w:p w14:paraId="78112B46">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23</w:t>
            </w:r>
          </w:p>
        </w:tc>
        <w:tc>
          <w:tcPr>
            <w:tcW w:w="8483" w:type="dxa"/>
            <w:tcBorders>
              <w:left w:val="single" w:color="auto" w:sz="4" w:space="0"/>
            </w:tcBorders>
            <w:vAlign w:val="center"/>
          </w:tcPr>
          <w:p w14:paraId="45B60900">
            <w:pPr>
              <w:spacing w:line="420" w:lineRule="exact"/>
              <w:ind w:firstLine="482" w:firstLineChars="20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本项目预算金额为66.8万元人民币，</w:t>
            </w:r>
            <w:r>
              <w:rPr>
                <w:rFonts w:hint="eastAsia" w:ascii="宋体" w:hAnsi="宋体" w:eastAsia="宋体" w:cs="宋体"/>
                <w:b/>
                <w:color w:val="000000" w:themeColor="text1"/>
                <w:sz w:val="24"/>
                <w:highlight w:val="none"/>
                <w:lang w:eastAsia="zh-CN"/>
                <w14:textFill>
                  <w14:solidFill>
                    <w14:schemeClr w14:val="tx1"/>
                  </w14:solidFill>
                </w14:textFill>
              </w:rPr>
              <w:t>单价最高限价：10元/人/学年，投保学生人数预估：6.68万人（具体以实际人数为准）。</w:t>
            </w:r>
            <w:r>
              <w:rPr>
                <w:rFonts w:hint="eastAsia" w:ascii="宋体" w:hAnsi="宋体" w:eastAsia="宋体" w:cs="宋体"/>
                <w:b/>
                <w:color w:val="000000" w:themeColor="text1"/>
                <w:sz w:val="24"/>
                <w:highlight w:val="none"/>
                <w14:textFill>
                  <w14:solidFill>
                    <w14:schemeClr w14:val="tx1"/>
                  </w14:solidFill>
                </w14:textFill>
              </w:rPr>
              <w:t>投标报价超出采购人公布的</w:t>
            </w:r>
            <w:r>
              <w:rPr>
                <w:rFonts w:hint="eastAsia" w:ascii="宋体" w:hAnsi="宋体" w:eastAsia="宋体" w:cs="宋体"/>
                <w:b/>
                <w:color w:val="000000" w:themeColor="text1"/>
                <w:sz w:val="24"/>
                <w:highlight w:val="none"/>
                <w:lang w:eastAsia="zh-CN"/>
                <w14:textFill>
                  <w14:solidFill>
                    <w14:schemeClr w14:val="tx1"/>
                  </w14:solidFill>
                </w14:textFill>
              </w:rPr>
              <w:t>单价最高限价</w:t>
            </w:r>
            <w:r>
              <w:rPr>
                <w:rFonts w:hint="eastAsia" w:ascii="宋体" w:hAnsi="宋体" w:eastAsia="宋体" w:cs="宋体"/>
                <w:b/>
                <w:color w:val="000000" w:themeColor="text1"/>
                <w:sz w:val="24"/>
                <w:highlight w:val="none"/>
                <w14:textFill>
                  <w14:solidFill>
                    <w14:schemeClr w14:val="tx1"/>
                  </w14:solidFill>
                </w14:textFill>
              </w:rPr>
              <w:t>的，电子投标文件按无效投标处理。关于投标报价详细要求见投标须知正文10.1条。</w:t>
            </w:r>
          </w:p>
        </w:tc>
      </w:tr>
      <w:tr w14:paraId="1F76C27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1018" w:hRule="exact"/>
          <w:jc w:val="center"/>
        </w:trPr>
        <w:tc>
          <w:tcPr>
            <w:tcW w:w="644" w:type="dxa"/>
            <w:tcBorders>
              <w:right w:val="single" w:color="auto" w:sz="4" w:space="0"/>
            </w:tcBorders>
            <w:vAlign w:val="center"/>
          </w:tcPr>
          <w:p w14:paraId="2FC52296">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24</w:t>
            </w:r>
          </w:p>
        </w:tc>
        <w:tc>
          <w:tcPr>
            <w:tcW w:w="8483" w:type="dxa"/>
            <w:tcBorders>
              <w:left w:val="single" w:color="auto" w:sz="4" w:space="0"/>
            </w:tcBorders>
            <w:vAlign w:val="center"/>
          </w:tcPr>
          <w:p w14:paraId="38CCAF88">
            <w:pPr>
              <w:spacing w:line="420" w:lineRule="exact"/>
              <w:ind w:firstLine="482" w:firstLineChars="20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本参考公开招标文件中标注有“★”号条款的，是关键的实质性条款，未响应该实质性条款的，按无效投标处理。</w:t>
            </w:r>
          </w:p>
        </w:tc>
      </w:tr>
      <w:tr w14:paraId="59B5B3C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043" w:hRule="exact"/>
          <w:jc w:val="center"/>
        </w:trPr>
        <w:tc>
          <w:tcPr>
            <w:tcW w:w="644" w:type="dxa"/>
            <w:tcBorders>
              <w:right w:val="single" w:color="auto" w:sz="4" w:space="0"/>
            </w:tcBorders>
            <w:vAlign w:val="center"/>
          </w:tcPr>
          <w:p w14:paraId="2A0FCCDD">
            <w:pPr>
              <w:spacing w:line="420" w:lineRule="exact"/>
              <w:jc w:val="center"/>
              <w:rPr>
                <w:rFonts w:ascii="宋体" w:hAnsi="宋体" w:eastAsia="宋体" w:cs="宋体"/>
                <w:color w:val="000000" w:themeColor="text1"/>
                <w:sz w:val="24"/>
                <w:highlight w:val="none"/>
                <w14:textFill>
                  <w14:solidFill>
                    <w14:schemeClr w14:val="tx1"/>
                  </w14:solidFill>
                </w14:textFill>
              </w:rPr>
            </w:pPr>
            <w:bookmarkStart w:id="35" w:name="_Toc346372875"/>
            <w:r>
              <w:rPr>
                <w:rFonts w:hint="eastAsia" w:ascii="宋体" w:hAnsi="宋体" w:eastAsia="宋体" w:cs="宋体"/>
                <w:color w:val="000000" w:themeColor="text1"/>
                <w:sz w:val="24"/>
                <w:highlight w:val="none"/>
                <w14:textFill>
                  <w14:solidFill>
                    <w14:schemeClr w14:val="tx1"/>
                  </w14:solidFill>
                </w14:textFill>
              </w:rPr>
              <w:t>25</w:t>
            </w:r>
          </w:p>
        </w:tc>
        <w:tc>
          <w:tcPr>
            <w:tcW w:w="8483" w:type="dxa"/>
            <w:tcBorders>
              <w:left w:val="single" w:color="auto" w:sz="4" w:space="0"/>
            </w:tcBorders>
            <w:vAlign w:val="center"/>
          </w:tcPr>
          <w:p w14:paraId="3B330E81">
            <w:pPr>
              <w:spacing w:line="440" w:lineRule="exact"/>
              <w:ind w:firstLine="482" w:firstLineChars="20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其他需补充的内容：</w:t>
            </w:r>
          </w:p>
          <w:p w14:paraId="30C04AFF">
            <w:pPr>
              <w:spacing w:line="440" w:lineRule="exact"/>
              <w:ind w:firstLine="360" w:firstLineChars="1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开标会议应当在本项目采购文件确定的提交电子投标文件截止时间的同一时间通过系统平台公开进行。支持网上远程开标，所有供应商须在提交电子投标文件截止时间前1小时内通过CA数字证书上传加密的电子投标文件，</w:t>
            </w:r>
            <w:r>
              <w:rPr>
                <w:rFonts w:hint="eastAsia" w:ascii="宋体" w:hAnsi="宋体" w:eastAsia="宋体" w:cs="宋体"/>
                <w:b/>
                <w:color w:val="000000" w:themeColor="text1"/>
                <w:sz w:val="24"/>
                <w:highlight w:val="none"/>
                <w14:textFill>
                  <w14:solidFill>
                    <w14:schemeClr w14:val="tx1"/>
                  </w14:solidFill>
                </w14:textFill>
              </w:rPr>
              <w:t>在线签到</w:t>
            </w:r>
            <w:r>
              <w:rPr>
                <w:rFonts w:hint="eastAsia" w:ascii="宋体" w:hAnsi="宋体" w:eastAsia="宋体" w:cs="宋体"/>
                <w:color w:val="000000" w:themeColor="text1"/>
                <w:sz w:val="24"/>
                <w:highlight w:val="none"/>
                <w14:textFill>
                  <w14:solidFill>
                    <w14:schemeClr w14:val="tx1"/>
                  </w14:solidFill>
                </w14:textFill>
              </w:rPr>
              <w:t>，并在开启时间后半小时内</w:t>
            </w:r>
            <w:r>
              <w:rPr>
                <w:rFonts w:hint="eastAsia" w:ascii="宋体" w:hAnsi="宋体" w:eastAsia="宋体" w:cs="宋体"/>
                <w:b/>
                <w:color w:val="000000" w:themeColor="text1"/>
                <w:sz w:val="24"/>
                <w:highlight w:val="none"/>
                <w14:textFill>
                  <w14:solidFill>
                    <w14:schemeClr w14:val="tx1"/>
                  </w14:solidFill>
                </w14:textFill>
              </w:rPr>
              <w:t>解密电子投标文件</w:t>
            </w:r>
            <w:r>
              <w:rPr>
                <w:rFonts w:hint="eastAsia" w:ascii="宋体" w:hAnsi="宋体" w:eastAsia="宋体" w:cs="宋体"/>
                <w:color w:val="000000" w:themeColor="text1"/>
                <w:sz w:val="24"/>
                <w:highlight w:val="none"/>
                <w14:textFill>
                  <w14:solidFill>
                    <w14:schemeClr w14:val="tx1"/>
                  </w14:solidFill>
                </w14:textFill>
              </w:rPr>
              <w:t>；</w:t>
            </w:r>
          </w:p>
          <w:p w14:paraId="5C09F433">
            <w:pPr>
              <w:spacing w:line="440" w:lineRule="exact"/>
              <w:ind w:firstLine="360" w:firstLineChars="1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（2）在评标结束前，供应商请保持在线登录状态。评标过程中，如果评标委员会要求供应商进行澄清，需要通过系统平台限时在线发送澄清；</w:t>
            </w:r>
          </w:p>
          <w:p w14:paraId="04EA2106">
            <w:pPr>
              <w:spacing w:line="440" w:lineRule="exact"/>
              <w:ind w:firstLine="360" w:firstLineChars="1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（3）评标期间，请各供应商保持通讯畅通，因通讯不畅造成的一切后果由供应商自行承担。</w:t>
            </w:r>
          </w:p>
          <w:p w14:paraId="25018426">
            <w:pPr>
              <w:spacing w:line="440" w:lineRule="exact"/>
              <w:ind w:firstLine="360" w:firstLineChars="1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*重要提示：供应商应在提交电子投标文件截止时间前尽早上传电子投标文件；系统拒绝接受开启时间后上传的电子投标文件。</w:t>
            </w:r>
          </w:p>
          <w:p w14:paraId="46377CA6">
            <w:pPr>
              <w:spacing w:line="440" w:lineRule="exact"/>
              <w:ind w:firstLine="361" w:firstLineChars="150"/>
              <w:rPr>
                <w:rFonts w:ascii="宋体" w:hAnsi="宋体" w:eastAsia="宋体" w:cs="宋体"/>
                <w:b/>
                <w:color w:val="000000" w:themeColor="text1"/>
                <w:sz w:val="24"/>
                <w:highlight w:val="none"/>
                <w14:textFill>
                  <w14:solidFill>
                    <w14:schemeClr w14:val="tx1"/>
                  </w14:solidFill>
                </w14:textFill>
              </w:rPr>
            </w:pPr>
          </w:p>
        </w:tc>
      </w:tr>
      <w:tr w14:paraId="61B95F9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8104" w:hRule="exact"/>
          <w:jc w:val="center"/>
        </w:trPr>
        <w:tc>
          <w:tcPr>
            <w:tcW w:w="644" w:type="dxa"/>
            <w:tcBorders>
              <w:right w:val="single" w:color="auto" w:sz="4" w:space="0"/>
            </w:tcBorders>
            <w:vAlign w:val="center"/>
          </w:tcPr>
          <w:p w14:paraId="2ABF0ACD">
            <w:pPr>
              <w:spacing w:line="420" w:lineRule="exact"/>
              <w:jc w:val="center"/>
              <w:rPr>
                <w:rFonts w:ascii="宋体" w:hAnsi="宋体" w:eastAsia="宋体" w:cs="宋体"/>
                <w:color w:val="000000" w:themeColor="text1"/>
                <w:sz w:val="24"/>
                <w:highlight w:val="none"/>
                <w14:textFill>
                  <w14:solidFill>
                    <w14:schemeClr w14:val="tx1"/>
                  </w14:solidFill>
                </w14:textFill>
              </w:rPr>
            </w:pPr>
          </w:p>
        </w:tc>
        <w:tc>
          <w:tcPr>
            <w:tcW w:w="8483" w:type="dxa"/>
            <w:tcBorders>
              <w:left w:val="single" w:color="auto" w:sz="4" w:space="0"/>
            </w:tcBorders>
            <w:vAlign w:val="top"/>
          </w:tcPr>
          <w:p w14:paraId="7E0E19B5">
            <w:pPr>
              <w:spacing w:line="440" w:lineRule="exact"/>
              <w:ind w:firstLine="360" w:firstLineChars="150"/>
              <w:jc w:val="both"/>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（4）山东大学电子招投标系统硬件配置要求：</w:t>
            </w:r>
          </w:p>
          <w:tbl>
            <w:tblPr>
              <w:tblStyle w:val="74"/>
              <w:tblpPr w:leftFromText="180" w:rightFromText="180" w:vertAnchor="page" w:horzAnchor="page" w:tblpXSpec="center" w:tblpY="14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1"/>
              <w:gridCol w:w="2638"/>
              <w:gridCol w:w="3627"/>
            </w:tblGrid>
            <w:tr w14:paraId="77890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451" w:type="dxa"/>
                  <w:tcBorders>
                    <w:top w:val="single" w:color="auto" w:sz="4" w:space="0"/>
                    <w:left w:val="single" w:color="auto" w:sz="4" w:space="0"/>
                    <w:bottom w:val="single" w:color="auto" w:sz="4" w:space="0"/>
                    <w:right w:val="single" w:color="auto" w:sz="4" w:space="0"/>
                  </w:tcBorders>
                  <w:shd w:val="clear" w:color="auto" w:fill="DEEAF6"/>
                  <w:noWrap w:val="0"/>
                  <w:vAlign w:val="center"/>
                </w:tcPr>
                <w:p w14:paraId="6591A332">
                  <w:pPr>
                    <w:autoSpaceDE w:val="0"/>
                    <w:autoSpaceDN w:val="0"/>
                    <w:jc w:val="center"/>
                    <w:rPr>
                      <w:rFonts w:hint="eastAsia" w:ascii="宋体" w:hAnsi="宋体" w:eastAsia="宋体" w:cs="宋体"/>
                      <w:color w:val="000000" w:themeColor="text1"/>
                      <w:szCs w:val="22"/>
                      <w:lang w:val="ru"/>
                      <w14:textFill>
                        <w14:solidFill>
                          <w14:schemeClr w14:val="tx1"/>
                        </w14:solidFill>
                      </w14:textFill>
                    </w:rPr>
                  </w:pPr>
                  <w:r>
                    <w:rPr>
                      <w:rFonts w:hint="eastAsia" w:ascii="宋体" w:hAnsi="宋体" w:eastAsia="宋体" w:cs="宋体"/>
                      <w:color w:val="000000" w:themeColor="text1"/>
                      <w:szCs w:val="22"/>
                      <w:lang w:bidi="ar"/>
                      <w14:textFill>
                        <w14:solidFill>
                          <w14:schemeClr w14:val="tx1"/>
                        </w14:solidFill>
                      </w14:textFill>
                    </w:rPr>
                    <w:t>内容</w:t>
                  </w:r>
                </w:p>
              </w:tc>
              <w:tc>
                <w:tcPr>
                  <w:tcW w:w="2638" w:type="dxa"/>
                  <w:tcBorders>
                    <w:top w:val="single" w:color="auto" w:sz="4" w:space="0"/>
                    <w:left w:val="single" w:color="auto" w:sz="4" w:space="0"/>
                    <w:bottom w:val="single" w:color="auto" w:sz="4" w:space="0"/>
                    <w:right w:val="single" w:color="auto" w:sz="4" w:space="0"/>
                  </w:tcBorders>
                  <w:shd w:val="clear" w:color="auto" w:fill="DEEAF6"/>
                  <w:noWrap w:val="0"/>
                  <w:vAlign w:val="center"/>
                </w:tcPr>
                <w:p w14:paraId="5A4A8483">
                  <w:pPr>
                    <w:autoSpaceDE w:val="0"/>
                    <w:autoSpaceDN w:val="0"/>
                    <w:spacing w:line="209" w:lineRule="exact"/>
                    <w:jc w:val="center"/>
                    <w:rPr>
                      <w:rFonts w:hint="eastAsia" w:ascii="宋体" w:hAnsi="宋体" w:eastAsia="宋体" w:cs="宋体"/>
                      <w:color w:val="000000" w:themeColor="text1"/>
                      <w:szCs w:val="22"/>
                      <w:lang w:val="ru"/>
                      <w14:textFill>
                        <w14:solidFill>
                          <w14:schemeClr w14:val="tx1"/>
                        </w14:solidFill>
                      </w14:textFill>
                    </w:rPr>
                  </w:pPr>
                  <w:r>
                    <w:rPr>
                      <w:rFonts w:hint="eastAsia" w:ascii="宋体" w:hAnsi="宋体" w:eastAsia="宋体" w:cs="宋体"/>
                      <w:color w:val="000000" w:themeColor="text1"/>
                      <w:szCs w:val="22"/>
                      <w:lang w:bidi="ar"/>
                      <w14:textFill>
                        <w14:solidFill>
                          <w14:schemeClr w14:val="tx1"/>
                        </w14:solidFill>
                      </w14:textFill>
                    </w:rPr>
                    <w:t>要求</w:t>
                  </w:r>
                </w:p>
              </w:tc>
              <w:tc>
                <w:tcPr>
                  <w:tcW w:w="3627" w:type="dxa"/>
                  <w:tcBorders>
                    <w:top w:val="single" w:color="auto" w:sz="4" w:space="0"/>
                    <w:left w:val="single" w:color="auto" w:sz="4" w:space="0"/>
                    <w:bottom w:val="single" w:color="auto" w:sz="4" w:space="0"/>
                    <w:right w:val="single" w:color="auto" w:sz="4" w:space="0"/>
                  </w:tcBorders>
                  <w:shd w:val="clear" w:color="auto" w:fill="DEEAF6"/>
                  <w:noWrap w:val="0"/>
                  <w:vAlign w:val="center"/>
                </w:tcPr>
                <w:p w14:paraId="79C838D7">
                  <w:pPr>
                    <w:autoSpaceDE w:val="0"/>
                    <w:autoSpaceDN w:val="0"/>
                    <w:spacing w:line="209" w:lineRule="exact"/>
                    <w:jc w:val="center"/>
                    <w:rPr>
                      <w:rFonts w:hint="eastAsia" w:ascii="宋体" w:hAnsi="宋体" w:eastAsia="宋体" w:cs="宋体"/>
                      <w:color w:val="000000" w:themeColor="text1"/>
                      <w:szCs w:val="22"/>
                      <w:lang w:val="ru"/>
                      <w14:textFill>
                        <w14:solidFill>
                          <w14:schemeClr w14:val="tx1"/>
                        </w14:solidFill>
                      </w14:textFill>
                    </w:rPr>
                  </w:pPr>
                  <w:r>
                    <w:rPr>
                      <w:rFonts w:hint="eastAsia" w:ascii="宋体" w:hAnsi="宋体" w:eastAsia="宋体" w:cs="宋体"/>
                      <w:color w:val="000000" w:themeColor="text1"/>
                      <w:szCs w:val="22"/>
                      <w:lang w:bidi="ar"/>
                      <w14:textFill>
                        <w14:solidFill>
                          <w14:schemeClr w14:val="tx1"/>
                        </w14:solidFill>
                      </w14:textFill>
                    </w:rPr>
                    <w:t>说明</w:t>
                  </w:r>
                </w:p>
              </w:tc>
            </w:tr>
            <w:tr w14:paraId="7A307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14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48BF8C">
                  <w:pPr>
                    <w:autoSpaceDE w:val="0"/>
                    <w:autoSpaceDN w:val="0"/>
                    <w:spacing w:line="209" w:lineRule="exact"/>
                    <w:jc w:val="center"/>
                    <w:rPr>
                      <w:rFonts w:hint="eastAsia" w:ascii="宋体" w:hAnsi="宋体" w:eastAsia="宋体" w:cs="宋体"/>
                      <w:color w:val="000000" w:themeColor="text1"/>
                      <w:szCs w:val="22"/>
                      <w:lang w:bidi="ar"/>
                      <w14:textFill>
                        <w14:solidFill>
                          <w14:schemeClr w14:val="tx1"/>
                        </w14:solidFill>
                      </w14:textFill>
                    </w:rPr>
                  </w:pPr>
                  <w:r>
                    <w:rPr>
                      <w:rFonts w:hint="eastAsia" w:ascii="宋体" w:hAnsi="宋体" w:eastAsia="宋体" w:cs="宋体"/>
                      <w:color w:val="000000" w:themeColor="text1"/>
                      <w:szCs w:val="22"/>
                      <w:lang w:bidi="ar"/>
                      <w14:textFill>
                        <w14:solidFill>
                          <w14:schemeClr w14:val="tx1"/>
                        </w14:solidFill>
                      </w14:textFill>
                    </w:rPr>
                    <w:t>推荐使用</w:t>
                  </w:r>
                </w:p>
                <w:p w14:paraId="02A6B848">
                  <w:pPr>
                    <w:autoSpaceDE w:val="0"/>
                    <w:autoSpaceDN w:val="0"/>
                    <w:spacing w:line="209" w:lineRule="exact"/>
                    <w:jc w:val="center"/>
                    <w:rPr>
                      <w:rFonts w:hint="eastAsia" w:ascii="宋体" w:hAnsi="宋体" w:eastAsia="宋体" w:cs="宋体"/>
                      <w:color w:val="000000" w:themeColor="text1"/>
                      <w:szCs w:val="22"/>
                      <w:lang w:val="ru"/>
                      <w14:textFill>
                        <w14:solidFill>
                          <w14:schemeClr w14:val="tx1"/>
                        </w14:solidFill>
                      </w14:textFill>
                    </w:rPr>
                  </w:pPr>
                  <w:r>
                    <w:rPr>
                      <w:rFonts w:hint="eastAsia" w:ascii="宋体" w:hAnsi="宋体" w:eastAsia="宋体" w:cs="宋体"/>
                      <w:color w:val="000000" w:themeColor="text1"/>
                      <w:szCs w:val="22"/>
                      <w:lang w:bidi="ar"/>
                      <w14:textFill>
                        <w14:solidFill>
                          <w14:schemeClr w14:val="tx1"/>
                        </w14:solidFill>
                      </w14:textFill>
                    </w:rPr>
                    <w:t>浏览器</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13DEB4">
                  <w:pPr>
                    <w:autoSpaceDE w:val="0"/>
                    <w:autoSpaceDN w:val="0"/>
                    <w:spacing w:line="209" w:lineRule="exact"/>
                    <w:jc w:val="left"/>
                    <w:rPr>
                      <w:rFonts w:hint="eastAsia" w:ascii="宋体" w:hAnsi="宋体" w:eastAsia="宋体" w:cs="宋体"/>
                      <w:color w:val="000000" w:themeColor="text1"/>
                      <w:szCs w:val="22"/>
                      <w:lang w:val="ru"/>
                      <w14:textFill>
                        <w14:solidFill>
                          <w14:schemeClr w14:val="tx1"/>
                        </w14:solidFill>
                      </w14:textFill>
                    </w:rPr>
                  </w:pPr>
                  <w:r>
                    <w:rPr>
                      <w:rFonts w:hint="eastAsia" w:ascii="宋体" w:hAnsi="宋体" w:eastAsia="宋体" w:cs="宋体"/>
                      <w:color w:val="000000" w:themeColor="text1"/>
                      <w:szCs w:val="22"/>
                      <w:lang w:val="ru" w:bidi="ar"/>
                      <w14:textFill>
                        <w14:solidFill>
                          <w14:schemeClr w14:val="tx1"/>
                        </w14:solidFill>
                      </w14:textFill>
                    </w:rPr>
                    <w:t>IE10</w:t>
                  </w:r>
                  <w:r>
                    <w:rPr>
                      <w:rFonts w:hint="eastAsia" w:ascii="宋体" w:hAnsi="宋体" w:eastAsia="宋体" w:cs="宋体"/>
                      <w:color w:val="000000" w:themeColor="text1"/>
                      <w:szCs w:val="22"/>
                      <w:lang w:bidi="ar"/>
                      <w14:textFill>
                        <w14:solidFill>
                          <w14:schemeClr w14:val="tx1"/>
                        </w14:solidFill>
                      </w14:textFill>
                    </w:rPr>
                    <w:t>和以上的版本浏览器；</w:t>
                  </w:r>
                  <w:r>
                    <w:rPr>
                      <w:rFonts w:hint="eastAsia" w:ascii="宋体" w:hAnsi="宋体" w:eastAsia="宋体" w:cs="宋体"/>
                      <w:color w:val="000000" w:themeColor="text1"/>
                      <w:szCs w:val="22"/>
                      <w:lang w:val="ru" w:bidi="ar"/>
                      <w14:textFill>
                        <w14:solidFill>
                          <w14:schemeClr w14:val="tx1"/>
                        </w14:solidFill>
                      </w14:textFill>
                    </w:rPr>
                    <w:t>360</w:t>
                  </w:r>
                  <w:r>
                    <w:rPr>
                      <w:rFonts w:hint="eastAsia" w:ascii="宋体" w:hAnsi="宋体" w:eastAsia="宋体" w:cs="宋体"/>
                      <w:color w:val="000000" w:themeColor="text1"/>
                      <w:szCs w:val="22"/>
                      <w:lang w:bidi="ar"/>
                      <w14:textFill>
                        <w14:solidFill>
                          <w14:schemeClr w14:val="tx1"/>
                        </w14:solidFill>
                      </w14:textFill>
                    </w:rPr>
                    <w:t>浏览器兼容模式；搜狗浏览器兼容模式。</w:t>
                  </w:r>
                </w:p>
              </w:tc>
              <w:tc>
                <w:tcPr>
                  <w:tcW w:w="362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E0D811">
                  <w:pPr>
                    <w:autoSpaceDE w:val="0"/>
                    <w:autoSpaceDN w:val="0"/>
                    <w:spacing w:line="209" w:lineRule="exact"/>
                    <w:jc w:val="left"/>
                    <w:rPr>
                      <w:rFonts w:hint="eastAsia" w:ascii="宋体" w:hAnsi="宋体" w:eastAsia="宋体" w:cs="宋体"/>
                      <w:color w:val="000000" w:themeColor="text1"/>
                      <w:szCs w:val="22"/>
                      <w:lang w:val="ru"/>
                      <w14:textFill>
                        <w14:solidFill>
                          <w14:schemeClr w14:val="tx1"/>
                        </w14:solidFill>
                      </w14:textFill>
                    </w:rPr>
                  </w:pPr>
                  <w:r>
                    <w:rPr>
                      <w:rFonts w:hint="eastAsia" w:ascii="宋体" w:hAnsi="宋体" w:eastAsia="宋体" w:cs="宋体"/>
                      <w:color w:val="000000" w:themeColor="text1"/>
                      <w:szCs w:val="22"/>
                      <w:lang w:bidi="ar"/>
                      <w14:textFill>
                        <w14:solidFill>
                          <w14:schemeClr w14:val="tx1"/>
                        </w14:solidFill>
                      </w14:textFill>
                    </w:rPr>
                    <w:t>要求</w:t>
                  </w:r>
                  <w:r>
                    <w:rPr>
                      <w:rFonts w:hint="eastAsia" w:ascii="宋体" w:hAnsi="宋体" w:eastAsia="宋体" w:cs="宋体"/>
                      <w:color w:val="000000" w:themeColor="text1"/>
                      <w:szCs w:val="22"/>
                      <w:lang w:val="ru" w:bidi="ar"/>
                      <w14:textFill>
                        <w14:solidFill>
                          <w14:schemeClr w14:val="tx1"/>
                        </w14:solidFill>
                      </w14:textFill>
                    </w:rPr>
                    <w:t>IE10</w:t>
                  </w:r>
                  <w:r>
                    <w:rPr>
                      <w:rFonts w:hint="eastAsia" w:ascii="宋体" w:hAnsi="宋体" w:eastAsia="宋体" w:cs="宋体"/>
                      <w:color w:val="000000" w:themeColor="text1"/>
                      <w:szCs w:val="22"/>
                      <w:lang w:bidi="ar"/>
                      <w14:textFill>
                        <w14:solidFill>
                          <w14:schemeClr w14:val="tx1"/>
                        </w14:solidFill>
                      </w14:textFill>
                    </w:rPr>
                    <w:t>以上内核版本。</w:t>
                  </w:r>
                  <w:r>
                    <w:rPr>
                      <w:rFonts w:hint="eastAsia" w:ascii="宋体" w:hAnsi="宋体" w:eastAsia="宋体" w:cs="宋体"/>
                      <w:color w:val="000000" w:themeColor="text1"/>
                      <w:szCs w:val="22"/>
                      <w:lang w:val="ru" w:bidi="ar"/>
                      <w14:textFill>
                        <w14:solidFill>
                          <w14:schemeClr w14:val="tx1"/>
                        </w14:solidFill>
                      </w14:textFill>
                    </w:rPr>
                    <w:t>IE11</w:t>
                  </w:r>
                  <w:r>
                    <w:rPr>
                      <w:rFonts w:hint="eastAsia" w:ascii="宋体" w:hAnsi="宋体" w:eastAsia="宋体" w:cs="宋体"/>
                      <w:color w:val="000000" w:themeColor="text1"/>
                      <w:szCs w:val="22"/>
                      <w:lang w:bidi="ar"/>
                      <w14:textFill>
                        <w14:solidFill>
                          <w14:schemeClr w14:val="tx1"/>
                        </w14:solidFill>
                      </w14:textFill>
                    </w:rPr>
                    <w:t>浏览器下载地址：</w:t>
                  </w:r>
                </w:p>
                <w:p w14:paraId="01771912">
                  <w:pPr>
                    <w:autoSpaceDE w:val="0"/>
                    <w:autoSpaceDN w:val="0"/>
                    <w:spacing w:line="209" w:lineRule="exact"/>
                    <w:jc w:val="left"/>
                    <w:rPr>
                      <w:rFonts w:hint="eastAsia" w:ascii="宋体" w:hAnsi="宋体" w:eastAsia="宋体" w:cs="宋体"/>
                      <w:color w:val="000000" w:themeColor="text1"/>
                      <w:szCs w:val="22"/>
                      <w:lang w:val="ru"/>
                      <w14:textFill>
                        <w14:solidFill>
                          <w14:schemeClr w14:val="tx1"/>
                        </w14:solidFill>
                      </w14:textFill>
                    </w:rPr>
                  </w:pPr>
                  <w:r>
                    <w:rPr>
                      <w:rFonts w:hint="eastAsia" w:ascii="宋体" w:hAnsi="宋体" w:eastAsia="宋体" w:cs="宋体"/>
                      <w:color w:val="000000" w:themeColor="text1"/>
                      <w:szCs w:val="22"/>
                      <w:lang w:val="ru" w:bidi="ar"/>
                      <w14:textFill>
                        <w14:solidFill>
                          <w14:schemeClr w14:val="tx1"/>
                        </w14:solidFill>
                      </w14:textFill>
                    </w:rPr>
                    <w:t>http://www.cgw.sdu.edu.cn/zb/plugs/ie/ie11_setup.exe</w:t>
                  </w:r>
                </w:p>
              </w:tc>
            </w:tr>
            <w:tr w14:paraId="1F48A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jc w:val="center"/>
              </w:trPr>
              <w:tc>
                <w:tcPr>
                  <w:tcW w:w="14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79925CF">
                  <w:pPr>
                    <w:autoSpaceDE w:val="0"/>
                    <w:autoSpaceDN w:val="0"/>
                    <w:spacing w:line="209" w:lineRule="exact"/>
                    <w:jc w:val="center"/>
                    <w:rPr>
                      <w:rFonts w:hint="eastAsia" w:ascii="宋体" w:hAnsi="宋体" w:eastAsia="宋体" w:cs="宋体"/>
                      <w:color w:val="000000" w:themeColor="text1"/>
                      <w:szCs w:val="22"/>
                      <w:lang w:val="ru"/>
                      <w14:textFill>
                        <w14:solidFill>
                          <w14:schemeClr w14:val="tx1"/>
                        </w14:solidFill>
                      </w14:textFill>
                    </w:rPr>
                  </w:pPr>
                  <w:r>
                    <w:rPr>
                      <w:rFonts w:hint="eastAsia" w:ascii="宋体" w:hAnsi="宋体" w:eastAsia="宋体" w:cs="宋体"/>
                      <w:color w:val="000000" w:themeColor="text1"/>
                      <w:szCs w:val="22"/>
                      <w:lang w:val="ru" w:bidi="ar"/>
                      <w14:textFill>
                        <w14:solidFill>
                          <w14:schemeClr w14:val="tx1"/>
                        </w14:solidFill>
                      </w14:textFill>
                    </w:rPr>
                    <w:t>CA</w:t>
                  </w:r>
                  <w:r>
                    <w:rPr>
                      <w:rFonts w:hint="eastAsia" w:ascii="宋体" w:hAnsi="宋体" w:eastAsia="宋体" w:cs="宋体"/>
                      <w:color w:val="000000" w:themeColor="text1"/>
                      <w:szCs w:val="22"/>
                      <w:lang w:bidi="ar"/>
                      <w14:textFill>
                        <w14:solidFill>
                          <w14:schemeClr w14:val="tx1"/>
                        </w14:solidFill>
                      </w14:textFill>
                    </w:rPr>
                    <w:t>数字证书</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43F461">
                  <w:pPr>
                    <w:autoSpaceDE w:val="0"/>
                    <w:autoSpaceDN w:val="0"/>
                    <w:spacing w:line="209" w:lineRule="exact"/>
                    <w:jc w:val="left"/>
                    <w:rPr>
                      <w:rFonts w:hint="eastAsia" w:ascii="宋体" w:hAnsi="宋体" w:eastAsia="宋体" w:cs="宋体"/>
                      <w:color w:val="000000" w:themeColor="text1"/>
                      <w:szCs w:val="22"/>
                      <w:lang w:val="ru"/>
                      <w14:textFill>
                        <w14:solidFill>
                          <w14:schemeClr w14:val="tx1"/>
                        </w14:solidFill>
                      </w14:textFill>
                    </w:rPr>
                  </w:pPr>
                  <w:r>
                    <w:rPr>
                      <w:rFonts w:hint="eastAsia" w:ascii="宋体" w:hAnsi="宋体" w:eastAsia="宋体" w:cs="宋体"/>
                      <w:color w:val="000000" w:themeColor="text1"/>
                      <w:szCs w:val="22"/>
                      <w:lang w:bidi="ar"/>
                      <w14:textFill>
                        <w14:solidFill>
                          <w14:schemeClr w14:val="tx1"/>
                        </w14:solidFill>
                      </w14:textFill>
                    </w:rPr>
                    <w:t>参加电子招投标需办理</w:t>
                  </w:r>
                  <w:r>
                    <w:rPr>
                      <w:rFonts w:hint="eastAsia" w:ascii="宋体" w:hAnsi="宋体" w:eastAsia="宋体" w:cs="宋体"/>
                      <w:color w:val="000000" w:themeColor="text1"/>
                      <w:szCs w:val="22"/>
                      <w:lang w:val="ru" w:bidi="ar"/>
                      <w14:textFill>
                        <w14:solidFill>
                          <w14:schemeClr w14:val="tx1"/>
                        </w14:solidFill>
                      </w14:textFill>
                    </w:rPr>
                    <w:t>CA</w:t>
                  </w:r>
                  <w:r>
                    <w:rPr>
                      <w:rFonts w:hint="eastAsia" w:ascii="宋体" w:hAnsi="宋体" w:eastAsia="宋体" w:cs="宋体"/>
                      <w:color w:val="000000" w:themeColor="text1"/>
                      <w:szCs w:val="22"/>
                      <w:lang w:bidi="ar"/>
                      <w14:textFill>
                        <w14:solidFill>
                          <w14:schemeClr w14:val="tx1"/>
                        </w14:solidFill>
                      </w14:textFill>
                    </w:rPr>
                    <w:t>数字证书；使用</w:t>
                  </w:r>
                  <w:r>
                    <w:rPr>
                      <w:rFonts w:hint="eastAsia" w:ascii="宋体" w:hAnsi="宋体" w:eastAsia="宋体" w:cs="宋体"/>
                      <w:color w:val="000000" w:themeColor="text1"/>
                      <w:szCs w:val="22"/>
                      <w:lang w:val="ru" w:bidi="ar"/>
                      <w14:textFill>
                        <w14:solidFill>
                          <w14:schemeClr w14:val="tx1"/>
                        </w14:solidFill>
                      </w14:textFill>
                    </w:rPr>
                    <w:t>CA</w:t>
                  </w:r>
                  <w:r>
                    <w:rPr>
                      <w:rFonts w:hint="eastAsia" w:ascii="宋体" w:hAnsi="宋体" w:eastAsia="宋体" w:cs="宋体"/>
                      <w:color w:val="000000" w:themeColor="text1"/>
                      <w:szCs w:val="22"/>
                      <w:lang w:bidi="ar"/>
                      <w14:textFill>
                        <w14:solidFill>
                          <w14:schemeClr w14:val="tx1"/>
                        </w14:solidFill>
                      </w14:textFill>
                    </w:rPr>
                    <w:t>数字证书进行投标文件的签章、加密和解密等操作。</w:t>
                  </w:r>
                </w:p>
              </w:tc>
              <w:tc>
                <w:tcPr>
                  <w:tcW w:w="362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073C66D">
                  <w:pPr>
                    <w:autoSpaceDE w:val="0"/>
                    <w:autoSpaceDN w:val="0"/>
                    <w:spacing w:line="209" w:lineRule="exact"/>
                    <w:jc w:val="left"/>
                    <w:rPr>
                      <w:rFonts w:hint="eastAsia" w:ascii="宋体" w:hAnsi="宋体" w:eastAsia="宋体" w:cs="宋体"/>
                      <w:color w:val="000000" w:themeColor="text1"/>
                      <w:szCs w:val="22"/>
                      <w:lang w:bidi="ar"/>
                      <w14:textFill>
                        <w14:solidFill>
                          <w14:schemeClr w14:val="tx1"/>
                        </w14:solidFill>
                      </w14:textFill>
                    </w:rPr>
                  </w:pPr>
                  <w:r>
                    <w:rPr>
                      <w:rFonts w:hint="eastAsia" w:ascii="宋体" w:hAnsi="宋体" w:eastAsia="宋体" w:cs="宋体"/>
                      <w:color w:val="000000" w:themeColor="text1"/>
                      <w:szCs w:val="22"/>
                      <w:lang w:bidi="ar"/>
                      <w14:textFill>
                        <w14:solidFill>
                          <w14:schemeClr w14:val="tx1"/>
                        </w14:solidFill>
                      </w14:textFill>
                    </w:rPr>
                    <w:t>详情请参考：</w:t>
                  </w:r>
                </w:p>
                <w:p w14:paraId="0DBFDF3F">
                  <w:pPr>
                    <w:autoSpaceDE w:val="0"/>
                    <w:autoSpaceDN w:val="0"/>
                    <w:spacing w:line="209" w:lineRule="exact"/>
                    <w:jc w:val="left"/>
                    <w:rPr>
                      <w:rFonts w:hint="eastAsia" w:ascii="宋体" w:hAnsi="宋体" w:eastAsia="宋体" w:cs="宋体"/>
                      <w:color w:val="000000" w:themeColor="text1"/>
                      <w:szCs w:val="22"/>
                      <w:lang w:bidi="ar"/>
                      <w14:textFill>
                        <w14:solidFill>
                          <w14:schemeClr w14:val="tx1"/>
                        </w14:solidFill>
                      </w14:textFill>
                    </w:rPr>
                  </w:pPr>
                  <w:r>
                    <w:rPr>
                      <w:rFonts w:hint="eastAsia" w:ascii="宋体" w:hAnsi="宋体" w:eastAsia="宋体" w:cs="宋体"/>
                      <w:color w:val="000000" w:themeColor="text1"/>
                      <w:szCs w:val="22"/>
                      <w:lang w:bidi="ar"/>
                      <w14:textFill>
                        <w14:solidFill>
                          <w14:schemeClr w14:val="tx1"/>
                        </w14:solidFill>
                      </w14:textFill>
                    </w:rPr>
                    <w:t>http://www.cgw.sdu.edu.cn/zb/zlxz/11599.chtml</w:t>
                  </w:r>
                </w:p>
              </w:tc>
            </w:tr>
            <w:tr w14:paraId="3557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14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F02F61">
                  <w:pPr>
                    <w:autoSpaceDE w:val="0"/>
                    <w:autoSpaceDN w:val="0"/>
                    <w:spacing w:line="209" w:lineRule="exact"/>
                    <w:jc w:val="center"/>
                    <w:rPr>
                      <w:rFonts w:hint="eastAsia" w:ascii="宋体" w:hAnsi="宋体" w:eastAsia="宋体" w:cs="宋体"/>
                      <w:color w:val="000000" w:themeColor="text1"/>
                      <w:szCs w:val="22"/>
                      <w:lang w:val="ru"/>
                      <w14:textFill>
                        <w14:solidFill>
                          <w14:schemeClr w14:val="tx1"/>
                        </w14:solidFill>
                      </w14:textFill>
                    </w:rPr>
                  </w:pPr>
                  <w:r>
                    <w:rPr>
                      <w:rFonts w:hint="eastAsia" w:ascii="宋体" w:hAnsi="宋体" w:eastAsia="宋体" w:cs="宋体"/>
                      <w:color w:val="000000" w:themeColor="text1"/>
                      <w:szCs w:val="22"/>
                      <w:lang w:bidi="ar"/>
                      <w14:textFill>
                        <w14:solidFill>
                          <w14:schemeClr w14:val="tx1"/>
                        </w14:solidFill>
                      </w14:textFill>
                    </w:rPr>
                    <w:t>投标文件</w:t>
                  </w:r>
                </w:p>
                <w:p w14:paraId="2F2BEAE4">
                  <w:pPr>
                    <w:autoSpaceDE w:val="0"/>
                    <w:autoSpaceDN w:val="0"/>
                    <w:spacing w:line="209" w:lineRule="exact"/>
                    <w:jc w:val="center"/>
                    <w:rPr>
                      <w:rFonts w:hint="eastAsia" w:ascii="宋体" w:hAnsi="宋体" w:eastAsia="宋体" w:cs="宋体"/>
                      <w:color w:val="000000" w:themeColor="text1"/>
                      <w:szCs w:val="22"/>
                      <w:lang w:val="ru"/>
                      <w14:textFill>
                        <w14:solidFill>
                          <w14:schemeClr w14:val="tx1"/>
                        </w14:solidFill>
                      </w14:textFill>
                    </w:rPr>
                  </w:pPr>
                  <w:r>
                    <w:rPr>
                      <w:rFonts w:hint="eastAsia" w:ascii="宋体" w:hAnsi="宋体" w:eastAsia="宋体" w:cs="宋体"/>
                      <w:color w:val="000000" w:themeColor="text1"/>
                      <w:szCs w:val="22"/>
                      <w:lang w:bidi="ar"/>
                      <w14:textFill>
                        <w14:solidFill>
                          <w14:schemeClr w14:val="tx1"/>
                        </w14:solidFill>
                      </w14:textFill>
                    </w:rPr>
                    <w:t>制作工具</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F91046">
                  <w:pPr>
                    <w:autoSpaceDE w:val="0"/>
                    <w:autoSpaceDN w:val="0"/>
                    <w:spacing w:line="209" w:lineRule="exact"/>
                    <w:jc w:val="left"/>
                    <w:rPr>
                      <w:rFonts w:hint="eastAsia" w:ascii="宋体" w:hAnsi="宋体" w:eastAsia="宋体" w:cs="宋体"/>
                      <w:color w:val="000000" w:themeColor="text1"/>
                      <w:szCs w:val="22"/>
                      <w:lang w:val="ru"/>
                      <w14:textFill>
                        <w14:solidFill>
                          <w14:schemeClr w14:val="tx1"/>
                        </w14:solidFill>
                      </w14:textFill>
                    </w:rPr>
                  </w:pPr>
                  <w:r>
                    <w:rPr>
                      <w:rFonts w:hint="eastAsia" w:ascii="宋体" w:hAnsi="宋体" w:eastAsia="宋体" w:cs="宋体"/>
                      <w:color w:val="000000" w:themeColor="text1"/>
                      <w:szCs w:val="22"/>
                      <w:lang w:bidi="ar"/>
                      <w14:textFill>
                        <w14:solidFill>
                          <w14:schemeClr w14:val="tx1"/>
                        </w14:solidFill>
                      </w14:textFill>
                    </w:rPr>
                    <w:t>安装投标文件制作工具软件，并通过瞬速投标工具软件下载、安装</w:t>
                  </w:r>
                  <w:r>
                    <w:rPr>
                      <w:rFonts w:hint="eastAsia" w:ascii="宋体" w:hAnsi="宋体" w:eastAsia="宋体" w:cs="宋体"/>
                      <w:color w:val="000000" w:themeColor="text1"/>
                      <w:szCs w:val="22"/>
                      <w:lang w:val="ru" w:bidi="ar"/>
                      <w14:textFill>
                        <w14:solidFill>
                          <w14:schemeClr w14:val="tx1"/>
                        </w14:solidFill>
                      </w14:textFill>
                    </w:rPr>
                    <w:t>CA</w:t>
                  </w:r>
                  <w:r>
                    <w:rPr>
                      <w:rFonts w:hint="eastAsia" w:ascii="宋体" w:hAnsi="宋体" w:eastAsia="宋体" w:cs="宋体"/>
                      <w:color w:val="000000" w:themeColor="text1"/>
                      <w:szCs w:val="22"/>
                      <w:lang w:bidi="ar"/>
                      <w14:textFill>
                        <w14:solidFill>
                          <w14:schemeClr w14:val="tx1"/>
                        </w14:solidFill>
                      </w14:textFill>
                    </w:rPr>
                    <w:t>证书驱动、签章软件等。</w:t>
                  </w:r>
                </w:p>
              </w:tc>
              <w:tc>
                <w:tcPr>
                  <w:tcW w:w="362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F0D6B7">
                  <w:pPr>
                    <w:autoSpaceDE w:val="0"/>
                    <w:autoSpaceDN w:val="0"/>
                    <w:spacing w:line="209" w:lineRule="exact"/>
                    <w:jc w:val="left"/>
                    <w:rPr>
                      <w:rFonts w:hint="eastAsia" w:ascii="宋体" w:hAnsi="宋体" w:eastAsia="宋体" w:cs="宋体"/>
                      <w:color w:val="000000" w:themeColor="text1"/>
                      <w:szCs w:val="22"/>
                      <w:lang w:val="ru" w:bidi="ar"/>
                      <w14:textFill>
                        <w14:solidFill>
                          <w14:schemeClr w14:val="tx1"/>
                        </w14:solidFill>
                      </w14:textFill>
                    </w:rPr>
                  </w:pPr>
                  <w:r>
                    <w:rPr>
                      <w:rFonts w:hint="eastAsia" w:ascii="宋体" w:hAnsi="宋体" w:eastAsia="宋体" w:cs="宋体"/>
                      <w:color w:val="000000" w:themeColor="text1"/>
                      <w:szCs w:val="22"/>
                      <w:lang w:bidi="ar"/>
                      <w14:textFill>
                        <w14:solidFill>
                          <w14:schemeClr w14:val="tx1"/>
                        </w14:solidFill>
                      </w14:textFill>
                    </w:rPr>
                    <w:t>投标文件制作工具下载地址：</w:t>
                  </w:r>
                </w:p>
                <w:p w14:paraId="5B3D5D51">
                  <w:pPr>
                    <w:autoSpaceDE w:val="0"/>
                    <w:autoSpaceDN w:val="0"/>
                    <w:spacing w:line="209" w:lineRule="exact"/>
                    <w:jc w:val="left"/>
                    <w:rPr>
                      <w:rFonts w:hint="eastAsia" w:ascii="宋体" w:hAnsi="宋体" w:eastAsia="宋体" w:cs="宋体"/>
                      <w:color w:val="000000" w:themeColor="text1"/>
                      <w:szCs w:val="22"/>
                      <w:lang w:val="ru"/>
                      <w14:textFill>
                        <w14:solidFill>
                          <w14:schemeClr w14:val="tx1"/>
                        </w14:solidFill>
                      </w14:textFill>
                    </w:rPr>
                  </w:pPr>
                  <w:r>
                    <w:rPr>
                      <w:rFonts w:hint="eastAsia" w:ascii="宋体" w:hAnsi="宋体" w:eastAsia="宋体" w:cs="宋体"/>
                      <w:color w:val="000000" w:themeColor="text1"/>
                      <w:szCs w:val="22"/>
                      <w:lang w:val="ru" w:bidi="ar"/>
                      <w14:textFill>
                        <w14:solidFill>
                          <w14:schemeClr w14:val="tx1"/>
                        </w14:solidFill>
                      </w14:textFill>
                    </w:rPr>
                    <w:t>http://www.cgw.sdu.edu.cn/zb/plugs/tbkhd/tbkhd.msi</w:t>
                  </w:r>
                </w:p>
              </w:tc>
            </w:tr>
            <w:tr w14:paraId="19E82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14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60FD30">
                  <w:pPr>
                    <w:autoSpaceDE w:val="0"/>
                    <w:autoSpaceDN w:val="0"/>
                    <w:spacing w:line="209" w:lineRule="exact"/>
                    <w:jc w:val="center"/>
                    <w:rPr>
                      <w:rFonts w:hint="eastAsia" w:ascii="宋体" w:hAnsi="宋体" w:eastAsia="宋体" w:cs="宋体"/>
                      <w:color w:val="000000" w:themeColor="text1"/>
                      <w:szCs w:val="22"/>
                      <w:lang w:val="ru"/>
                      <w14:textFill>
                        <w14:solidFill>
                          <w14:schemeClr w14:val="tx1"/>
                        </w14:solidFill>
                      </w14:textFill>
                    </w:rPr>
                  </w:pPr>
                  <w:r>
                    <w:rPr>
                      <w:rFonts w:hint="eastAsia" w:ascii="宋体" w:hAnsi="宋体" w:eastAsia="宋体" w:cs="宋体"/>
                      <w:color w:val="000000" w:themeColor="text1"/>
                      <w:szCs w:val="22"/>
                      <w:lang w:bidi="ar"/>
                      <w14:textFill>
                        <w14:solidFill>
                          <w14:schemeClr w14:val="tx1"/>
                        </w14:solidFill>
                      </w14:textFill>
                    </w:rPr>
                    <w:t>视频工具</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D7952C6">
                  <w:pPr>
                    <w:autoSpaceDE w:val="0"/>
                    <w:autoSpaceDN w:val="0"/>
                    <w:spacing w:line="209" w:lineRule="exact"/>
                    <w:jc w:val="left"/>
                    <w:rPr>
                      <w:rFonts w:hint="eastAsia" w:ascii="宋体" w:hAnsi="宋体" w:eastAsia="宋体" w:cs="宋体"/>
                      <w:color w:val="000000" w:themeColor="text1"/>
                      <w:szCs w:val="22"/>
                      <w:lang w:val="ru"/>
                      <w14:textFill>
                        <w14:solidFill>
                          <w14:schemeClr w14:val="tx1"/>
                        </w14:solidFill>
                      </w14:textFill>
                    </w:rPr>
                  </w:pPr>
                  <w:r>
                    <w:rPr>
                      <w:rFonts w:hint="eastAsia" w:ascii="宋体" w:hAnsi="宋体" w:eastAsia="宋体" w:cs="宋体"/>
                      <w:color w:val="000000" w:themeColor="text1"/>
                      <w:szCs w:val="22"/>
                      <w:lang w:bidi="ar"/>
                      <w14:textFill>
                        <w14:solidFill>
                          <w14:schemeClr w14:val="tx1"/>
                        </w14:solidFill>
                      </w14:textFill>
                    </w:rPr>
                    <w:t>安装山东大学云会议软件，用于开评标过程中的音视频交流。</w:t>
                  </w:r>
                </w:p>
              </w:tc>
              <w:tc>
                <w:tcPr>
                  <w:tcW w:w="362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87D481">
                  <w:pPr>
                    <w:autoSpaceDE w:val="0"/>
                    <w:autoSpaceDN w:val="0"/>
                    <w:spacing w:line="209" w:lineRule="exact"/>
                    <w:jc w:val="left"/>
                    <w:rPr>
                      <w:rFonts w:hint="eastAsia" w:ascii="宋体" w:hAnsi="宋体" w:eastAsia="宋体" w:cs="宋体"/>
                      <w:color w:val="000000" w:themeColor="text1"/>
                      <w:szCs w:val="22"/>
                      <w:lang w:val="ru" w:bidi="ar"/>
                      <w14:textFill>
                        <w14:solidFill>
                          <w14:schemeClr w14:val="tx1"/>
                        </w14:solidFill>
                      </w14:textFill>
                    </w:rPr>
                  </w:pPr>
                  <w:r>
                    <w:rPr>
                      <w:rFonts w:hint="eastAsia" w:ascii="宋体" w:hAnsi="宋体" w:eastAsia="宋体" w:cs="宋体"/>
                      <w:color w:val="000000" w:themeColor="text1"/>
                      <w:szCs w:val="22"/>
                      <w:lang w:bidi="ar"/>
                      <w14:textFill>
                        <w14:solidFill>
                          <w14:schemeClr w14:val="tx1"/>
                        </w14:solidFill>
                      </w14:textFill>
                    </w:rPr>
                    <w:t>视频工具下载地址</w:t>
                  </w:r>
                  <w:r>
                    <w:rPr>
                      <w:rFonts w:hint="eastAsia" w:ascii="宋体" w:hAnsi="宋体" w:eastAsia="宋体" w:cs="宋体"/>
                      <w:color w:val="000000" w:themeColor="text1"/>
                      <w:szCs w:val="22"/>
                      <w:lang w:val="ru" w:bidi="ar"/>
                      <w14:textFill>
                        <w14:solidFill>
                          <w14:schemeClr w14:val="tx1"/>
                        </w14:solidFill>
                      </w14:textFill>
                    </w:rPr>
                    <w:t>：</w:t>
                  </w:r>
                </w:p>
                <w:p w14:paraId="338B36D5">
                  <w:pPr>
                    <w:autoSpaceDE w:val="0"/>
                    <w:autoSpaceDN w:val="0"/>
                    <w:spacing w:line="209" w:lineRule="exact"/>
                    <w:jc w:val="left"/>
                    <w:rPr>
                      <w:rFonts w:hint="eastAsia" w:ascii="宋体" w:hAnsi="宋体" w:eastAsia="宋体" w:cs="宋体"/>
                      <w:color w:val="000000" w:themeColor="text1"/>
                      <w:szCs w:val="22"/>
                      <w:lang w:val="ru"/>
                      <w14:textFill>
                        <w14:solidFill>
                          <w14:schemeClr w14:val="tx1"/>
                        </w14:solidFill>
                      </w14:textFill>
                    </w:rPr>
                  </w:pPr>
                  <w:r>
                    <w:rPr>
                      <w:rFonts w:hint="eastAsia" w:ascii="宋体" w:hAnsi="宋体" w:eastAsia="宋体" w:cs="宋体"/>
                      <w:color w:val="000000" w:themeColor="text1"/>
                      <w:szCs w:val="22"/>
                      <w:lang w:val="ru" w:bidi="ar"/>
                      <w14:textFill>
                        <w14:solidFill>
                          <w14:schemeClr w14:val="tx1"/>
                        </w14:solidFill>
                      </w14:textFill>
                    </w:rPr>
                    <w:fldChar w:fldCharType="begin"/>
                  </w:r>
                  <w:r>
                    <w:rPr>
                      <w:rFonts w:hint="eastAsia" w:ascii="宋体" w:hAnsi="宋体" w:eastAsia="宋体" w:cs="宋体"/>
                      <w:color w:val="000000" w:themeColor="text1"/>
                      <w:szCs w:val="22"/>
                      <w:lang w:val="ru" w:bidi="ar"/>
                      <w14:textFill>
                        <w14:solidFill>
                          <w14:schemeClr w14:val="tx1"/>
                        </w14:solidFill>
                      </w14:textFill>
                    </w:rPr>
                    <w:instrText xml:space="preserve"> HYPERLINK "http://yczbxt.sdu.edu.cn/download" </w:instrText>
                  </w:r>
                  <w:r>
                    <w:rPr>
                      <w:rFonts w:hint="eastAsia" w:ascii="宋体" w:hAnsi="宋体" w:eastAsia="宋体" w:cs="宋体"/>
                      <w:color w:val="000000" w:themeColor="text1"/>
                      <w:szCs w:val="22"/>
                      <w:lang w:val="ru" w:bidi="ar"/>
                      <w14:textFill>
                        <w14:solidFill>
                          <w14:schemeClr w14:val="tx1"/>
                        </w14:solidFill>
                      </w14:textFill>
                    </w:rPr>
                    <w:fldChar w:fldCharType="separate"/>
                  </w:r>
                  <w:r>
                    <w:rPr>
                      <w:rFonts w:hint="eastAsia" w:ascii="宋体" w:hAnsi="宋体" w:eastAsia="宋体" w:cs="宋体"/>
                      <w:color w:val="000000" w:themeColor="text1"/>
                      <w:szCs w:val="22"/>
                      <w:lang w:val="ru" w:bidi="ar"/>
                      <w14:textFill>
                        <w14:solidFill>
                          <w14:schemeClr w14:val="tx1"/>
                        </w14:solidFill>
                      </w14:textFill>
                    </w:rPr>
                    <w:t>http://yczbxt.sdu.edu.cn/download</w:t>
                  </w:r>
                  <w:r>
                    <w:rPr>
                      <w:rFonts w:hint="eastAsia" w:ascii="宋体" w:hAnsi="宋体" w:eastAsia="宋体" w:cs="宋体"/>
                      <w:color w:val="000000" w:themeColor="text1"/>
                      <w:szCs w:val="22"/>
                      <w:lang w:val="ru" w:bidi="ar"/>
                      <w14:textFill>
                        <w14:solidFill>
                          <w14:schemeClr w14:val="tx1"/>
                        </w14:solidFill>
                      </w14:textFill>
                    </w:rPr>
                    <w:fldChar w:fldCharType="end"/>
                  </w:r>
                  <w:r>
                    <w:rPr>
                      <w:rFonts w:hint="eastAsia" w:ascii="宋体" w:hAnsi="宋体" w:eastAsia="宋体" w:cs="宋体"/>
                      <w:color w:val="000000" w:themeColor="text1"/>
                      <w:szCs w:val="22"/>
                      <w:lang w:val="ru" w:bidi="ar"/>
                      <w14:textFill>
                        <w14:solidFill>
                          <w14:schemeClr w14:val="tx1"/>
                        </w14:solidFill>
                      </w14:textFill>
                    </w:rPr>
                    <w:t>.html</w:t>
                  </w:r>
                </w:p>
              </w:tc>
            </w:tr>
            <w:tr w14:paraId="1E539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3" w:hRule="atLeast"/>
                <w:jc w:val="center"/>
              </w:trPr>
              <w:tc>
                <w:tcPr>
                  <w:tcW w:w="14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22F960">
                  <w:pPr>
                    <w:autoSpaceDE w:val="0"/>
                    <w:autoSpaceDN w:val="0"/>
                    <w:spacing w:line="209" w:lineRule="exact"/>
                    <w:jc w:val="center"/>
                    <w:rPr>
                      <w:rFonts w:hint="eastAsia" w:ascii="宋体" w:hAnsi="宋体" w:eastAsia="宋体" w:cs="宋体"/>
                      <w:color w:val="000000" w:themeColor="text1"/>
                      <w:szCs w:val="22"/>
                      <w:lang w:val="ru"/>
                      <w14:textFill>
                        <w14:solidFill>
                          <w14:schemeClr w14:val="tx1"/>
                        </w14:solidFill>
                      </w14:textFill>
                    </w:rPr>
                  </w:pPr>
                  <w:r>
                    <w:rPr>
                      <w:rFonts w:hint="eastAsia" w:ascii="宋体" w:hAnsi="宋体" w:eastAsia="宋体" w:cs="宋体"/>
                      <w:color w:val="000000" w:themeColor="text1"/>
                      <w:szCs w:val="22"/>
                      <w:lang w:bidi="ar"/>
                      <w14:textFill>
                        <w14:solidFill>
                          <w14:schemeClr w14:val="tx1"/>
                        </w14:solidFill>
                      </w14:textFill>
                    </w:rPr>
                    <w:t>其他要求</w:t>
                  </w:r>
                </w:p>
              </w:tc>
              <w:tc>
                <w:tcPr>
                  <w:tcW w:w="26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EA9763">
                  <w:pPr>
                    <w:autoSpaceDE w:val="0"/>
                    <w:autoSpaceDN w:val="0"/>
                    <w:spacing w:line="209" w:lineRule="exact"/>
                    <w:jc w:val="left"/>
                    <w:rPr>
                      <w:rFonts w:hint="eastAsia" w:ascii="宋体" w:hAnsi="宋体" w:eastAsia="宋体" w:cs="宋体"/>
                      <w:color w:val="000000" w:themeColor="text1"/>
                      <w:szCs w:val="22"/>
                      <w:lang w:val="ru" w:bidi="ar"/>
                      <w14:textFill>
                        <w14:solidFill>
                          <w14:schemeClr w14:val="tx1"/>
                        </w14:solidFill>
                      </w14:textFill>
                    </w:rPr>
                  </w:pPr>
                  <w:r>
                    <w:rPr>
                      <w:rFonts w:hint="eastAsia" w:ascii="宋体" w:hAnsi="宋体" w:eastAsia="宋体" w:cs="宋体"/>
                      <w:color w:val="000000" w:themeColor="text1"/>
                      <w:szCs w:val="22"/>
                      <w:lang w:bidi="ar"/>
                      <w14:textFill>
                        <w14:solidFill>
                          <w14:schemeClr w14:val="tx1"/>
                        </w14:solidFill>
                      </w14:textFill>
                    </w:rPr>
                    <w:t>网络畅通。安装了阅读和编辑文档所需的</w:t>
                  </w:r>
                  <w:r>
                    <w:rPr>
                      <w:rFonts w:hint="eastAsia" w:ascii="宋体" w:hAnsi="宋体" w:eastAsia="宋体" w:cs="宋体"/>
                      <w:color w:val="000000" w:themeColor="text1"/>
                      <w:szCs w:val="22"/>
                      <w:lang w:val="ru" w:bidi="ar"/>
                      <w14:textFill>
                        <w14:solidFill>
                          <w14:schemeClr w14:val="tx1"/>
                        </w14:solidFill>
                      </w14:textFill>
                    </w:rPr>
                    <w:t>OfficeWord</w:t>
                  </w:r>
                </w:p>
                <w:p w14:paraId="1A0BCFF8">
                  <w:pPr>
                    <w:autoSpaceDE w:val="0"/>
                    <w:autoSpaceDN w:val="0"/>
                    <w:spacing w:line="209" w:lineRule="exact"/>
                    <w:jc w:val="left"/>
                    <w:rPr>
                      <w:rFonts w:hint="eastAsia" w:ascii="宋体" w:hAnsi="宋体" w:eastAsia="宋体" w:cs="宋体"/>
                      <w:color w:val="000000" w:themeColor="text1"/>
                      <w:szCs w:val="22"/>
                      <w:lang w:val="ru"/>
                      <w14:textFill>
                        <w14:solidFill>
                          <w14:schemeClr w14:val="tx1"/>
                        </w14:solidFill>
                      </w14:textFill>
                    </w:rPr>
                  </w:pPr>
                  <w:r>
                    <w:rPr>
                      <w:rFonts w:hint="eastAsia" w:ascii="宋体" w:hAnsi="宋体" w:eastAsia="宋体" w:cs="宋体"/>
                      <w:color w:val="000000" w:themeColor="text1"/>
                      <w:szCs w:val="22"/>
                      <w:lang w:val="ru" w:bidi="ar"/>
                      <w14:textFill>
                        <w14:solidFill>
                          <w14:schemeClr w14:val="tx1"/>
                        </w14:solidFill>
                      </w14:textFill>
                    </w:rPr>
                    <w:t>\Excel</w:t>
                  </w:r>
                  <w:r>
                    <w:rPr>
                      <w:rFonts w:hint="eastAsia" w:ascii="宋体" w:hAnsi="宋体" w:eastAsia="宋体" w:cs="宋体"/>
                      <w:color w:val="000000" w:themeColor="text1"/>
                      <w:szCs w:val="22"/>
                      <w:lang w:bidi="ar"/>
                      <w14:textFill>
                        <w14:solidFill>
                          <w14:schemeClr w14:val="tx1"/>
                        </w14:solidFill>
                      </w14:textFill>
                    </w:rPr>
                    <w:t>等办公软件。需要具有耳麦、摄像头等音视频输入输出设备。</w:t>
                  </w:r>
                </w:p>
              </w:tc>
              <w:tc>
                <w:tcPr>
                  <w:tcW w:w="362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F060645">
                  <w:pPr>
                    <w:widowControl/>
                    <w:spacing w:line="0" w:lineRule="atLeast"/>
                    <w:jc w:val="left"/>
                    <w:rPr>
                      <w:rFonts w:hint="eastAsia" w:ascii="宋体" w:hAnsi="宋体" w:eastAsia="宋体" w:cs="宋体"/>
                      <w:color w:val="000000" w:themeColor="text1"/>
                      <w:szCs w:val="21"/>
                      <w:lang w:val="ru"/>
                      <w14:textFill>
                        <w14:solidFill>
                          <w14:schemeClr w14:val="tx1"/>
                        </w14:solidFill>
                      </w14:textFill>
                    </w:rPr>
                  </w:pPr>
                </w:p>
              </w:tc>
            </w:tr>
          </w:tbl>
          <w:p w14:paraId="1A915C57">
            <w:pPr>
              <w:spacing w:line="420" w:lineRule="exact"/>
              <w:jc w:val="both"/>
              <w:rPr>
                <w:rFonts w:ascii="宋体" w:hAnsi="宋体" w:eastAsia="宋体" w:cs="宋体"/>
                <w:b/>
                <w:color w:val="000000" w:themeColor="text1"/>
                <w:sz w:val="24"/>
                <w:highlight w:val="none"/>
                <w14:textFill>
                  <w14:solidFill>
                    <w14:schemeClr w14:val="tx1"/>
                  </w14:solidFill>
                </w14:textFill>
              </w:rPr>
            </w:pPr>
          </w:p>
        </w:tc>
      </w:tr>
      <w:bookmarkEnd w:id="35"/>
    </w:tbl>
    <w:p w14:paraId="1F946C30">
      <w:pPr>
        <w:pStyle w:val="11"/>
        <w:numPr>
          <w:ilvl w:val="0"/>
          <w:numId w:val="3"/>
        </w:numPr>
        <w:tabs>
          <w:tab w:val="left" w:pos="1146"/>
        </w:tabs>
        <w:spacing w:line="560" w:lineRule="exact"/>
        <w:ind w:left="571" w:leftChars="272" w:firstLine="2" w:firstLineChars="0"/>
        <w:jc w:val="center"/>
        <w:rPr>
          <w:rFonts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br w:type="page"/>
      </w:r>
      <w:r>
        <w:rPr>
          <w:rFonts w:hint="eastAsia" w:ascii="宋体" w:hAnsi="宋体" w:eastAsia="宋体" w:cs="宋体"/>
          <w:b/>
          <w:color w:val="000000" w:themeColor="text1"/>
          <w:sz w:val="30"/>
          <w:szCs w:val="30"/>
          <w:highlight w:val="none"/>
          <w14:textFill>
            <w14:solidFill>
              <w14:schemeClr w14:val="tx1"/>
            </w14:solidFill>
          </w14:textFill>
        </w:rPr>
        <w:t>供应商须知正文</w:t>
      </w:r>
    </w:p>
    <w:p w14:paraId="1C07227D">
      <w:pPr>
        <w:spacing w:line="480" w:lineRule="exact"/>
        <w:outlineLvl w:val="1"/>
        <w:rPr>
          <w:rFonts w:ascii="宋体" w:hAnsi="宋体" w:eastAsia="宋体" w:cs="宋体"/>
          <w:b/>
          <w:color w:val="000000" w:themeColor="text1"/>
          <w:sz w:val="24"/>
          <w:highlight w:val="none"/>
          <w14:textFill>
            <w14:solidFill>
              <w14:schemeClr w14:val="tx1"/>
            </w14:solidFill>
          </w14:textFill>
        </w:rPr>
      </w:pPr>
      <w:bookmarkStart w:id="36" w:name="_Toc373"/>
      <w:r>
        <w:rPr>
          <w:rFonts w:hint="eastAsia" w:ascii="宋体" w:hAnsi="宋体" w:eastAsia="宋体" w:cs="宋体"/>
          <w:b/>
          <w:color w:val="000000" w:themeColor="text1"/>
          <w:sz w:val="24"/>
          <w:highlight w:val="none"/>
          <w14:textFill>
            <w14:solidFill>
              <w14:schemeClr w14:val="tx1"/>
            </w14:solidFill>
          </w14:textFill>
        </w:rPr>
        <w:t>一、说明</w:t>
      </w:r>
      <w:bookmarkEnd w:id="36"/>
    </w:p>
    <w:p w14:paraId="58C2DFF6">
      <w:pPr>
        <w:pStyle w:val="30"/>
        <w:tabs>
          <w:tab w:val="left" w:pos="955"/>
        </w:tabs>
        <w:spacing w:after="0" w:line="560" w:lineRule="exact"/>
        <w:ind w:left="1146" w:leftChars="273" w:hanging="573" w:hangingChars="238"/>
        <w:rPr>
          <w:rFonts w:ascii="宋体" w:hAnsi="宋体" w:eastAsia="宋体" w:cs="宋体"/>
          <w:b/>
          <w:color w:val="000000" w:themeColor="text1"/>
          <w:sz w:val="24"/>
          <w:highlight w:val="none"/>
          <w14:textFill>
            <w14:solidFill>
              <w14:schemeClr w14:val="tx1"/>
            </w14:solidFill>
          </w14:textFill>
        </w:rPr>
      </w:pPr>
      <w:bookmarkStart w:id="37" w:name="_Toc346372877"/>
      <w:bookmarkEnd w:id="37"/>
      <w:bookmarkStart w:id="38" w:name="_Toc352332851"/>
      <w:bookmarkEnd w:id="38"/>
      <w:bookmarkStart w:id="39" w:name="_Toc346306730"/>
      <w:bookmarkEnd w:id="39"/>
      <w:r>
        <w:rPr>
          <w:rFonts w:hint="eastAsia" w:ascii="宋体" w:hAnsi="宋体" w:eastAsia="宋体" w:cs="宋体"/>
          <w:b/>
          <w:color w:val="000000" w:themeColor="text1"/>
          <w:sz w:val="24"/>
          <w:highlight w:val="none"/>
          <w14:textFill>
            <w14:solidFill>
              <w14:schemeClr w14:val="tx1"/>
            </w14:solidFill>
          </w14:textFill>
        </w:rPr>
        <w:t>1.  采购人</w:t>
      </w:r>
    </w:p>
    <w:p w14:paraId="4716D64E">
      <w:pPr>
        <w:autoSpaceDE w:val="0"/>
        <w:autoSpaceDN w:val="0"/>
        <w:adjustRightInd w:val="0"/>
        <w:snapToGrid w:val="0"/>
        <w:spacing w:line="560" w:lineRule="exact"/>
        <w:ind w:firstLine="600" w:firstLineChars="250"/>
        <w:jc w:val="left"/>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详见供应商须知前附表。</w:t>
      </w:r>
    </w:p>
    <w:p w14:paraId="5228446E">
      <w:pPr>
        <w:pStyle w:val="30"/>
        <w:tabs>
          <w:tab w:val="left" w:pos="955"/>
        </w:tabs>
        <w:spacing w:after="0" w:line="560" w:lineRule="exact"/>
        <w:ind w:left="1146" w:leftChars="273" w:hanging="573" w:hangingChars="238"/>
        <w:rPr>
          <w:rFonts w:ascii="宋体" w:hAnsi="宋体" w:eastAsia="宋体" w:cs="宋体"/>
          <w:b/>
          <w:color w:val="000000" w:themeColor="text1"/>
          <w:sz w:val="24"/>
          <w:highlight w:val="none"/>
          <w14:textFill>
            <w14:solidFill>
              <w14:schemeClr w14:val="tx1"/>
            </w14:solidFill>
          </w14:textFill>
        </w:rPr>
      </w:pPr>
      <w:bookmarkStart w:id="40" w:name="_Toc346372878"/>
      <w:bookmarkEnd w:id="40"/>
      <w:bookmarkStart w:id="41" w:name="_Toc352332852"/>
      <w:bookmarkEnd w:id="41"/>
      <w:bookmarkStart w:id="42" w:name="_Toc346306731"/>
      <w:bookmarkEnd w:id="42"/>
      <w:r>
        <w:rPr>
          <w:rFonts w:hint="eastAsia" w:ascii="宋体" w:hAnsi="宋体" w:eastAsia="宋体" w:cs="宋体"/>
          <w:b/>
          <w:color w:val="000000" w:themeColor="text1"/>
          <w:sz w:val="24"/>
          <w:highlight w:val="none"/>
          <w14:textFill>
            <w14:solidFill>
              <w14:schemeClr w14:val="tx1"/>
            </w14:solidFill>
          </w14:textFill>
        </w:rPr>
        <w:t>2.  采购代理机构</w:t>
      </w:r>
    </w:p>
    <w:p w14:paraId="6DD5FE7C">
      <w:pPr>
        <w:autoSpaceDE w:val="0"/>
        <w:autoSpaceDN w:val="0"/>
        <w:adjustRightInd w:val="0"/>
        <w:snapToGrid w:val="0"/>
        <w:spacing w:line="560" w:lineRule="exact"/>
        <w:ind w:firstLine="600" w:firstLineChars="250"/>
        <w:jc w:val="left"/>
        <w:rPr>
          <w:rFonts w:ascii="宋体" w:hAnsi="宋体" w:eastAsia="宋体" w:cs="宋体"/>
          <w:color w:val="000000" w:themeColor="text1"/>
          <w:kern w:val="0"/>
          <w:sz w:val="24"/>
          <w:highlight w:val="none"/>
          <w14:textFill>
            <w14:solidFill>
              <w14:schemeClr w14:val="tx1"/>
            </w14:solidFill>
          </w14:textFill>
        </w:rPr>
      </w:pPr>
      <w:bookmarkStart w:id="43" w:name="_Toc346372879"/>
      <w:bookmarkStart w:id="44" w:name="_Toc352332853"/>
      <w:bookmarkStart w:id="45" w:name="_Toc346306732"/>
      <w:r>
        <w:rPr>
          <w:rFonts w:hint="eastAsia" w:ascii="宋体" w:hAnsi="宋体" w:eastAsia="宋体" w:cs="宋体"/>
          <w:color w:val="000000" w:themeColor="text1"/>
          <w:kern w:val="0"/>
          <w:sz w:val="24"/>
          <w:highlight w:val="none"/>
          <w14:textFill>
            <w14:solidFill>
              <w14:schemeClr w14:val="tx1"/>
            </w14:solidFill>
          </w14:textFill>
        </w:rPr>
        <w:t>详见供应商须知前附表。</w:t>
      </w:r>
    </w:p>
    <w:bookmarkEnd w:id="43"/>
    <w:bookmarkEnd w:id="44"/>
    <w:bookmarkEnd w:id="45"/>
    <w:p w14:paraId="4590C2AC">
      <w:pPr>
        <w:pStyle w:val="30"/>
        <w:tabs>
          <w:tab w:val="left" w:pos="955"/>
        </w:tabs>
        <w:spacing w:after="0" w:line="560" w:lineRule="exact"/>
        <w:ind w:left="1146" w:leftChars="273" w:hanging="573" w:hanging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  合格供应商</w:t>
      </w:r>
    </w:p>
    <w:p w14:paraId="5D89226A">
      <w:pPr>
        <w:autoSpaceDE w:val="0"/>
        <w:autoSpaceDN w:val="0"/>
        <w:adjustRightInd w:val="0"/>
        <w:snapToGrid w:val="0"/>
        <w:spacing w:line="560" w:lineRule="exact"/>
        <w:ind w:firstLine="600" w:firstLineChars="250"/>
        <w:jc w:val="left"/>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详见供应商须知前附表。</w:t>
      </w:r>
    </w:p>
    <w:p w14:paraId="70FA25DB">
      <w:pPr>
        <w:pStyle w:val="30"/>
        <w:tabs>
          <w:tab w:val="left" w:pos="955"/>
        </w:tabs>
        <w:spacing w:after="0" w:line="560" w:lineRule="exact"/>
        <w:ind w:left="1146" w:leftChars="273" w:hanging="573" w:hangingChars="238"/>
        <w:rPr>
          <w:rFonts w:ascii="宋体" w:hAnsi="宋体" w:eastAsia="宋体" w:cs="宋体"/>
          <w:b/>
          <w:color w:val="000000" w:themeColor="text1"/>
          <w:sz w:val="24"/>
          <w:highlight w:val="none"/>
          <w14:textFill>
            <w14:solidFill>
              <w14:schemeClr w14:val="tx1"/>
            </w14:solidFill>
          </w14:textFill>
        </w:rPr>
      </w:pPr>
      <w:bookmarkStart w:id="46" w:name="_Toc352332854"/>
      <w:bookmarkEnd w:id="46"/>
      <w:bookmarkStart w:id="47" w:name="_Toc346306733"/>
      <w:bookmarkEnd w:id="47"/>
      <w:bookmarkStart w:id="48" w:name="_Toc346372880"/>
      <w:bookmarkEnd w:id="48"/>
      <w:r>
        <w:rPr>
          <w:rFonts w:hint="eastAsia" w:ascii="宋体" w:hAnsi="宋体" w:eastAsia="宋体" w:cs="宋体"/>
          <w:b/>
          <w:color w:val="000000" w:themeColor="text1"/>
          <w:sz w:val="24"/>
          <w:highlight w:val="none"/>
          <w14:textFill>
            <w14:solidFill>
              <w14:schemeClr w14:val="tx1"/>
            </w14:solidFill>
          </w14:textFill>
        </w:rPr>
        <w:t>4.  投标费用</w:t>
      </w:r>
    </w:p>
    <w:p w14:paraId="478B2B3C">
      <w:pPr>
        <w:autoSpaceDE w:val="0"/>
        <w:autoSpaceDN w:val="0"/>
        <w:adjustRightInd w:val="0"/>
        <w:snapToGrid w:val="0"/>
        <w:spacing w:line="560" w:lineRule="exact"/>
        <w:ind w:firstLine="600" w:firstLineChars="25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无论投标过程中的方法和结果如何，供应商自行承担所有与参加投标有关费用。</w:t>
      </w:r>
    </w:p>
    <w:p w14:paraId="41066D32">
      <w:pPr>
        <w:spacing w:line="480" w:lineRule="exact"/>
        <w:outlineLvl w:val="1"/>
        <w:rPr>
          <w:rFonts w:ascii="宋体" w:hAnsi="宋体" w:eastAsia="宋体" w:cs="宋体"/>
          <w:b/>
          <w:color w:val="000000" w:themeColor="text1"/>
          <w:sz w:val="24"/>
          <w:highlight w:val="none"/>
          <w14:textFill>
            <w14:solidFill>
              <w14:schemeClr w14:val="tx1"/>
            </w14:solidFill>
          </w14:textFill>
        </w:rPr>
      </w:pPr>
      <w:bookmarkStart w:id="49" w:name="_Toc23402"/>
      <w:r>
        <w:rPr>
          <w:rFonts w:hint="eastAsia" w:ascii="宋体" w:hAnsi="宋体" w:eastAsia="宋体" w:cs="宋体"/>
          <w:b/>
          <w:color w:val="000000" w:themeColor="text1"/>
          <w:sz w:val="24"/>
          <w:highlight w:val="none"/>
          <w14:textFill>
            <w14:solidFill>
              <w14:schemeClr w14:val="tx1"/>
            </w14:solidFill>
          </w14:textFill>
        </w:rPr>
        <w:t>二、参考公开招标文件</w:t>
      </w:r>
      <w:bookmarkEnd w:id="49"/>
    </w:p>
    <w:p w14:paraId="2E97ED2F">
      <w:pPr>
        <w:pStyle w:val="30"/>
        <w:tabs>
          <w:tab w:val="left" w:pos="955"/>
        </w:tabs>
        <w:spacing w:after="0" w:line="560" w:lineRule="exact"/>
        <w:ind w:left="1146" w:leftChars="273" w:hanging="573" w:hangingChars="238"/>
        <w:rPr>
          <w:rFonts w:ascii="宋体" w:hAnsi="宋体" w:eastAsia="宋体" w:cs="宋体"/>
          <w:b/>
          <w:color w:val="000000" w:themeColor="text1"/>
          <w:sz w:val="24"/>
          <w:highlight w:val="none"/>
          <w14:textFill>
            <w14:solidFill>
              <w14:schemeClr w14:val="tx1"/>
            </w14:solidFill>
          </w14:textFill>
        </w:rPr>
      </w:pPr>
      <w:bookmarkStart w:id="50" w:name="_Toc352332856"/>
      <w:bookmarkEnd w:id="50"/>
      <w:bookmarkStart w:id="51" w:name="_Toc346372882"/>
      <w:bookmarkEnd w:id="51"/>
      <w:bookmarkStart w:id="52" w:name="_Toc346306735"/>
      <w:bookmarkEnd w:id="52"/>
      <w:r>
        <w:rPr>
          <w:rFonts w:hint="eastAsia" w:ascii="宋体" w:hAnsi="宋体" w:eastAsia="宋体" w:cs="宋体"/>
          <w:b/>
          <w:color w:val="000000" w:themeColor="text1"/>
          <w:sz w:val="24"/>
          <w:highlight w:val="none"/>
          <w14:textFill>
            <w14:solidFill>
              <w14:schemeClr w14:val="tx1"/>
            </w14:solidFill>
          </w14:textFill>
        </w:rPr>
        <w:t>5.  参考公开招标文件组成</w:t>
      </w:r>
    </w:p>
    <w:p w14:paraId="1572EBA2">
      <w:pPr>
        <w:autoSpaceDE w:val="0"/>
        <w:autoSpaceDN w:val="0"/>
        <w:adjustRightInd w:val="0"/>
        <w:snapToGrid w:val="0"/>
        <w:spacing w:line="560" w:lineRule="exact"/>
        <w:ind w:firstLine="600" w:firstLineChars="250"/>
        <w:jc w:val="left"/>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本参考公开招标文件由参考公开招标文件目录所列内容及按本参考公开招标文件要求发出的澄清、答疑和修改组成。</w:t>
      </w:r>
    </w:p>
    <w:p w14:paraId="74C66B3B">
      <w:pPr>
        <w:pStyle w:val="30"/>
        <w:tabs>
          <w:tab w:val="left" w:pos="955"/>
        </w:tabs>
        <w:spacing w:after="0" w:line="560" w:lineRule="exact"/>
        <w:ind w:left="1146" w:leftChars="273" w:hanging="573" w:hangingChars="238"/>
        <w:rPr>
          <w:rFonts w:ascii="宋体" w:hAnsi="宋体" w:eastAsia="宋体" w:cs="宋体"/>
          <w:b/>
          <w:color w:val="000000" w:themeColor="text1"/>
          <w:sz w:val="24"/>
          <w:highlight w:val="none"/>
          <w14:textFill>
            <w14:solidFill>
              <w14:schemeClr w14:val="tx1"/>
            </w14:solidFill>
          </w14:textFill>
        </w:rPr>
      </w:pPr>
      <w:bookmarkStart w:id="53" w:name="_Toc346306736"/>
      <w:bookmarkEnd w:id="53"/>
      <w:bookmarkStart w:id="54" w:name="_Toc346372883"/>
      <w:bookmarkEnd w:id="54"/>
      <w:bookmarkStart w:id="55" w:name="_Toc352332857"/>
      <w:bookmarkEnd w:id="55"/>
      <w:r>
        <w:rPr>
          <w:rFonts w:hint="eastAsia" w:ascii="宋体" w:hAnsi="宋体" w:eastAsia="宋体" w:cs="宋体"/>
          <w:b/>
          <w:color w:val="000000" w:themeColor="text1"/>
          <w:sz w:val="24"/>
          <w:highlight w:val="none"/>
          <w14:textFill>
            <w14:solidFill>
              <w14:schemeClr w14:val="tx1"/>
            </w14:solidFill>
          </w14:textFill>
        </w:rPr>
        <w:t>6.  参考公开招标文件答疑</w:t>
      </w:r>
    </w:p>
    <w:p w14:paraId="7B0CBE46">
      <w:pPr>
        <w:autoSpaceDE w:val="0"/>
        <w:autoSpaceDN w:val="0"/>
        <w:adjustRightInd w:val="0"/>
        <w:snapToGrid w:val="0"/>
        <w:spacing w:line="560" w:lineRule="exact"/>
        <w:ind w:firstLine="600" w:firstLineChars="250"/>
        <w:jc w:val="left"/>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6.1 已依法领取了电子招标文件的供应商，</w:t>
      </w:r>
      <w:r>
        <w:rPr>
          <w:rFonts w:hint="eastAsia" w:ascii="宋体" w:hAnsi="宋体" w:eastAsia="宋体" w:cs="宋体"/>
          <w:b/>
          <w:bCs/>
          <w:color w:val="000000" w:themeColor="text1"/>
          <w:kern w:val="0"/>
          <w:sz w:val="24"/>
          <w:highlight w:val="none"/>
          <w14:textFill>
            <w14:solidFill>
              <w14:schemeClr w14:val="tx1"/>
            </w14:solidFill>
          </w14:textFill>
        </w:rPr>
        <w:t>认为电子招标文件存在歧视性条款或不合理要求等需要澄清的问题，可要求对电子招标文件进行澄清。要求澄清的供应商应于前附表第7项所述时间以前以书面形式一次性全部提出，并通知到采购代理机构。</w:t>
      </w:r>
      <w:r>
        <w:rPr>
          <w:rFonts w:hint="eastAsia" w:ascii="宋体" w:hAnsi="宋体" w:eastAsia="宋体" w:cs="宋体"/>
          <w:color w:val="000000" w:themeColor="text1"/>
          <w:kern w:val="0"/>
          <w:sz w:val="24"/>
          <w:highlight w:val="none"/>
          <w14:textFill>
            <w14:solidFill>
              <w14:schemeClr w14:val="tx1"/>
            </w14:solidFill>
          </w14:textFill>
        </w:rPr>
        <w:t>在前附表第7项所述时间之前，采购代理机构将视情况按前附表第7项规定的方式予以答复。潜在供应商自行查阅网站信息，未按要求查阅者自行承担相应后果。</w:t>
      </w:r>
    </w:p>
    <w:p w14:paraId="32EC8FC6">
      <w:pPr>
        <w:autoSpaceDE w:val="0"/>
        <w:autoSpaceDN w:val="0"/>
        <w:adjustRightInd w:val="0"/>
        <w:snapToGrid w:val="0"/>
        <w:spacing w:line="560" w:lineRule="exact"/>
        <w:ind w:firstLine="600" w:firstLineChars="250"/>
        <w:jc w:val="lef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6.2 如果答疑发出的时间距投标截止时间不足3天，且答疑的内容可能影响电子投标文件的制作，应相应延长提交电子投标文件的截止时间和日期。在这种情况下，采购代理机构和供应商受投标截止期制约的所有权利和义务均相应延长至新的截止日期。</w:t>
      </w:r>
    </w:p>
    <w:p w14:paraId="38545AA6">
      <w:pPr>
        <w:pStyle w:val="30"/>
        <w:tabs>
          <w:tab w:val="left" w:pos="955"/>
        </w:tabs>
        <w:spacing w:after="0" w:line="560" w:lineRule="exact"/>
        <w:ind w:left="1146" w:leftChars="273" w:hanging="573" w:hangingChars="238"/>
        <w:rPr>
          <w:rFonts w:ascii="宋体" w:hAnsi="宋体" w:eastAsia="宋体" w:cs="宋体"/>
          <w:b/>
          <w:color w:val="000000" w:themeColor="text1"/>
          <w:sz w:val="24"/>
          <w:highlight w:val="none"/>
          <w14:textFill>
            <w14:solidFill>
              <w14:schemeClr w14:val="tx1"/>
            </w14:solidFill>
          </w14:textFill>
        </w:rPr>
      </w:pPr>
      <w:bookmarkStart w:id="56" w:name="_Toc352332858"/>
      <w:bookmarkEnd w:id="56"/>
      <w:bookmarkStart w:id="57" w:name="_Toc346306737"/>
      <w:bookmarkEnd w:id="57"/>
      <w:bookmarkStart w:id="58" w:name="_Toc346372884"/>
      <w:bookmarkEnd w:id="58"/>
      <w:r>
        <w:rPr>
          <w:rFonts w:hint="eastAsia" w:ascii="宋体" w:hAnsi="宋体" w:eastAsia="宋体" w:cs="宋体"/>
          <w:b/>
          <w:color w:val="000000" w:themeColor="text1"/>
          <w:sz w:val="24"/>
          <w:highlight w:val="none"/>
          <w14:textFill>
            <w14:solidFill>
              <w14:schemeClr w14:val="tx1"/>
            </w14:solidFill>
          </w14:textFill>
        </w:rPr>
        <w:t>7.  参考公开招标文件澄清和修改</w:t>
      </w:r>
    </w:p>
    <w:p w14:paraId="1726633B">
      <w:pPr>
        <w:autoSpaceDE w:val="0"/>
        <w:autoSpaceDN w:val="0"/>
        <w:adjustRightInd w:val="0"/>
        <w:snapToGrid w:val="0"/>
        <w:spacing w:line="560" w:lineRule="exact"/>
        <w:ind w:firstLine="600" w:firstLineChars="250"/>
        <w:jc w:val="left"/>
        <w:rPr>
          <w:rFonts w:ascii="宋体" w:hAnsi="宋体" w:eastAsia="宋体" w:cs="TimesNewRomanPSMT"/>
          <w:color w:val="000000" w:themeColor="text1"/>
          <w:kern w:val="0"/>
          <w:sz w:val="24"/>
          <w:highlight w:val="none"/>
          <w14:textFill>
            <w14:solidFill>
              <w14:schemeClr w14:val="tx1"/>
            </w14:solidFill>
          </w14:textFill>
        </w:rPr>
      </w:pPr>
      <w:r>
        <w:rPr>
          <w:rFonts w:hint="eastAsia" w:ascii="宋体" w:hAnsi="宋体" w:eastAsia="宋体" w:cs="TimesNewRomanPSMT"/>
          <w:color w:val="000000" w:themeColor="text1"/>
          <w:kern w:val="0"/>
          <w:sz w:val="24"/>
          <w:highlight w:val="none"/>
          <w14:textFill>
            <w14:solidFill>
              <w14:schemeClr w14:val="tx1"/>
            </w14:solidFill>
          </w14:textFill>
        </w:rPr>
        <w:t>7.1 采购代理机构对电子公开文件有澄清或修改的内容，将按前附表规定的方式发布。澄清、修改文件作为招标文件的组成部分，对所有供应商具有约束力。</w:t>
      </w:r>
    </w:p>
    <w:p w14:paraId="36B98881">
      <w:pPr>
        <w:autoSpaceDE w:val="0"/>
        <w:autoSpaceDN w:val="0"/>
        <w:adjustRightInd w:val="0"/>
        <w:snapToGrid w:val="0"/>
        <w:spacing w:line="560" w:lineRule="exact"/>
        <w:ind w:firstLine="600" w:firstLineChars="250"/>
        <w:jc w:val="left"/>
        <w:rPr>
          <w:rFonts w:ascii="宋体" w:hAnsi="宋体" w:eastAsia="宋体" w:cs="TimesNewRomanPSMT"/>
          <w:color w:val="000000" w:themeColor="text1"/>
          <w:kern w:val="0"/>
          <w:sz w:val="24"/>
          <w:highlight w:val="none"/>
          <w14:textFill>
            <w14:solidFill>
              <w14:schemeClr w14:val="tx1"/>
            </w14:solidFill>
          </w14:textFill>
        </w:rPr>
      </w:pPr>
      <w:r>
        <w:rPr>
          <w:rFonts w:hint="eastAsia" w:ascii="宋体" w:hAnsi="宋体" w:eastAsia="宋体" w:cs="TimesNewRomanPSMT"/>
          <w:color w:val="000000" w:themeColor="text1"/>
          <w:kern w:val="0"/>
          <w:sz w:val="24"/>
          <w:highlight w:val="none"/>
          <w14:textFill>
            <w14:solidFill>
              <w14:schemeClr w14:val="tx1"/>
            </w14:solidFill>
          </w14:textFill>
        </w:rPr>
        <w:t>7.2 如果澄清或修改的内容发出的时间距提交电子投标文件截止时间不足3天，且澄清或修改的内容可能影响电子投标文件的制作，相应延长提交电子投标文件的截止时间和日期。在这种情况下，采购代理机构和供应商受提交电子投标文件截止期制约的所有权利和义务均相应延长至新的截止日期。</w:t>
      </w:r>
    </w:p>
    <w:p w14:paraId="06B68DF1">
      <w:pPr>
        <w:autoSpaceDE w:val="0"/>
        <w:autoSpaceDN w:val="0"/>
        <w:adjustRightInd w:val="0"/>
        <w:snapToGrid w:val="0"/>
        <w:spacing w:line="560" w:lineRule="exact"/>
        <w:ind w:firstLine="600" w:firstLineChars="250"/>
        <w:jc w:val="left"/>
        <w:rPr>
          <w:rFonts w:ascii="宋体" w:hAnsi="宋体" w:eastAsia="宋体" w:cs="TimesNewRomanPSMT"/>
          <w:color w:val="000000" w:themeColor="text1"/>
          <w:kern w:val="0"/>
          <w:sz w:val="24"/>
          <w:highlight w:val="none"/>
          <w14:textFill>
            <w14:solidFill>
              <w14:schemeClr w14:val="tx1"/>
            </w14:solidFill>
          </w14:textFill>
        </w:rPr>
      </w:pPr>
      <w:r>
        <w:rPr>
          <w:rFonts w:hint="eastAsia" w:ascii="宋体" w:hAnsi="宋体" w:eastAsia="宋体" w:cs="TimesNewRomanPSMT"/>
          <w:color w:val="000000" w:themeColor="text1"/>
          <w:kern w:val="0"/>
          <w:sz w:val="24"/>
          <w:highlight w:val="none"/>
          <w14:textFill>
            <w14:solidFill>
              <w14:schemeClr w14:val="tx1"/>
            </w14:solidFill>
          </w14:textFill>
        </w:rPr>
        <w:t>7.3 澄清、修改、补遗一经发布即生效，无需回复，未按要求查阅者自行承担相应后果。采购代理不因此承担任何责任，有关的采购活动可以继续有效地进行。</w:t>
      </w:r>
    </w:p>
    <w:p w14:paraId="246FF832">
      <w:pPr>
        <w:autoSpaceDE w:val="0"/>
        <w:autoSpaceDN w:val="0"/>
        <w:adjustRightInd w:val="0"/>
        <w:snapToGrid w:val="0"/>
        <w:spacing w:line="560" w:lineRule="exact"/>
        <w:ind w:firstLine="600" w:firstLineChars="250"/>
        <w:jc w:val="left"/>
        <w:rPr>
          <w:rFonts w:ascii="宋体" w:hAnsi="宋体" w:eastAsia="宋体" w:cs="TimesNewRomanPSMT"/>
          <w:color w:val="000000" w:themeColor="text1"/>
          <w:kern w:val="0"/>
          <w:sz w:val="24"/>
          <w:highlight w:val="none"/>
          <w14:textFill>
            <w14:solidFill>
              <w14:schemeClr w14:val="tx1"/>
            </w14:solidFill>
          </w14:textFill>
        </w:rPr>
      </w:pPr>
      <w:r>
        <w:rPr>
          <w:rFonts w:hint="eastAsia" w:ascii="宋体" w:hAnsi="宋体" w:eastAsia="宋体" w:cs="TimesNewRomanPSMT"/>
          <w:color w:val="000000" w:themeColor="text1"/>
          <w:kern w:val="0"/>
          <w:sz w:val="24"/>
          <w:highlight w:val="none"/>
          <w14:textFill>
            <w14:solidFill>
              <w14:schemeClr w14:val="tx1"/>
            </w14:solidFill>
          </w14:textFill>
        </w:rPr>
        <w:t>7.4 因潜在供应商未及时查看网站信息造成的潜在风险，采购代理机构不因此承担任何责任，有关的招标活动可以继续有效地进行。</w:t>
      </w:r>
    </w:p>
    <w:p w14:paraId="76915EFE">
      <w:pPr>
        <w:spacing w:line="480" w:lineRule="exact"/>
        <w:outlineLvl w:val="1"/>
        <w:rPr>
          <w:rFonts w:ascii="宋体" w:hAnsi="宋体" w:eastAsia="宋体" w:cs="宋体"/>
          <w:b/>
          <w:color w:val="000000" w:themeColor="text1"/>
          <w:sz w:val="24"/>
          <w:highlight w:val="none"/>
          <w14:textFill>
            <w14:solidFill>
              <w14:schemeClr w14:val="tx1"/>
            </w14:solidFill>
          </w14:textFill>
        </w:rPr>
      </w:pPr>
      <w:bookmarkStart w:id="59" w:name="_Toc4689"/>
      <w:r>
        <w:rPr>
          <w:rFonts w:hint="eastAsia" w:ascii="宋体" w:hAnsi="宋体" w:eastAsia="宋体" w:cs="宋体"/>
          <w:b/>
          <w:color w:val="000000" w:themeColor="text1"/>
          <w:sz w:val="24"/>
          <w:highlight w:val="none"/>
          <w14:textFill>
            <w14:solidFill>
              <w14:schemeClr w14:val="tx1"/>
            </w14:solidFill>
          </w14:textFill>
        </w:rPr>
        <w:t>三、电子投标文件编写</w:t>
      </w:r>
      <w:bookmarkEnd w:id="59"/>
    </w:p>
    <w:p w14:paraId="41F62564">
      <w:pPr>
        <w:pStyle w:val="30"/>
        <w:tabs>
          <w:tab w:val="left" w:pos="955"/>
        </w:tabs>
        <w:spacing w:after="0" w:line="560" w:lineRule="exact"/>
        <w:ind w:left="1146" w:leftChars="273" w:hanging="573" w:hangingChars="238"/>
        <w:rPr>
          <w:rFonts w:ascii="宋体" w:hAnsi="宋体" w:eastAsia="宋体" w:cs="宋体"/>
          <w:b/>
          <w:color w:val="000000" w:themeColor="text1"/>
          <w:sz w:val="24"/>
          <w:highlight w:val="none"/>
          <w14:textFill>
            <w14:solidFill>
              <w14:schemeClr w14:val="tx1"/>
            </w14:solidFill>
          </w14:textFill>
        </w:rPr>
      </w:pPr>
      <w:bookmarkStart w:id="60" w:name="_Toc346306739"/>
      <w:bookmarkEnd w:id="60"/>
      <w:bookmarkStart w:id="61" w:name="_Toc352332860"/>
      <w:bookmarkEnd w:id="61"/>
      <w:bookmarkStart w:id="62" w:name="_Toc346372886"/>
      <w:bookmarkEnd w:id="62"/>
      <w:r>
        <w:rPr>
          <w:rFonts w:hint="eastAsia" w:ascii="宋体" w:hAnsi="宋体" w:eastAsia="宋体" w:cs="宋体"/>
          <w:b/>
          <w:color w:val="000000" w:themeColor="text1"/>
          <w:sz w:val="24"/>
          <w:highlight w:val="none"/>
          <w14:textFill>
            <w14:solidFill>
              <w14:schemeClr w14:val="tx1"/>
            </w14:solidFill>
          </w14:textFill>
        </w:rPr>
        <w:t>8.  投标语言及计量单位</w:t>
      </w:r>
    </w:p>
    <w:p w14:paraId="1B05558E">
      <w:pPr>
        <w:autoSpaceDE w:val="0"/>
        <w:autoSpaceDN w:val="0"/>
        <w:adjustRightInd w:val="0"/>
        <w:snapToGrid w:val="0"/>
        <w:spacing w:line="560" w:lineRule="exact"/>
        <w:ind w:firstLine="600" w:firstLineChars="250"/>
        <w:jc w:val="left"/>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8.1  供应商和采购代理机构就招投标交换的文件和来往信函均使用中文。</w:t>
      </w:r>
    </w:p>
    <w:p w14:paraId="36AFF577">
      <w:pPr>
        <w:autoSpaceDE w:val="0"/>
        <w:autoSpaceDN w:val="0"/>
        <w:adjustRightInd w:val="0"/>
        <w:snapToGrid w:val="0"/>
        <w:spacing w:line="560" w:lineRule="exact"/>
        <w:ind w:firstLine="600" w:firstLineChars="250"/>
        <w:jc w:val="left"/>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8.2  除参考公开招标文件的技术要求中另有规定外，电子投标文件中所使用的计量单位应使用中华人民共和国法定计量单位。</w:t>
      </w:r>
    </w:p>
    <w:p w14:paraId="176897A5">
      <w:pPr>
        <w:pStyle w:val="30"/>
        <w:tabs>
          <w:tab w:val="left" w:pos="955"/>
        </w:tabs>
        <w:spacing w:after="0" w:line="560" w:lineRule="exact"/>
        <w:ind w:left="1146" w:leftChars="273" w:hanging="573" w:hangingChars="238"/>
        <w:rPr>
          <w:rFonts w:ascii="宋体" w:hAnsi="宋体" w:eastAsia="宋体" w:cs="宋体"/>
          <w:b/>
          <w:color w:val="000000" w:themeColor="text1"/>
          <w:sz w:val="24"/>
          <w:highlight w:val="none"/>
          <w14:textFill>
            <w14:solidFill>
              <w14:schemeClr w14:val="tx1"/>
            </w14:solidFill>
          </w14:textFill>
        </w:rPr>
      </w:pPr>
      <w:bookmarkStart w:id="63" w:name="_Toc346372887"/>
      <w:bookmarkEnd w:id="63"/>
      <w:bookmarkStart w:id="64" w:name="_Toc352332861"/>
      <w:bookmarkEnd w:id="64"/>
      <w:bookmarkStart w:id="65" w:name="_Toc346306740"/>
      <w:bookmarkEnd w:id="65"/>
      <w:r>
        <w:rPr>
          <w:rFonts w:hint="eastAsia" w:ascii="宋体" w:hAnsi="宋体" w:eastAsia="宋体" w:cs="宋体"/>
          <w:b/>
          <w:color w:val="000000" w:themeColor="text1"/>
          <w:sz w:val="24"/>
          <w:highlight w:val="none"/>
          <w14:textFill>
            <w14:solidFill>
              <w14:schemeClr w14:val="tx1"/>
            </w14:solidFill>
          </w14:textFill>
        </w:rPr>
        <w:t>9.  电子投标文件组成</w:t>
      </w:r>
    </w:p>
    <w:p w14:paraId="228E5E60">
      <w:pPr>
        <w:pStyle w:val="30"/>
        <w:spacing w:after="0" w:line="560" w:lineRule="exact"/>
        <w:ind w:firstLine="573" w:firstLine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电子投标文件由四部分组成，包括证明文件、报价表、商务文件、技术文件。</w:t>
      </w:r>
    </w:p>
    <w:p w14:paraId="4AC73CA6">
      <w:pPr>
        <w:pStyle w:val="30"/>
        <w:spacing w:after="0" w:line="560" w:lineRule="exact"/>
        <w:ind w:firstLine="573" w:firstLineChars="238"/>
        <w:rPr>
          <w:rFonts w:ascii="宋体" w:hAnsi="宋体" w:eastAsia="宋体" w:cs="宋体"/>
          <w:b/>
          <w:color w:val="000000" w:themeColor="text1"/>
          <w:sz w:val="24"/>
          <w:highlight w:val="none"/>
          <w14:textFill>
            <w14:solidFill>
              <w14:schemeClr w14:val="tx1"/>
            </w14:solidFill>
          </w14:textFill>
        </w:rPr>
      </w:pPr>
      <w:bookmarkStart w:id="66" w:name="_Toc352332863"/>
      <w:bookmarkStart w:id="67" w:name="_Toc346306742"/>
      <w:bookmarkStart w:id="68" w:name="_Toc346372889"/>
      <w:r>
        <w:rPr>
          <w:rFonts w:hint="eastAsia" w:ascii="宋体" w:hAnsi="宋体" w:eastAsia="宋体" w:cs="宋体"/>
          <w:b/>
          <w:color w:val="000000" w:themeColor="text1"/>
          <w:sz w:val="24"/>
          <w:highlight w:val="none"/>
          <w14:textFill>
            <w14:solidFill>
              <w14:schemeClr w14:val="tx1"/>
            </w14:solidFill>
          </w14:textFill>
        </w:rPr>
        <w:t>9.1 证明文件</w:t>
      </w:r>
    </w:p>
    <w:p w14:paraId="586E99D9">
      <w:pPr>
        <w:pStyle w:val="30"/>
        <w:spacing w:after="0" w:line="560" w:lineRule="exact"/>
        <w:ind w:firstLine="573" w:firstLine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9.1.1资格证明文件（上传扫描件）</w:t>
      </w:r>
    </w:p>
    <w:p w14:paraId="2611091A">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（1）诚信廉政承诺书；</w:t>
      </w:r>
    </w:p>
    <w:p w14:paraId="7696FA2A">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（2）营业执照；</w:t>
      </w:r>
    </w:p>
    <w:p w14:paraId="190827A7">
      <w:pPr>
        <w:pStyle w:val="30"/>
        <w:spacing w:after="0" w:line="560" w:lineRule="exact"/>
        <w:ind w:firstLine="571" w:firstLineChars="238"/>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（3）法定代表人身份证明（加盖公章）；注：若法定代表人参加投标的需提供法定代表人身份证明</w:t>
      </w:r>
      <w:r>
        <w:rPr>
          <w:rFonts w:hint="eastAsia" w:ascii="宋体" w:hAnsi="宋体" w:eastAsia="宋体" w:cs="宋体"/>
          <w:color w:val="000000" w:themeColor="text1"/>
          <w:sz w:val="24"/>
          <w:highlight w:val="none"/>
          <w:lang w:eastAsia="zh-CN"/>
          <w14:textFill>
            <w14:solidFill>
              <w14:schemeClr w14:val="tx1"/>
            </w14:solidFill>
          </w14:textFill>
        </w:rPr>
        <w:t>；</w:t>
      </w:r>
    </w:p>
    <w:p w14:paraId="68E5F806">
      <w:pPr>
        <w:pStyle w:val="30"/>
        <w:spacing w:after="0" w:line="560" w:lineRule="exact"/>
        <w:ind w:firstLine="571" w:firstLineChars="238"/>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（4）法定代表人授权委托书（见附件）；注：若授权代理人参加投标的需提供法定代表人授权委托书</w:t>
      </w:r>
      <w:r>
        <w:rPr>
          <w:rFonts w:hint="eastAsia" w:ascii="宋体" w:hAnsi="宋体" w:eastAsia="宋体" w:cs="宋体"/>
          <w:color w:val="000000" w:themeColor="text1"/>
          <w:sz w:val="24"/>
          <w:highlight w:val="none"/>
          <w:lang w:eastAsia="zh-CN"/>
          <w14:textFill>
            <w14:solidFill>
              <w14:schemeClr w14:val="tx1"/>
            </w14:solidFill>
          </w14:textFill>
        </w:rPr>
        <w:t>；</w:t>
      </w:r>
    </w:p>
    <w:p w14:paraId="5968ED86">
      <w:pPr>
        <w:pStyle w:val="30"/>
        <w:spacing w:after="0" w:line="560" w:lineRule="exact"/>
        <w:ind w:firstLine="571" w:firstLineChars="238"/>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（5）供应商依法缴纳税收和社会保障资金的证明材料（见附件）；</w:t>
      </w:r>
    </w:p>
    <w:p w14:paraId="296D0460">
      <w:pPr>
        <w:pStyle w:val="30"/>
        <w:spacing w:after="0" w:line="560" w:lineRule="exact"/>
        <w:ind w:firstLine="571" w:firstLineChars="238"/>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（6）供应商具有良好的商业信誉及健全的财务会计制度的证明材料（见附件）；</w:t>
      </w:r>
    </w:p>
    <w:p w14:paraId="564D906B">
      <w:pPr>
        <w:pStyle w:val="30"/>
        <w:spacing w:after="0" w:line="560" w:lineRule="exact"/>
        <w:ind w:firstLine="571" w:firstLineChars="238"/>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（7）履行合同所必需的设备和专业技术能力的证明材料（见附件）；</w:t>
      </w:r>
    </w:p>
    <w:p w14:paraId="78AA45E3">
      <w:pPr>
        <w:pStyle w:val="30"/>
        <w:spacing w:after="0" w:line="560" w:lineRule="exact"/>
        <w:ind w:firstLine="571" w:firstLineChars="238"/>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（8）参加政府采购活动前3年内在经营活动中没有重大违法记录的书面声明（见附件）</w:t>
      </w:r>
      <w:r>
        <w:rPr>
          <w:rFonts w:hint="eastAsia" w:ascii="宋体" w:hAnsi="宋体" w:eastAsia="宋体" w:cs="宋体"/>
          <w:color w:val="000000" w:themeColor="text1"/>
          <w:sz w:val="24"/>
          <w:highlight w:val="none"/>
          <w:lang w:eastAsia="zh-CN"/>
          <w14:textFill>
            <w14:solidFill>
              <w14:schemeClr w14:val="tx1"/>
            </w14:solidFill>
          </w14:textFill>
        </w:rPr>
        <w:t>。</w:t>
      </w:r>
    </w:p>
    <w:p w14:paraId="4C6B8281">
      <w:pPr>
        <w:pStyle w:val="30"/>
        <w:spacing w:after="0" w:line="560" w:lineRule="exact"/>
        <w:ind w:firstLine="571" w:firstLineChars="238"/>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9</w:t>
      </w:r>
      <w:r>
        <w:rPr>
          <w:rFonts w:hint="eastAsia" w:ascii="宋体" w:hAnsi="宋体" w:eastAsia="宋体" w:cs="宋体"/>
          <w:color w:val="000000" w:themeColor="text1"/>
          <w:sz w:val="24"/>
          <w:highlight w:val="none"/>
          <w:lang w:eastAsia="zh-CN"/>
          <w14:textFill>
            <w14:solidFill>
              <w14:schemeClr w14:val="tx1"/>
            </w14:solidFill>
          </w14:textFill>
        </w:rPr>
        <w:t>）有效的</w:t>
      </w:r>
      <w:r>
        <w:rPr>
          <w:rFonts w:hint="eastAsia" w:ascii="宋体" w:hAnsi="宋体" w:eastAsia="宋体" w:cs="宋体"/>
          <w:color w:val="000000" w:themeColor="text1"/>
          <w:sz w:val="24"/>
          <w:highlight w:val="none"/>
          <w:lang w:val="en-US" w:eastAsia="zh-CN"/>
          <w14:textFill>
            <w14:solidFill>
              <w14:schemeClr w14:val="tx1"/>
            </w14:solidFill>
          </w14:textFill>
        </w:rPr>
        <w:t>《经营保险业务许可证》</w:t>
      </w:r>
      <w:r>
        <w:rPr>
          <w:rFonts w:hint="eastAsia" w:ascii="宋体" w:hAnsi="宋体" w:eastAsia="宋体" w:cs="宋体"/>
          <w:color w:val="000000" w:themeColor="text1"/>
          <w:sz w:val="24"/>
          <w:highlight w:val="none"/>
          <w:lang w:eastAsia="zh-CN"/>
          <w14:textFill>
            <w14:solidFill>
              <w14:schemeClr w14:val="tx1"/>
            </w14:solidFill>
          </w14:textFill>
        </w:rPr>
        <w:t>；</w:t>
      </w:r>
    </w:p>
    <w:p w14:paraId="2D7B0971">
      <w:pPr>
        <w:pStyle w:val="30"/>
        <w:spacing w:after="0" w:line="560" w:lineRule="exact"/>
        <w:ind w:firstLine="571" w:firstLineChars="238"/>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10</w:t>
      </w:r>
      <w:r>
        <w:rPr>
          <w:rFonts w:hint="eastAsia" w:ascii="宋体" w:hAnsi="宋体" w:eastAsia="宋体" w:cs="宋体"/>
          <w:color w:val="000000" w:themeColor="text1"/>
          <w:sz w:val="24"/>
          <w:highlight w:val="none"/>
          <w:lang w:eastAsia="zh-CN"/>
          <w14:textFill>
            <w14:solidFill>
              <w14:schemeClr w14:val="tx1"/>
            </w14:solidFill>
          </w14:textFill>
        </w:rPr>
        <w:t>）联合体投标的，须提供联合体协议书，协议中须明确其他项目负责单位为主牵头人，须约定联合体各方的分工（格式自拟）。</w:t>
      </w:r>
    </w:p>
    <w:p w14:paraId="374820AF">
      <w:pPr>
        <w:spacing w:line="560" w:lineRule="exact"/>
        <w:ind w:firstLine="506" w:firstLineChars="200"/>
        <w:jc w:val="left"/>
        <w:rPr>
          <w:rFonts w:ascii="宋体" w:hAnsi="宋体" w:eastAsia="宋体" w:cs="宋体"/>
          <w:b/>
          <w:color w:val="000000" w:themeColor="text1"/>
          <w:spacing w:val="6"/>
          <w:kern w:val="0"/>
          <w:sz w:val="24"/>
          <w:szCs w:val="20"/>
          <w:highlight w:val="none"/>
          <w:u w:val="single"/>
          <w14:textFill>
            <w14:solidFill>
              <w14:schemeClr w14:val="tx1"/>
            </w14:solidFill>
          </w14:textFill>
        </w:rPr>
      </w:pPr>
      <w:r>
        <w:rPr>
          <w:rFonts w:hint="eastAsia" w:ascii="宋体" w:hAnsi="宋体" w:eastAsia="宋体" w:cs="宋体"/>
          <w:b/>
          <w:color w:val="000000" w:themeColor="text1"/>
          <w:spacing w:val="6"/>
          <w:kern w:val="0"/>
          <w:sz w:val="24"/>
          <w:szCs w:val="20"/>
          <w:highlight w:val="none"/>
          <w:u w:val="single"/>
          <w14:textFill>
            <w14:solidFill>
              <w14:schemeClr w14:val="tx1"/>
            </w14:solidFill>
          </w14:textFill>
        </w:rPr>
        <w:t>注：（A）成立时间较短的单位，可以提供从成立至今所需要的资料。</w:t>
      </w:r>
    </w:p>
    <w:p w14:paraId="651A9FEE">
      <w:pPr>
        <w:spacing w:line="560" w:lineRule="exact"/>
        <w:ind w:firstLine="506" w:firstLineChars="200"/>
        <w:jc w:val="left"/>
        <w:rPr>
          <w:rFonts w:ascii="宋体" w:hAnsi="宋体" w:eastAsia="宋体" w:cs="宋体"/>
          <w:b/>
          <w:color w:val="000000" w:themeColor="text1"/>
          <w:spacing w:val="6"/>
          <w:kern w:val="0"/>
          <w:sz w:val="24"/>
          <w:szCs w:val="20"/>
          <w:highlight w:val="none"/>
          <w:u w:val="single"/>
          <w14:textFill>
            <w14:solidFill>
              <w14:schemeClr w14:val="tx1"/>
            </w14:solidFill>
          </w14:textFill>
        </w:rPr>
      </w:pPr>
      <w:r>
        <w:rPr>
          <w:rFonts w:hint="eastAsia" w:ascii="宋体" w:hAnsi="宋体" w:eastAsia="宋体" w:cs="宋体"/>
          <w:b/>
          <w:color w:val="000000" w:themeColor="text1"/>
          <w:spacing w:val="6"/>
          <w:kern w:val="0"/>
          <w:sz w:val="24"/>
          <w:szCs w:val="20"/>
          <w:highlight w:val="none"/>
          <w:u w:val="single"/>
          <w14:textFill>
            <w14:solidFill>
              <w14:schemeClr w14:val="tx1"/>
            </w14:solidFill>
          </w14:textFill>
        </w:rPr>
        <w:t>（B）已办理“三证合一”的只需要提供营业执照副本；供应商：（a）是企业（包括合伙企业）的，应提供其在工商部门注册的有效“企业法人营业执照”或“营业执照”的扫描件；（b）是事业单位的，应提供其有效的“事业单位法人证书”扫描件； （c）是非企业专业服务机构的，应提供其有效的执业许可证扫描件；（d）是个体工商户的，应提供其有效的“个体工商户营业执照”扫描件；（e）是自然人的，应提供其有效的自然人身份证明。</w:t>
      </w:r>
    </w:p>
    <w:p w14:paraId="49765CCE">
      <w:pPr>
        <w:spacing w:line="560" w:lineRule="exact"/>
        <w:ind w:firstLine="506" w:firstLineChars="200"/>
        <w:jc w:val="left"/>
        <w:rPr>
          <w:rFonts w:ascii="宋体" w:hAnsi="宋体" w:eastAsia="宋体" w:cs="宋体"/>
          <w:b/>
          <w:color w:val="000000" w:themeColor="text1"/>
          <w:spacing w:val="6"/>
          <w:kern w:val="0"/>
          <w:sz w:val="24"/>
          <w:szCs w:val="20"/>
          <w:highlight w:val="none"/>
          <w:u w:val="single"/>
          <w14:textFill>
            <w14:solidFill>
              <w14:schemeClr w14:val="tx1"/>
            </w14:solidFill>
          </w14:textFill>
        </w:rPr>
      </w:pPr>
      <w:r>
        <w:rPr>
          <w:rFonts w:hint="eastAsia" w:ascii="宋体" w:hAnsi="宋体" w:eastAsia="宋体" w:cs="宋体"/>
          <w:b/>
          <w:color w:val="000000" w:themeColor="text1"/>
          <w:spacing w:val="6"/>
          <w:kern w:val="0"/>
          <w:sz w:val="24"/>
          <w:szCs w:val="20"/>
          <w:highlight w:val="none"/>
          <w:u w:val="single"/>
          <w14:textFill>
            <w14:solidFill>
              <w14:schemeClr w14:val="tx1"/>
            </w14:solidFill>
          </w14:textFill>
        </w:rPr>
        <w:t>（C）招标公告中允许联合体投标的，则两个以上的自然人、法人或者其他组织组成一个联合体，以一个供应商的身份共同参加采购活动的，应当对所有联合体成员进行信用记录查询，联合体成员存在不良信用记录的，视同联合体存在不良信用记录。</w:t>
      </w:r>
    </w:p>
    <w:p w14:paraId="41C8BB52">
      <w:pPr>
        <w:spacing w:line="560" w:lineRule="exact"/>
        <w:ind w:firstLine="506" w:firstLineChars="200"/>
        <w:jc w:val="left"/>
        <w:rPr>
          <w:rFonts w:hint="eastAsia" w:ascii="宋体" w:hAnsi="宋体" w:eastAsia="宋体" w:cs="宋体"/>
          <w:b/>
          <w:color w:val="000000" w:themeColor="text1"/>
          <w:spacing w:val="6"/>
          <w:kern w:val="0"/>
          <w:sz w:val="24"/>
          <w:szCs w:val="20"/>
          <w:highlight w:val="none"/>
          <w:u w:val="single"/>
          <w14:textFill>
            <w14:solidFill>
              <w14:schemeClr w14:val="tx1"/>
            </w14:solidFill>
          </w14:textFill>
        </w:rPr>
      </w:pPr>
      <w:r>
        <w:rPr>
          <w:rFonts w:hint="eastAsia" w:ascii="宋体" w:hAnsi="宋体" w:eastAsia="宋体" w:cs="宋体"/>
          <w:b/>
          <w:color w:val="000000" w:themeColor="text1"/>
          <w:spacing w:val="6"/>
          <w:kern w:val="0"/>
          <w:sz w:val="24"/>
          <w:szCs w:val="20"/>
          <w:highlight w:val="none"/>
          <w:u w:val="single"/>
          <w14:textFill>
            <w14:solidFill>
              <w14:schemeClr w14:val="tx1"/>
            </w14:solidFill>
          </w14:textFill>
        </w:rPr>
        <w:t>资格审查（1）-（</w:t>
      </w:r>
      <w:r>
        <w:rPr>
          <w:rFonts w:hint="eastAsia" w:ascii="宋体" w:hAnsi="宋体" w:eastAsia="宋体" w:cs="宋体"/>
          <w:b/>
          <w:color w:val="000000" w:themeColor="text1"/>
          <w:spacing w:val="6"/>
          <w:kern w:val="0"/>
          <w:sz w:val="24"/>
          <w:szCs w:val="20"/>
          <w:highlight w:val="none"/>
          <w:u w:val="single"/>
          <w:lang w:val="en-US" w:eastAsia="zh-CN"/>
          <w14:textFill>
            <w14:solidFill>
              <w14:schemeClr w14:val="tx1"/>
            </w14:solidFill>
          </w14:textFill>
        </w:rPr>
        <w:t>9</w:t>
      </w:r>
      <w:r>
        <w:rPr>
          <w:rFonts w:hint="eastAsia" w:ascii="宋体" w:hAnsi="宋体" w:eastAsia="宋体" w:cs="宋体"/>
          <w:b/>
          <w:color w:val="000000" w:themeColor="text1"/>
          <w:spacing w:val="6"/>
          <w:kern w:val="0"/>
          <w:sz w:val="24"/>
          <w:szCs w:val="20"/>
          <w:highlight w:val="none"/>
          <w:u w:val="single"/>
          <w14:textFill>
            <w14:solidFill>
              <w14:schemeClr w14:val="tx1"/>
            </w14:solidFill>
          </w14:textFill>
        </w:rPr>
        <w:t>）不合格的不进入评审阶段。</w:t>
      </w:r>
    </w:p>
    <w:p w14:paraId="5CD32187">
      <w:pPr>
        <w:spacing w:line="560" w:lineRule="exact"/>
        <w:ind w:firstLine="506" w:firstLineChars="200"/>
        <w:jc w:val="left"/>
        <w:rPr>
          <w:rFonts w:ascii="宋体" w:hAnsi="宋体" w:eastAsia="宋体" w:cs="宋体"/>
          <w:b/>
          <w:color w:val="000000" w:themeColor="text1"/>
          <w:spacing w:val="6"/>
          <w:kern w:val="0"/>
          <w:sz w:val="24"/>
          <w:szCs w:val="20"/>
          <w:highlight w:val="none"/>
          <w:u w:val="single"/>
          <w14:textFill>
            <w14:solidFill>
              <w14:schemeClr w14:val="tx1"/>
            </w14:solidFill>
          </w14:textFill>
        </w:rPr>
      </w:pPr>
      <w:r>
        <w:rPr>
          <w:rFonts w:hint="eastAsia" w:ascii="宋体" w:hAnsi="宋体" w:eastAsia="宋体" w:cs="宋体"/>
          <w:b/>
          <w:color w:val="000000" w:themeColor="text1"/>
          <w:spacing w:val="6"/>
          <w:kern w:val="0"/>
          <w:sz w:val="24"/>
          <w:szCs w:val="20"/>
          <w:highlight w:val="none"/>
          <w:u w:val="single"/>
          <w14:textFill>
            <w14:solidFill>
              <w14:schemeClr w14:val="tx1"/>
            </w14:solidFill>
          </w14:textFill>
        </w:rPr>
        <w:t>注：银行、保险、石油石化、电力、电信等有行业特殊性的，其分公司具有独立承担民事责任能力，对于本项目是有效投标人。</w:t>
      </w:r>
    </w:p>
    <w:p w14:paraId="2ABA17F4">
      <w:pPr>
        <w:spacing w:line="560" w:lineRule="exact"/>
        <w:ind w:firstLine="506" w:firstLineChars="200"/>
        <w:jc w:val="left"/>
        <w:rPr>
          <w:rFonts w:ascii="宋体" w:hAnsi="宋体" w:eastAsia="宋体" w:cs="宋体"/>
          <w:b/>
          <w:color w:val="000000" w:themeColor="text1"/>
          <w:spacing w:val="6"/>
          <w:kern w:val="0"/>
          <w:sz w:val="24"/>
          <w:szCs w:val="20"/>
          <w:highlight w:val="none"/>
          <w:u w:val="single"/>
          <w14:textFill>
            <w14:solidFill>
              <w14:schemeClr w14:val="tx1"/>
            </w14:solidFill>
          </w14:textFill>
        </w:rPr>
      </w:pPr>
      <w:r>
        <w:rPr>
          <w:rFonts w:hint="eastAsia" w:ascii="宋体" w:hAnsi="宋体" w:eastAsia="宋体" w:cs="宋体"/>
          <w:b/>
          <w:color w:val="000000" w:themeColor="text1"/>
          <w:spacing w:val="6"/>
          <w:kern w:val="0"/>
          <w:sz w:val="24"/>
          <w:szCs w:val="20"/>
          <w:highlight w:val="none"/>
          <w:u w:val="single"/>
          <w14:textFill>
            <w14:solidFill>
              <w14:schemeClr w14:val="tx1"/>
            </w14:solidFill>
          </w14:textFill>
        </w:rPr>
        <w:t>要求提供扫描件的，照片、图片等电子文件与扫描件效力相等。</w:t>
      </w:r>
    </w:p>
    <w:p w14:paraId="4035B24C">
      <w:pPr>
        <w:pStyle w:val="30"/>
        <w:spacing w:after="0" w:line="560" w:lineRule="exact"/>
        <w:ind w:firstLine="573" w:firstLine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9.1.2其它证明文件</w:t>
      </w:r>
    </w:p>
    <w:p w14:paraId="6705F276">
      <w:pPr>
        <w:pStyle w:val="30"/>
        <w:spacing w:after="0" w:line="560" w:lineRule="exact"/>
        <w:ind w:firstLine="811" w:firstLineChars="3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供应商认为需要提交的其他相关证明文件</w:t>
      </w:r>
      <w:r>
        <w:rPr>
          <w:rFonts w:hint="eastAsia" w:ascii="宋体" w:hAnsi="宋体" w:eastAsia="宋体" w:cs="宋体"/>
          <w:b/>
          <w:color w:val="000000" w:themeColor="text1"/>
          <w:sz w:val="24"/>
          <w:highlight w:val="none"/>
          <w14:textFill>
            <w14:solidFill>
              <w14:schemeClr w14:val="tx1"/>
            </w14:solidFill>
          </w14:textFill>
        </w:rPr>
        <w:t>（含法定代表人授权代理人社保证明的扫描件，社保证明须体现授权代理人的姓名、单位，时间为</w:t>
      </w:r>
      <w:r>
        <w:rPr>
          <w:rFonts w:hint="eastAsia" w:ascii="宋体" w:hAnsi="宋体" w:eastAsia="宋体" w:cs="宋体"/>
          <w:b/>
          <w:color w:val="000000" w:themeColor="text1"/>
          <w:sz w:val="24"/>
          <w:highlight w:val="none"/>
          <w:lang w:eastAsia="zh-CN"/>
          <w14:textFill>
            <w14:solidFill>
              <w14:schemeClr w14:val="tx1"/>
            </w14:solidFill>
          </w14:textFill>
        </w:rPr>
        <w:t>202</w:t>
      </w:r>
      <w:r>
        <w:rPr>
          <w:rFonts w:hint="eastAsia" w:ascii="宋体" w:hAnsi="宋体" w:eastAsia="宋体" w:cs="宋体"/>
          <w:b/>
          <w:color w:val="000000" w:themeColor="text1"/>
          <w:sz w:val="24"/>
          <w:highlight w:val="none"/>
          <w:lang w:val="en-US" w:eastAsia="zh-CN"/>
          <w14:textFill>
            <w14:solidFill>
              <w14:schemeClr w14:val="tx1"/>
            </w14:solidFill>
          </w14:textFill>
        </w:rPr>
        <w:t>4</w:t>
      </w:r>
      <w:r>
        <w:rPr>
          <w:rFonts w:hint="eastAsia" w:ascii="宋体" w:hAnsi="宋体" w:eastAsia="宋体" w:cs="宋体"/>
          <w:b/>
          <w:color w:val="000000" w:themeColor="text1"/>
          <w:sz w:val="24"/>
          <w:highlight w:val="none"/>
          <w:lang w:eastAsia="zh-CN"/>
          <w14:textFill>
            <w14:solidFill>
              <w14:schemeClr w14:val="tx1"/>
            </w14:solidFill>
          </w14:textFill>
        </w:rPr>
        <w:t>年</w:t>
      </w:r>
      <w:r>
        <w:rPr>
          <w:rFonts w:hint="eastAsia" w:ascii="宋体" w:hAnsi="宋体" w:eastAsia="宋体" w:cs="宋体"/>
          <w:b/>
          <w:color w:val="000000" w:themeColor="text1"/>
          <w:sz w:val="24"/>
          <w:highlight w:val="none"/>
          <w:lang w:val="en-US" w:eastAsia="zh-CN"/>
          <w14:textFill>
            <w14:solidFill>
              <w14:schemeClr w14:val="tx1"/>
            </w14:solidFill>
          </w14:textFill>
        </w:rPr>
        <w:t>10</w:t>
      </w:r>
      <w:r>
        <w:rPr>
          <w:rFonts w:hint="eastAsia" w:ascii="宋体" w:hAnsi="宋体" w:eastAsia="宋体" w:cs="宋体"/>
          <w:b/>
          <w:color w:val="000000" w:themeColor="text1"/>
          <w:sz w:val="24"/>
          <w:highlight w:val="none"/>
          <w:lang w:eastAsia="zh-CN"/>
          <w14:textFill>
            <w14:solidFill>
              <w14:schemeClr w14:val="tx1"/>
            </w14:solidFill>
          </w14:textFill>
        </w:rPr>
        <w:t>月</w:t>
      </w:r>
      <w:r>
        <w:rPr>
          <w:rFonts w:hint="eastAsia" w:ascii="宋体" w:hAnsi="宋体" w:eastAsia="宋体" w:cs="宋体"/>
          <w:b/>
          <w:color w:val="000000" w:themeColor="text1"/>
          <w:sz w:val="24"/>
          <w:highlight w:val="none"/>
          <w14:textFill>
            <w14:solidFill>
              <w14:schemeClr w14:val="tx1"/>
            </w14:solidFill>
          </w14:textFill>
        </w:rPr>
        <w:t>至今任意一个月的证明（法定代表人为授权代理人的，提供法定代表人的））</w:t>
      </w:r>
      <w:r>
        <w:rPr>
          <w:rFonts w:hint="eastAsia" w:ascii="宋体" w:hAnsi="宋体" w:eastAsia="宋体" w:cs="宋体"/>
          <w:color w:val="000000" w:themeColor="text1"/>
          <w:sz w:val="24"/>
          <w:highlight w:val="none"/>
          <w14:textFill>
            <w14:solidFill>
              <w14:schemeClr w14:val="tx1"/>
            </w14:solidFill>
          </w14:textFill>
        </w:rPr>
        <w:t>。</w:t>
      </w:r>
    </w:p>
    <w:p w14:paraId="6A338570">
      <w:pPr>
        <w:pStyle w:val="30"/>
        <w:spacing w:after="0" w:line="560" w:lineRule="exact"/>
        <w:ind w:firstLine="573" w:firstLine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9.2 报价表</w:t>
      </w:r>
    </w:p>
    <w:p w14:paraId="5592FB18">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（1）投标函（见附件）；</w:t>
      </w:r>
    </w:p>
    <w:p w14:paraId="02B7A6A8">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（2）开标一览表（见附件）；</w:t>
      </w:r>
    </w:p>
    <w:p w14:paraId="5A8133D3">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（3）投标明细表（见附件）。</w:t>
      </w:r>
    </w:p>
    <w:p w14:paraId="1E7F4F77">
      <w:pPr>
        <w:pStyle w:val="30"/>
        <w:spacing w:after="0" w:line="560" w:lineRule="exact"/>
        <w:ind w:firstLine="573" w:firstLine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9.3 技术文件</w:t>
      </w:r>
    </w:p>
    <w:p w14:paraId="400B77FC">
      <w:pPr>
        <w:pStyle w:val="30"/>
        <w:spacing w:after="0" w:line="560" w:lineRule="exact"/>
        <w:ind w:firstLine="571" w:firstLineChars="238"/>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技术条款响应一览表</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（见附件）</w:t>
      </w:r>
    </w:p>
    <w:p w14:paraId="0F7F2E24">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服务方案</w:t>
      </w:r>
      <w:r>
        <w:rPr>
          <w:rFonts w:hint="eastAsia" w:ascii="宋体" w:hAnsi="宋体" w:eastAsia="宋体" w:cs="宋体"/>
          <w:color w:val="000000" w:themeColor="text1"/>
          <w:sz w:val="24"/>
          <w:highlight w:val="none"/>
          <w14:textFill>
            <w14:solidFill>
              <w14:schemeClr w14:val="tx1"/>
            </w14:solidFill>
          </w14:textFill>
        </w:rPr>
        <w:t>；</w:t>
      </w:r>
    </w:p>
    <w:p w14:paraId="012BF6B2">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服务质量保障措施</w:t>
      </w:r>
      <w:r>
        <w:rPr>
          <w:rFonts w:hint="eastAsia" w:ascii="宋体" w:hAnsi="宋体" w:eastAsia="宋体" w:cs="宋体"/>
          <w:color w:val="000000" w:themeColor="text1"/>
          <w:sz w:val="24"/>
          <w:highlight w:val="none"/>
          <w14:textFill>
            <w14:solidFill>
              <w14:schemeClr w14:val="tx1"/>
            </w14:solidFill>
          </w14:textFill>
        </w:rPr>
        <w:t>；</w:t>
      </w:r>
    </w:p>
    <w:p w14:paraId="16D13A5E">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重点、难点及解决方案</w:t>
      </w:r>
      <w:r>
        <w:rPr>
          <w:rFonts w:hint="eastAsia" w:ascii="宋体" w:hAnsi="宋体" w:eastAsia="宋体" w:cs="宋体"/>
          <w:color w:val="000000" w:themeColor="text1"/>
          <w:sz w:val="24"/>
          <w:highlight w:val="none"/>
          <w14:textFill>
            <w14:solidFill>
              <w14:schemeClr w14:val="tx1"/>
            </w14:solidFill>
          </w14:textFill>
        </w:rPr>
        <w:t>；</w:t>
      </w:r>
    </w:p>
    <w:p w14:paraId="6199073A">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培训方案</w:t>
      </w:r>
      <w:r>
        <w:rPr>
          <w:rFonts w:hint="eastAsia" w:ascii="宋体" w:hAnsi="宋体" w:eastAsia="宋体" w:cs="宋体"/>
          <w:color w:val="000000" w:themeColor="text1"/>
          <w:sz w:val="24"/>
          <w:highlight w:val="none"/>
          <w14:textFill>
            <w14:solidFill>
              <w14:schemeClr w14:val="tx1"/>
            </w14:solidFill>
          </w14:textFill>
        </w:rPr>
        <w:t>；</w:t>
      </w:r>
    </w:p>
    <w:p w14:paraId="3E5D20C5">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售后服务方案</w:t>
      </w:r>
      <w:r>
        <w:rPr>
          <w:rFonts w:hint="eastAsia" w:ascii="宋体" w:hAnsi="宋体" w:eastAsia="宋体" w:cs="宋体"/>
          <w:color w:val="000000" w:themeColor="text1"/>
          <w:sz w:val="24"/>
          <w:highlight w:val="none"/>
          <w14:textFill>
            <w14:solidFill>
              <w14:schemeClr w14:val="tx1"/>
            </w14:solidFill>
          </w14:textFill>
        </w:rPr>
        <w:t>；</w:t>
      </w:r>
    </w:p>
    <w:p w14:paraId="21013AD9">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7</w:t>
      </w:r>
      <w:r>
        <w:rPr>
          <w:rFonts w:hint="eastAsia" w:ascii="宋体" w:hAnsi="宋体" w:eastAsia="宋体" w:cs="宋体"/>
          <w:color w:val="000000" w:themeColor="text1"/>
          <w:sz w:val="24"/>
          <w:highlight w:val="none"/>
          <w14:textFill>
            <w14:solidFill>
              <w14:schemeClr w14:val="tx1"/>
            </w14:solidFill>
          </w14:textFill>
        </w:rPr>
        <w:t>）供应商认为需加以说明的其他内容。</w:t>
      </w:r>
    </w:p>
    <w:p w14:paraId="60FA6030">
      <w:pPr>
        <w:pStyle w:val="30"/>
        <w:spacing w:after="0" w:line="560" w:lineRule="exact"/>
        <w:ind w:firstLine="573" w:firstLine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9.4 商务文件</w:t>
      </w:r>
    </w:p>
    <w:p w14:paraId="6EC74862">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（1）商务条款响应一览表；（见附件）</w:t>
      </w:r>
    </w:p>
    <w:p w14:paraId="3ABBE799">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（2）供应商概况表；（格式自拟）</w:t>
      </w:r>
    </w:p>
    <w:p w14:paraId="1325DF1C">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）供应商认为需加以说明的其他内容。</w:t>
      </w:r>
    </w:p>
    <w:p w14:paraId="2EECEC8C">
      <w:pPr>
        <w:pStyle w:val="30"/>
        <w:spacing w:after="0" w:line="560" w:lineRule="exact"/>
        <w:ind w:firstLine="720" w:firstLineChars="3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备注：1）附件中无格式文档的，供应商可自定文档格式以制作本参考公开招标文件要求提交的内容。</w:t>
      </w:r>
    </w:p>
    <w:p w14:paraId="523B7340">
      <w:pPr>
        <w:pStyle w:val="30"/>
        <w:spacing w:line="560" w:lineRule="exact"/>
        <w:ind w:firstLine="720" w:firstLineChars="3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2）供应商应按照参考公开招标文件规定的“电子投标文件编制”中“电子投标文件构成”规定的顺序统一编制目录装订成册，由于编制混乱导致电子投标文件被误读或查找不到，其责任由供应商承担。</w:t>
      </w:r>
    </w:p>
    <w:bookmarkEnd w:id="66"/>
    <w:bookmarkEnd w:id="67"/>
    <w:bookmarkEnd w:id="68"/>
    <w:p w14:paraId="4DC14786">
      <w:pPr>
        <w:pStyle w:val="30"/>
        <w:tabs>
          <w:tab w:val="left" w:pos="955"/>
        </w:tabs>
        <w:spacing w:after="0" w:line="560" w:lineRule="exact"/>
        <w:ind w:left="1146" w:leftChars="273" w:hanging="573" w:hanging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10.  投标报价</w:t>
      </w:r>
    </w:p>
    <w:p w14:paraId="0AE1C164">
      <w:pPr>
        <w:pStyle w:val="30"/>
        <w:spacing w:after="0" w:line="560" w:lineRule="exact"/>
        <w:ind w:firstLine="573" w:firstLineChars="238"/>
        <w:rPr>
          <w:rFonts w:ascii="宋体" w:hAnsi="宋体" w:eastAsia="宋体" w:cs="宋体"/>
          <w:b/>
          <w:color w:val="000000" w:themeColor="text1"/>
          <w:sz w:val="24"/>
          <w:highlight w:val="none"/>
          <w14:textFill>
            <w14:solidFill>
              <w14:schemeClr w14:val="tx1"/>
            </w14:solidFill>
          </w14:textFill>
        </w:rPr>
      </w:pPr>
      <w:bookmarkStart w:id="69" w:name="_Toc352332874"/>
      <w:bookmarkStart w:id="70" w:name="_Toc346372900"/>
      <w:bookmarkStart w:id="71" w:name="_Toc346306753"/>
      <w:r>
        <w:rPr>
          <w:rFonts w:hint="eastAsia" w:ascii="宋体" w:hAnsi="宋体" w:eastAsia="宋体" w:cs="宋体"/>
          <w:b/>
          <w:color w:val="000000" w:themeColor="text1"/>
          <w:sz w:val="24"/>
          <w:highlight w:val="none"/>
          <w14:textFill>
            <w14:solidFill>
              <w14:schemeClr w14:val="tx1"/>
            </w14:solidFill>
          </w14:textFill>
        </w:rPr>
        <w:t>★10.1 本次投标报价为一次性报价，报价币种为人民币。供应商根据本项目实际情况自主竞报，报价包括但不限于完成电子参考招标文件中所提出的所有服务内容的全部税、费。供应商应充分考虑采购条件，不得在中标后无故增加任何费用。供应商的投标报价高于采购预算（最高限价）的，其电子投标文件均被拒绝。</w:t>
      </w:r>
    </w:p>
    <w:p w14:paraId="11C4C76A">
      <w:pPr>
        <w:pStyle w:val="30"/>
        <w:spacing w:after="0" w:line="560" w:lineRule="exact"/>
        <w:ind w:firstLine="573" w:firstLine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10.2供应商限报一种方案报价，采购人不接受可选择的方案和报价；供应商对报价作出优惠的，其电子投标文件及开标一览表中的报价均应为优惠后的最终报价。供应商对报价若有说明或优惠应在投标明细表和开标一览表中注明，否则该说明或优惠不予认可。</w:t>
      </w:r>
    </w:p>
    <w:p w14:paraId="3FA53D1D">
      <w:pPr>
        <w:pStyle w:val="11"/>
        <w:tabs>
          <w:tab w:val="left" w:pos="382"/>
        </w:tabs>
        <w:spacing w:line="560" w:lineRule="exact"/>
        <w:ind w:left="48" w:leftChars="23" w:firstLine="480" w:firstLineChars="20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10.3报价</w:t>
      </w:r>
      <w:r>
        <w:rPr>
          <w:rFonts w:hint="eastAsia" w:ascii="宋体" w:hAnsi="宋体" w:eastAsia="宋体" w:cs="宋体"/>
          <w:bCs/>
          <w:color w:val="000000" w:themeColor="text1"/>
          <w:sz w:val="24"/>
          <w:highlight w:val="none"/>
          <w14:textFill>
            <w14:solidFill>
              <w14:schemeClr w14:val="tx1"/>
            </w14:solidFill>
          </w14:textFill>
        </w:rPr>
        <w:t>（即合同价）在合同执行过程中是固定不变的，不得以任何理由予以变更。</w:t>
      </w:r>
    </w:p>
    <w:p w14:paraId="412653E2">
      <w:pPr>
        <w:pStyle w:val="11"/>
        <w:tabs>
          <w:tab w:val="left" w:pos="382"/>
        </w:tabs>
        <w:spacing w:line="560" w:lineRule="exact"/>
        <w:ind w:left="48" w:leftChars="23" w:firstLine="480" w:firstLineChars="20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10.4供应商应保证所报出的最终价格，在排除各种差异因素后，不超出自己的正常国内市场价格，并且保证价格不应高于对其他情况相似购买者的出价。</w:t>
      </w:r>
    </w:p>
    <w:p w14:paraId="766CD07A">
      <w:pPr>
        <w:pStyle w:val="11"/>
        <w:tabs>
          <w:tab w:val="left" w:pos="382"/>
        </w:tabs>
        <w:spacing w:line="560" w:lineRule="exact"/>
        <w:ind w:left="48" w:leftChars="23" w:firstLine="480" w:firstLineChars="20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10.5电子投标文件应对</w:t>
      </w:r>
      <w:r>
        <w:rPr>
          <w:rFonts w:hint="eastAsia" w:ascii="宋体" w:hAnsi="宋体" w:eastAsia="宋体" w:cs="宋体"/>
          <w:bCs/>
          <w:color w:val="000000" w:themeColor="text1"/>
          <w:sz w:val="24"/>
          <w:highlight w:val="none"/>
          <w:lang w:eastAsia="zh-CN"/>
          <w14:textFill>
            <w14:solidFill>
              <w14:schemeClr w14:val="tx1"/>
            </w14:solidFill>
          </w14:textFill>
        </w:rPr>
        <w:t>服务</w:t>
      </w:r>
      <w:r>
        <w:rPr>
          <w:rFonts w:hint="eastAsia" w:ascii="宋体" w:hAnsi="宋体" w:eastAsia="宋体" w:cs="宋体"/>
          <w:bCs/>
          <w:color w:val="000000" w:themeColor="text1"/>
          <w:sz w:val="24"/>
          <w:highlight w:val="none"/>
          <w14:textFill>
            <w14:solidFill>
              <w14:schemeClr w14:val="tx1"/>
            </w14:solidFill>
          </w14:textFill>
        </w:rPr>
        <w:t>质量、</w:t>
      </w:r>
      <w:r>
        <w:rPr>
          <w:rFonts w:hint="eastAsia" w:ascii="宋体" w:hAnsi="宋体" w:eastAsia="宋体" w:cs="宋体"/>
          <w:bCs/>
          <w:color w:val="000000" w:themeColor="text1"/>
          <w:sz w:val="24"/>
          <w:highlight w:val="none"/>
          <w:lang w:eastAsia="zh-CN"/>
          <w14:textFill>
            <w14:solidFill>
              <w14:schemeClr w14:val="tx1"/>
            </w14:solidFill>
          </w14:textFill>
        </w:rPr>
        <w:t>服务期</w:t>
      </w:r>
      <w:r>
        <w:rPr>
          <w:rFonts w:hint="eastAsia" w:ascii="宋体" w:hAnsi="宋体" w:eastAsia="宋体" w:cs="宋体"/>
          <w:bCs/>
          <w:color w:val="000000" w:themeColor="text1"/>
          <w:sz w:val="24"/>
          <w:highlight w:val="none"/>
          <w14:textFill>
            <w14:solidFill>
              <w14:schemeClr w14:val="tx1"/>
            </w14:solidFill>
          </w14:textFill>
        </w:rPr>
        <w:t>、售后服务做出明确的承诺，以及达不到承诺的相关条款要求应负的责任和义务。</w:t>
      </w:r>
    </w:p>
    <w:p w14:paraId="4786CE2F">
      <w:pPr>
        <w:pStyle w:val="30"/>
        <w:spacing w:after="0" w:line="560" w:lineRule="exact"/>
        <w:ind w:firstLine="573"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10.6 报价不得</w:t>
      </w:r>
      <w:r>
        <w:rPr>
          <w:rFonts w:hint="eastAsia" w:ascii="宋体" w:hAnsi="宋体" w:eastAsia="宋体" w:cs="宋体"/>
          <w:b/>
          <w:color w:val="000000" w:themeColor="text1"/>
          <w:sz w:val="24"/>
          <w:highlight w:val="none"/>
          <w14:textFill>
            <w14:solidFill>
              <w14:schemeClr w14:val="tx1"/>
            </w14:solidFill>
          </w14:textFill>
        </w:rPr>
        <w:t>高于本项目预算金额（最高限价），超出采购人公布的采购预算（最高限价）的，电子投标文件按无效响应处理。</w:t>
      </w:r>
    </w:p>
    <w:p w14:paraId="19A0B047">
      <w:pPr>
        <w:pStyle w:val="30"/>
        <w:spacing w:after="0" w:line="560" w:lineRule="exact"/>
        <w:ind w:left="1146" w:leftChars="273" w:hanging="573" w:hangingChars="238"/>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11.</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电子投标文件编写</w:t>
      </w:r>
    </w:p>
    <w:p w14:paraId="4497470B">
      <w:pPr>
        <w:pStyle w:val="30"/>
        <w:spacing w:after="0" w:line="560" w:lineRule="exact"/>
        <w:ind w:firstLine="573" w:firstLineChars="238"/>
        <w:rPr>
          <w:rFonts w:ascii="宋体" w:hAnsi="宋体" w:eastAsia="宋体" w:cs="宋体"/>
          <w:b/>
          <w:color w:val="000000" w:themeColor="text1"/>
          <w:sz w:val="24"/>
          <w:highlight w:val="none"/>
          <w:shd w:val="clear" w:color="auto" w:fill="FFFFFF"/>
          <w:lang w:bidi="ar"/>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11.1</w:t>
      </w:r>
      <w:r>
        <w:rPr>
          <w:rFonts w:hint="eastAsia" w:ascii="宋体" w:hAnsi="宋体" w:eastAsia="宋体" w:cs="宋体"/>
          <w:b/>
          <w:bCs/>
          <w:color w:val="000000" w:themeColor="text1"/>
          <w:sz w:val="24"/>
          <w:highlight w:val="none"/>
          <w:shd w:val="clear" w:color="auto" w:fill="FFFFFF"/>
          <w:lang w:bidi="ar"/>
          <w14:textFill>
            <w14:solidFill>
              <w14:schemeClr w14:val="tx1"/>
            </w14:solidFill>
          </w14:textFill>
        </w:rPr>
        <w:t>供应商应</w:t>
      </w:r>
      <w:r>
        <w:rPr>
          <w:rFonts w:hint="eastAsia" w:ascii="宋体" w:hAnsi="宋体" w:eastAsia="宋体" w:cs="宋体"/>
          <w:b/>
          <w:color w:val="000000" w:themeColor="text1"/>
          <w:sz w:val="24"/>
          <w:highlight w:val="none"/>
          <w:shd w:val="clear" w:color="auto" w:fill="FFFFFF"/>
          <w:lang w:bidi="ar"/>
          <w14:textFill>
            <w14:solidFill>
              <w14:schemeClr w14:val="tx1"/>
            </w14:solidFill>
          </w14:textFill>
        </w:rPr>
        <w:t>当按照参考公开招标文件的要求编制电子投标文件。电子投标文件应当对参考公开招标文件提出的实质性要求和条件作出明确响应。</w:t>
      </w:r>
    </w:p>
    <w:p w14:paraId="7A8D541F">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FFFFFF"/>
          <w:lang w:bidi="ar"/>
          <w14:textFill>
            <w14:solidFill>
              <w14:schemeClr w14:val="tx1"/>
            </w14:solidFill>
          </w14:textFill>
        </w:rPr>
        <w:t>11.2</w:t>
      </w:r>
      <w:r>
        <w:rPr>
          <w:rFonts w:hint="eastAsia" w:ascii="宋体" w:hAnsi="宋体" w:eastAsia="宋体" w:cs="宋体"/>
          <w:color w:val="000000" w:themeColor="text1"/>
          <w:sz w:val="24"/>
          <w:highlight w:val="none"/>
          <w14:textFill>
            <w14:solidFill>
              <w14:schemeClr w14:val="tx1"/>
            </w14:solidFill>
          </w14:textFill>
        </w:rPr>
        <w:t>供应商和采购代理机构就采购过程交换的文件和来往信函均使用中文。</w:t>
      </w:r>
    </w:p>
    <w:p w14:paraId="1AE13561">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11.3电子投标文件应尽量避免涂改、行间插字或删除。如果出现上述情况，改动之处应加盖单位章或由供应商的法定代表人或其授权的代理人签字确认。</w:t>
      </w:r>
    </w:p>
    <w:p w14:paraId="4CC9977D">
      <w:pPr>
        <w:pStyle w:val="30"/>
        <w:spacing w:after="0" w:line="560" w:lineRule="exact"/>
        <w:ind w:firstLine="573" w:firstLine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11.4供应商须如实响应参考公开招标文件要求，在电子投标文件中如实提供其技术指标。供应商不得复制粘贴参考公开招标文件中的技术及商务条款响应一览表中的参数及要求作为其电子投标文件的响应情况，否则，评标委员会有权作出不利于供应商的认定。</w:t>
      </w:r>
    </w:p>
    <w:p w14:paraId="6CC57AA9">
      <w:pPr>
        <w:pStyle w:val="11"/>
        <w:tabs>
          <w:tab w:val="left" w:pos="382"/>
        </w:tabs>
        <w:spacing w:line="560" w:lineRule="exact"/>
        <w:ind w:left="48" w:leftChars="23"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11.5为</w:t>
      </w:r>
      <w:r>
        <w:rPr>
          <w:rFonts w:hint="eastAsia" w:ascii="宋体" w:hAnsi="宋体" w:eastAsia="宋体" w:cs="宋体"/>
          <w:color w:val="000000" w:themeColor="text1"/>
          <w:sz w:val="24"/>
          <w:highlight w:val="none"/>
          <w14:textFill>
            <w14:solidFill>
              <w14:schemeClr w14:val="tx1"/>
            </w14:solidFill>
          </w14:textFill>
        </w:rPr>
        <w:t>合理节约评标成本，提倡诚实信用的投标行为，特别要求供应商应本着诚信精神，在本次电子投标文件的“技术条款响应一览表”、“商务条款响应一览表”中，均以审慎的态度明确、清楚地披露各项响应情况；供应商须对照招标文件技术规格、参数（或商务条款）与要求，逐条说明投标货物与服务是否做出了响应，如未按“技术条款响应一览表”的格式要求，在供应商响应中“技术规格指标”一栏如实填写所投产品的技术规格指标响应情况，</w:t>
      </w:r>
      <w:r>
        <w:rPr>
          <w:rFonts w:hint="eastAsia" w:ascii="宋体" w:hAnsi="宋体" w:eastAsia="宋体" w:cs="宋体"/>
          <w:bCs/>
          <w:color w:val="000000" w:themeColor="text1"/>
          <w:sz w:val="24"/>
          <w:highlight w:val="none"/>
          <w14:textFill>
            <w14:solidFill>
              <w14:schemeClr w14:val="tx1"/>
            </w14:solidFill>
          </w14:textFill>
        </w:rPr>
        <w:t>未填写部分如为★技术条款按无效投标处理，如为其他技术条款按负偏离进行处理。</w:t>
      </w:r>
    </w:p>
    <w:p w14:paraId="6EFFA6F1">
      <w:pPr>
        <w:pStyle w:val="30"/>
        <w:spacing w:after="0" w:line="560" w:lineRule="exact"/>
        <w:ind w:left="1146" w:leftChars="273" w:hanging="573" w:hangingChars="238"/>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12.</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电子投标文件签署</w:t>
      </w:r>
    </w:p>
    <w:p w14:paraId="60B46E00">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子投标文件必须按照招标文件给出文件格式的签署要求进行电子签署。本项目采购文件中的电子投标文件格式内容带“盖章”字样处应加盖供应商电子公章，电子投标文件需经法定代表人或其委托代理人签章的，由委托代理人签章，须在电子投标文件中附授权委托书。供应商代表必须按规定签署电子投标文件，未按采购文件格式要求签章及盖电子公章的电子投标文件无效。</w:t>
      </w:r>
    </w:p>
    <w:p w14:paraId="04ECD8FC">
      <w:pPr>
        <w:pStyle w:val="30"/>
        <w:spacing w:after="0" w:line="560" w:lineRule="exact"/>
        <w:ind w:left="1146" w:leftChars="273" w:hanging="573" w:hangingChars="238"/>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13.</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投标保证金</w:t>
      </w:r>
    </w:p>
    <w:p w14:paraId="0D4CED01">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13.1供应商应按前附表的规定提交投标保证金，作为其电子投标文件的一部分。</w:t>
      </w:r>
    </w:p>
    <w:p w14:paraId="5B2CEE58">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13.2如供应商有下列情况，投标保证金不予退还，采购人和采购代理机构有权依法向其提出索赔，供应商应当赔偿因此给采购人造成的全部损失：</w:t>
      </w:r>
    </w:p>
    <w:p w14:paraId="65C07B89">
      <w:pPr>
        <w:pStyle w:val="30"/>
        <w:spacing w:after="0" w:line="560" w:lineRule="exact"/>
        <w:ind w:firstLine="573" w:firstLine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1）开标后，供应商在投标有效期内撤回投标的；</w:t>
      </w:r>
    </w:p>
    <w:p w14:paraId="2450213F">
      <w:pPr>
        <w:pStyle w:val="30"/>
        <w:spacing w:after="0" w:line="560" w:lineRule="exact"/>
        <w:ind w:firstLine="573" w:firstLine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2）采取不正当手段诋毁、排挤其他供应商或妨碍其他供应商竞争的；</w:t>
      </w:r>
    </w:p>
    <w:p w14:paraId="311825A2">
      <w:pPr>
        <w:pStyle w:val="30"/>
        <w:spacing w:after="0" w:line="560" w:lineRule="exact"/>
        <w:ind w:firstLine="573" w:firstLine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3）与采购人、其他供应商或者采购代理机构恶意串通的；</w:t>
      </w:r>
    </w:p>
    <w:p w14:paraId="06689717">
      <w:pPr>
        <w:pStyle w:val="30"/>
        <w:spacing w:after="0" w:line="560" w:lineRule="exact"/>
        <w:ind w:firstLine="573" w:firstLine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4）向采购人、采购代理机构行贿或者提供其他不正当利益的；</w:t>
      </w:r>
    </w:p>
    <w:p w14:paraId="7578FBA9">
      <w:pPr>
        <w:pStyle w:val="30"/>
        <w:spacing w:after="0" w:line="560" w:lineRule="exact"/>
        <w:ind w:firstLine="573" w:firstLine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5）供应商在电子投标文件中提供虚假材料的；</w:t>
      </w:r>
    </w:p>
    <w:p w14:paraId="3D5B65FA">
      <w:pPr>
        <w:pStyle w:val="30"/>
        <w:spacing w:after="0" w:line="560" w:lineRule="exact"/>
        <w:ind w:firstLine="573" w:firstLine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6）成交供应商无正当理由未能按规定与采购人签订合同的；</w:t>
      </w:r>
    </w:p>
    <w:p w14:paraId="7663EABA">
      <w:pPr>
        <w:pStyle w:val="30"/>
        <w:spacing w:after="0" w:line="560" w:lineRule="exact"/>
        <w:ind w:firstLine="573" w:firstLine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7）供应商损害采购人的合法权益的；</w:t>
      </w:r>
    </w:p>
    <w:p w14:paraId="7230E9A3">
      <w:pPr>
        <w:pStyle w:val="30"/>
        <w:spacing w:after="0" w:line="560" w:lineRule="exact"/>
        <w:ind w:firstLine="573" w:firstLine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8）法律法规和参考公开招标文件规定的其他情形。</w:t>
      </w:r>
    </w:p>
    <w:p w14:paraId="59800D05">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13.3保证金的退还：</w:t>
      </w:r>
    </w:p>
    <w:p w14:paraId="20806DEE">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1）未成交供应商的投标保证金，在中标通知书发出后5个工作日内退还；</w:t>
      </w:r>
    </w:p>
    <w:p w14:paraId="7A0619A0">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2）成交供应商的投标保证金在签订合同后5个工作日内予以退还。</w:t>
      </w:r>
    </w:p>
    <w:p w14:paraId="57120AFB">
      <w:pPr>
        <w:pStyle w:val="30"/>
        <w:spacing w:after="0" w:line="560" w:lineRule="exact"/>
        <w:ind w:left="1146" w:leftChars="273" w:hanging="573" w:hangingChars="238"/>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14.</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投标有效期</w:t>
      </w:r>
    </w:p>
    <w:p w14:paraId="6A3C22C3">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14.1 本项目投标有效期见供应商须知前附表，投标函的有效期比本须知规定的有效期短的，将被视为非响应性投标，采购人有权拒绝。</w:t>
      </w:r>
    </w:p>
    <w:p w14:paraId="200E7C0B">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14.2 特殊情况下，在投标有效期满之前，采购代理机构可以以书面形式要求供应商同意延长投标有效期。供应商可以以书面形式拒绝或接受上述要求。拒绝延长投标有效期的供应商有权收回投标保证金；同意延长投标有效期的供应商应当相应延长其投标保证金的有效期，但不得修改电子投标文件的实质性内容。</w:t>
      </w:r>
    </w:p>
    <w:p w14:paraId="66B9665E">
      <w:pPr>
        <w:spacing w:line="480" w:lineRule="exact"/>
        <w:outlineLvl w:val="1"/>
        <w:rPr>
          <w:rFonts w:ascii="宋体" w:hAnsi="宋体" w:eastAsia="宋体" w:cs="宋体"/>
          <w:b/>
          <w:color w:val="000000" w:themeColor="text1"/>
          <w:sz w:val="24"/>
          <w:highlight w:val="none"/>
          <w14:textFill>
            <w14:solidFill>
              <w14:schemeClr w14:val="tx1"/>
            </w14:solidFill>
          </w14:textFill>
        </w:rPr>
      </w:pPr>
      <w:bookmarkStart w:id="72" w:name="_Toc30201"/>
      <w:r>
        <w:rPr>
          <w:rFonts w:hint="eastAsia" w:ascii="宋体" w:hAnsi="宋体" w:eastAsia="宋体" w:cs="宋体"/>
          <w:b/>
          <w:color w:val="000000" w:themeColor="text1"/>
          <w:sz w:val="24"/>
          <w:highlight w:val="none"/>
          <w14:textFill>
            <w14:solidFill>
              <w14:schemeClr w14:val="tx1"/>
            </w14:solidFill>
          </w14:textFill>
        </w:rPr>
        <w:t>四、电子投标文件递交</w:t>
      </w:r>
      <w:bookmarkEnd w:id="72"/>
    </w:p>
    <w:p w14:paraId="71992313">
      <w:pPr>
        <w:pStyle w:val="30"/>
        <w:spacing w:after="0" w:line="560" w:lineRule="exact"/>
        <w:ind w:left="1146" w:leftChars="273" w:hanging="573" w:hangingChars="238"/>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15.</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电子投标文件递交时间和地点</w:t>
      </w:r>
    </w:p>
    <w:p w14:paraId="1AE38491">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15.1 电子投标文件递交时间、投标截止时间及地点详见供应商须知前附表。</w:t>
      </w:r>
    </w:p>
    <w:p w14:paraId="25618179">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15.2供应商应当在供应商须知前附表要求提交电子投标文件截止时间前，登录山东大学电子招投标系统并使用投标工具加密上传电子投标文件。除上述方式之外，不接受供应商以纸质文件以及其他任何方式提交的电子投标文件。供应商应充分考虑网络传输时间等因素，合理安排上传时间。</w:t>
      </w:r>
    </w:p>
    <w:p w14:paraId="28B0CDC9">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15.3 提交电子投标文件截止时间后，评审管理系统不提供电子投标文件上传功能。供应商未完成电子投标文件上传的，投标将被拒绝。</w:t>
      </w:r>
    </w:p>
    <w:p w14:paraId="21D34ECB">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15.4出现未在规定时间内在线签到（系统原因除外）、因供应商自身原因造成电子投标文件未在规定时间内解密或上传系统的电子投标文件损坏无法读取的等情形之一的，投标将被拒绝。</w:t>
      </w:r>
    </w:p>
    <w:p w14:paraId="4282931E">
      <w:pPr>
        <w:pStyle w:val="30"/>
        <w:spacing w:after="0" w:line="560" w:lineRule="exact"/>
        <w:ind w:left="1146" w:leftChars="273" w:hanging="573" w:hangingChars="238"/>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16.</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电子投标文件修改与撤回</w:t>
      </w:r>
    </w:p>
    <w:p w14:paraId="2652C9C8">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16.1供应商在电子投标文件递交截止时间前，可以对所递交的响应文件进行补充、修改或者撤回。</w:t>
      </w:r>
    </w:p>
    <w:p w14:paraId="5113B600">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16.2 供应商对电子投标文件的补充、修改需符合山东大学电子标的要求。</w:t>
      </w:r>
    </w:p>
    <w:p w14:paraId="7C3A0E9D">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16.3 投标有效期内不得撤回投标。</w:t>
      </w:r>
    </w:p>
    <w:p w14:paraId="5A4F9D76">
      <w:pPr>
        <w:spacing w:line="480" w:lineRule="exact"/>
        <w:outlineLvl w:val="1"/>
        <w:rPr>
          <w:rFonts w:ascii="宋体" w:hAnsi="宋体" w:eastAsia="宋体" w:cs="宋体"/>
          <w:b/>
          <w:color w:val="000000" w:themeColor="text1"/>
          <w:sz w:val="24"/>
          <w:highlight w:val="none"/>
          <w14:textFill>
            <w14:solidFill>
              <w14:schemeClr w14:val="tx1"/>
            </w14:solidFill>
          </w14:textFill>
        </w:rPr>
      </w:pPr>
      <w:bookmarkStart w:id="73" w:name="_Toc28120"/>
      <w:r>
        <w:rPr>
          <w:rFonts w:hint="eastAsia" w:ascii="宋体" w:hAnsi="宋体" w:eastAsia="宋体" w:cs="宋体"/>
          <w:b/>
          <w:color w:val="000000" w:themeColor="text1"/>
          <w:sz w:val="24"/>
          <w:highlight w:val="none"/>
          <w14:textFill>
            <w14:solidFill>
              <w14:schemeClr w14:val="tx1"/>
            </w14:solidFill>
          </w14:textFill>
        </w:rPr>
        <w:t>五、开标与评标</w:t>
      </w:r>
      <w:bookmarkEnd w:id="73"/>
    </w:p>
    <w:bookmarkEnd w:id="69"/>
    <w:bookmarkEnd w:id="70"/>
    <w:bookmarkEnd w:id="71"/>
    <w:p w14:paraId="3B589E98">
      <w:pPr>
        <w:pStyle w:val="30"/>
        <w:tabs>
          <w:tab w:val="left" w:pos="955"/>
        </w:tabs>
        <w:spacing w:after="0" w:line="560" w:lineRule="exact"/>
        <w:ind w:left="1146" w:leftChars="273" w:hanging="573" w:hanging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17.  开标</w:t>
      </w:r>
    </w:p>
    <w:p w14:paraId="51C9082E">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17.1 本项目开标时间和地点见供应商须知前附表。采购人或者采购代理机构将在供应商须知前附表规定的时间进行电子开标。开标由采购人或者采购代理机构主持，供应商通过登录山东大学电子招投标系统进入对应的招标项目，远程参加。所有供应商须在提交电子投标文件截止时间前进行在线签到；</w:t>
      </w:r>
    </w:p>
    <w:p w14:paraId="284BBA2F">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17.2供应商使用CA数字证书在投标截止时间后半小时内进入解密程序，解密电子投标文件。</w:t>
      </w:r>
    </w:p>
    <w:p w14:paraId="7C325F02">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17.3解密完成后，进行电子开标。供应商可通过山东大学电子招投标系统了解项目的开标情况及开标结果，供应商未参加开标的，视同认可开标结果。</w:t>
      </w:r>
    </w:p>
    <w:p w14:paraId="3373C9F0">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17.4未解密或解密失败的电子投标文件，按无效投标处理。</w:t>
      </w:r>
    </w:p>
    <w:p w14:paraId="7C16B98D">
      <w:pPr>
        <w:pStyle w:val="30"/>
        <w:spacing w:after="0" w:line="560" w:lineRule="exact"/>
        <w:ind w:firstLine="571" w:firstLineChars="23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17.5开标后，采购人或者采购代理机构依法对供应商的资格进行审查。</w:t>
      </w:r>
    </w:p>
    <w:p w14:paraId="0ED94D5D">
      <w:pPr>
        <w:pStyle w:val="30"/>
        <w:tabs>
          <w:tab w:val="left" w:pos="955"/>
        </w:tabs>
        <w:spacing w:after="0" w:line="560" w:lineRule="exact"/>
        <w:ind w:left="1146" w:leftChars="273" w:hanging="573" w:hangingChars="238"/>
        <w:rPr>
          <w:rFonts w:ascii="宋体" w:hAnsi="宋体" w:eastAsia="宋体" w:cs="宋体"/>
          <w:b/>
          <w:color w:val="000000" w:themeColor="text1"/>
          <w:sz w:val="24"/>
          <w:highlight w:val="none"/>
          <w14:textFill>
            <w14:solidFill>
              <w14:schemeClr w14:val="tx1"/>
            </w14:solidFill>
          </w14:textFill>
        </w:rPr>
      </w:pPr>
      <w:bookmarkStart w:id="74" w:name="_Toc346306754"/>
      <w:bookmarkEnd w:id="74"/>
      <w:bookmarkStart w:id="75" w:name="_Toc352332875"/>
      <w:bookmarkEnd w:id="75"/>
      <w:bookmarkStart w:id="76" w:name="_Toc346372901"/>
      <w:bookmarkEnd w:id="76"/>
      <w:r>
        <w:rPr>
          <w:rFonts w:hint="eastAsia" w:ascii="宋体" w:hAnsi="宋体" w:eastAsia="宋体" w:cs="宋体"/>
          <w:b/>
          <w:color w:val="000000" w:themeColor="text1"/>
          <w:sz w:val="24"/>
          <w:highlight w:val="none"/>
          <w14:textFill>
            <w14:solidFill>
              <w14:schemeClr w14:val="tx1"/>
            </w14:solidFill>
          </w14:textFill>
        </w:rPr>
        <w:t>18.  评标委员会</w:t>
      </w:r>
    </w:p>
    <w:p w14:paraId="41799511">
      <w:pPr>
        <w:pStyle w:val="30"/>
        <w:spacing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标委员会由采购人代表和评标委员会组成，其成员由采购人代表及评审专家3人及以上单数组成，其中技术、经济等方面的专家不得少于成员总数的三分之二。采购人或者采购代理机构通过随机方式抽取评标委员会。对技术复杂、专业性强的采购项目，通过随机方式难以确定合适评标委员会的，采购人可以自行选定相应专业领域的评标委员会。</w:t>
      </w:r>
    </w:p>
    <w:p w14:paraId="7058946D">
      <w:pPr>
        <w:pStyle w:val="30"/>
        <w:tabs>
          <w:tab w:val="left" w:pos="955"/>
        </w:tabs>
        <w:spacing w:after="0" w:line="560" w:lineRule="exact"/>
        <w:ind w:left="1146" w:leftChars="273" w:hanging="573" w:hangingChars="238"/>
        <w:rPr>
          <w:rFonts w:ascii="宋体" w:hAnsi="宋体" w:eastAsia="宋体" w:cs="宋体"/>
          <w:b/>
          <w:color w:val="000000" w:themeColor="text1"/>
          <w:sz w:val="24"/>
          <w:highlight w:val="none"/>
          <w14:textFill>
            <w14:solidFill>
              <w14:schemeClr w14:val="tx1"/>
            </w14:solidFill>
          </w14:textFill>
        </w:rPr>
      </w:pPr>
      <w:bookmarkStart w:id="77" w:name="_Toc352332876"/>
      <w:bookmarkEnd w:id="77"/>
      <w:bookmarkStart w:id="78" w:name="_Toc346372902"/>
      <w:bookmarkEnd w:id="78"/>
      <w:bookmarkStart w:id="79" w:name="_Toc346306755"/>
      <w:bookmarkEnd w:id="79"/>
      <w:r>
        <w:rPr>
          <w:rFonts w:hint="eastAsia" w:ascii="宋体" w:hAnsi="宋体" w:eastAsia="宋体" w:cs="宋体"/>
          <w:b/>
          <w:color w:val="000000" w:themeColor="text1"/>
          <w:sz w:val="24"/>
          <w:highlight w:val="none"/>
          <w14:textFill>
            <w14:solidFill>
              <w14:schemeClr w14:val="tx1"/>
            </w14:solidFill>
          </w14:textFill>
        </w:rPr>
        <w:t>19.  评标原则</w:t>
      </w:r>
    </w:p>
    <w:p w14:paraId="1142FEFB">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19.1 客观性原则：评标委员会将严格按照参考公开招标文件的要求，对供应商的电子投标文件进行认真评审；评标委员会对电子投标文件的评审仅依据电子投标文件本身，而不依据电子投标文件以外的任何因素。</w:t>
      </w:r>
    </w:p>
    <w:p w14:paraId="523C8D84">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19.2 统一性原则：评标委员会将按照统一的评标原则和评标方法，用同一标准进行评标。</w:t>
      </w:r>
    </w:p>
    <w:p w14:paraId="780DF2D7">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19.3 独立性原则：评标工作在评标委员会内部独立进行，不受外界任何因素的干扰和影响。评委对出具的评标意见承担个人责任。</w:t>
      </w:r>
    </w:p>
    <w:p w14:paraId="4A2A25E7">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19.4 保密性原则：代理机构应当采取必要的措施，保证评标在严格保密的情况下进行。</w:t>
      </w:r>
    </w:p>
    <w:p w14:paraId="4DFCFC3D">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19.5 综合性原则：评标委员会将综合分析、评审供应商的各项指标，而不以单项指标的优劣进行评审。</w:t>
      </w:r>
    </w:p>
    <w:p w14:paraId="7D658A85">
      <w:pPr>
        <w:pStyle w:val="30"/>
        <w:tabs>
          <w:tab w:val="left" w:pos="955"/>
        </w:tabs>
        <w:spacing w:after="0" w:line="560" w:lineRule="exact"/>
        <w:ind w:left="1146" w:leftChars="273" w:hanging="573" w:hangingChars="238"/>
        <w:rPr>
          <w:rFonts w:ascii="宋体" w:hAnsi="宋体" w:eastAsia="宋体" w:cs="宋体"/>
          <w:b/>
          <w:color w:val="000000" w:themeColor="text1"/>
          <w:sz w:val="24"/>
          <w:highlight w:val="none"/>
          <w14:textFill>
            <w14:solidFill>
              <w14:schemeClr w14:val="tx1"/>
            </w14:solidFill>
          </w14:textFill>
        </w:rPr>
      </w:pPr>
      <w:bookmarkStart w:id="80" w:name="_Toc346306757"/>
      <w:bookmarkEnd w:id="80"/>
      <w:bookmarkStart w:id="81" w:name="_Toc346372904"/>
      <w:bookmarkEnd w:id="81"/>
      <w:bookmarkStart w:id="82" w:name="_Toc352332878"/>
      <w:bookmarkEnd w:id="82"/>
      <w:r>
        <w:rPr>
          <w:rFonts w:hint="eastAsia" w:ascii="宋体" w:hAnsi="宋体" w:eastAsia="宋体" w:cs="宋体"/>
          <w:b/>
          <w:color w:val="000000" w:themeColor="text1"/>
          <w:sz w:val="24"/>
          <w:highlight w:val="none"/>
          <w14:textFill>
            <w14:solidFill>
              <w14:schemeClr w14:val="tx1"/>
            </w14:solidFill>
          </w14:textFill>
        </w:rPr>
        <w:t>20.  评标方法</w:t>
      </w:r>
    </w:p>
    <w:p w14:paraId="3B8012C4">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项目采用综合评分法。评标委员会根据电子投标文件满足参考公开招标文件全部实质性要求，且按照评审因素的量化指标评审得分最高的供应商为成交候选人。评审因素包括供应商所提供货物服务的质量相关，包括投标报价、技术或者服务水平、履约能力、售后服务等。</w:t>
      </w:r>
    </w:p>
    <w:p w14:paraId="3B5CCC2F">
      <w:pPr>
        <w:pStyle w:val="30"/>
        <w:tabs>
          <w:tab w:val="left" w:pos="955"/>
        </w:tabs>
        <w:spacing w:after="0" w:line="560" w:lineRule="exact"/>
        <w:ind w:left="1146" w:leftChars="273" w:hanging="573" w:hangingChars="238"/>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21.  初步评审</w:t>
      </w:r>
    </w:p>
    <w:p w14:paraId="7211FEE3">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21.1电子投标文件的初审分为资格审查和符合性检查。资格审查由采购人或采购代理机构在开标后依法对供应商进行审查，依据法律、法规和参考公开招标文件的规定，对电子投标文件中的资格证明进行审查，以确定供应商是否具备投标资格。符合性检查由评标委员会依据参考公开招标文件的规定，从电子投标文件的有效性、完整性和对参考公开招标文件的响应程度进行审查，以确定是否对参考公开招标文件的实质性要求作出响应。在评审活动开始前，采购人及采购代理机构宣布评审工作纪律。</w:t>
      </w:r>
    </w:p>
    <w:p w14:paraId="376C462C">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21.2评标委员会应当对符合资格的供应商的电子投标文件进行符合性审查，以确定其是否满足参考公开招标文件的实质性要求。</w:t>
      </w:r>
    </w:p>
    <w:p w14:paraId="4FCCDBA0">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21.3 如出现下列情形之一的，视为对参考公开招标文件没有做出实质性响应，按照无效投标处理。</w:t>
      </w:r>
    </w:p>
    <w:p w14:paraId="01127A92">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1）未按参考公开招标文件规定要求签署、盖章；</w:t>
      </w:r>
    </w:p>
    <w:p w14:paraId="3CF4E6AA">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2）未按规定交纳投标保证金的；</w:t>
      </w:r>
    </w:p>
    <w:p w14:paraId="1A41E75F">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3）电子投标文件含有采购人不能接受的附加条件的；</w:t>
      </w:r>
    </w:p>
    <w:p w14:paraId="6D55DDC2">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4）电子投标文件内容不全或未按规定填写或字迹模糊、辨认不清或涂改未加盖公章确认的；</w:t>
      </w:r>
    </w:p>
    <w:p w14:paraId="122948CD">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5）未按评标委员会要求澄清、说明或补正的；</w:t>
      </w:r>
    </w:p>
    <w:p w14:paraId="54DA948C">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6）供应商要求的付款方式及电子投标文件有效期等明显不符合参考公开招标文件要求的或未填写商务响应一览表；</w:t>
      </w:r>
    </w:p>
    <w:p w14:paraId="6081A1EA">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7）电子投标文件中的服务内容、服务方案明显不符合电子公开招标文件实质性要求或未填写服务条款响应一览表；</w:t>
      </w:r>
    </w:p>
    <w:p w14:paraId="682D6CCA">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8）投标报价超出采购人公布的采购预算的；</w:t>
      </w:r>
    </w:p>
    <w:p w14:paraId="31B378F8">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9）法定代表人授权代理人的社保证明不符合招标文件的要求（法定代表人为授权代理人的，提供法定代表人的）；</w:t>
      </w:r>
    </w:p>
    <w:p w14:paraId="4D349809">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10）未在规定时间内在线签到（系统原因除外）；</w:t>
      </w:r>
    </w:p>
    <w:p w14:paraId="75B97838">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11）因供应商自身原因造成电子投标文件未在投标截止时间后半小时内解密的或上传至“山东大学电子招投标系统”的电子投标文件损坏无法读取的；</w:t>
      </w:r>
    </w:p>
    <w:p w14:paraId="6745EC36">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12）不满足参考公开招标文件规定的带★号实质性条款的；</w:t>
      </w:r>
    </w:p>
    <w:p w14:paraId="0083B4CE">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13）电子投标文件技术规格中响应与事实不符或虚假投标的；</w:t>
      </w:r>
    </w:p>
    <w:p w14:paraId="57BBE680">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14）未响应参考公开招标文件规定的其他实质性要求的；</w:t>
      </w:r>
    </w:p>
    <w:p w14:paraId="5E86A806">
      <w:pPr>
        <w:pStyle w:val="30"/>
        <w:spacing w:after="0" w:line="560" w:lineRule="exact"/>
        <w:ind w:firstLine="602" w:firstLineChars="250"/>
        <w:jc w:val="left"/>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15）在符合性评审中，评标委员会认定供应商的投标未能通过此项评审的；</w:t>
      </w:r>
    </w:p>
    <w:p w14:paraId="6EE8C638">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16）不符合法律、法规规定的其他情形。</w:t>
      </w:r>
    </w:p>
    <w:p w14:paraId="73093C97">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21.4 评标委员会将否决被确定为非实质性响应的电子投标文件，供应商不能通过修正或撤销电子投标文件中的不符之处而使其投标成为实质性响应的投标。</w:t>
      </w:r>
    </w:p>
    <w:p w14:paraId="44665C93">
      <w:pPr>
        <w:pStyle w:val="30"/>
        <w:spacing w:after="0" w:line="560" w:lineRule="exact"/>
        <w:ind w:firstLine="602" w:firstLineChars="250"/>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bidi="ar"/>
          <w14:textFill>
            <w14:solidFill>
              <w14:schemeClr w14:val="tx1"/>
            </w14:solidFill>
          </w14:textFill>
        </w:rPr>
        <w:t>★</w:t>
      </w:r>
      <w:r>
        <w:rPr>
          <w:rFonts w:hint="eastAsia" w:ascii="宋体" w:hAnsi="宋体" w:eastAsia="宋体" w:cs="宋体"/>
          <w:b/>
          <w:color w:val="000000" w:themeColor="text1"/>
          <w:sz w:val="24"/>
          <w:highlight w:val="none"/>
          <w14:textFill>
            <w14:solidFill>
              <w14:schemeClr w14:val="tx1"/>
            </w14:solidFill>
          </w14:textFill>
        </w:rPr>
        <w:t>21.5 评标委员会对各供应商的投标报价进行评审，</w:t>
      </w:r>
      <w:r>
        <w:rPr>
          <w:rFonts w:hint="eastAsia" w:ascii="宋体" w:hAnsi="宋体" w:eastAsia="宋体" w:cs="宋体"/>
          <w:b/>
          <w:bCs/>
          <w:color w:val="000000" w:themeColor="text1"/>
          <w:sz w:val="24"/>
          <w:highlight w:val="none"/>
          <w14:textFill>
            <w14:solidFill>
              <w14:schemeClr w14:val="tx1"/>
            </w14:solidFill>
          </w14:textFill>
        </w:rPr>
        <w:t>对超出项目预算的报价，按无效投标处理。</w:t>
      </w:r>
    </w:p>
    <w:p w14:paraId="25FA46A6">
      <w:pPr>
        <w:pStyle w:val="30"/>
        <w:spacing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21.6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0D752094">
      <w:pPr>
        <w:pStyle w:val="30"/>
        <w:spacing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★21.7供应商应当遵循公平竞争的原则，不得恶意串通，不得妨碍其他供应商的竞争行为，不得损害采购人或者其他供应商的合法权益。</w:t>
      </w:r>
    </w:p>
    <w:p w14:paraId="616F922C">
      <w:pPr>
        <w:pStyle w:val="30"/>
        <w:spacing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在评标过程中发现供应商有上述情形的，评标委员会应当认定其投标无效。</w:t>
      </w:r>
    </w:p>
    <w:p w14:paraId="10479BF9">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21.8 评标委员会通过上述评审，确定通过初步评审的合格供应商名单，只有通过初步评审的供应商，才能进入综合评审。</w:t>
      </w:r>
    </w:p>
    <w:p w14:paraId="263747D8">
      <w:pPr>
        <w:pStyle w:val="30"/>
        <w:spacing w:after="0" w:line="560" w:lineRule="exact"/>
        <w:ind w:left="1146" w:leftChars="273" w:hanging="573" w:hangingChars="238"/>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22.</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综合评审</w:t>
      </w:r>
    </w:p>
    <w:p w14:paraId="31CBFFA3">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审得分最高的供应商获得成交供应商推荐资格；评审得分相同的，评标委员会按照供应商依次按报价得分高、技术性能得分高进行排序，确定排名在前的一个供应商获得成交供应商推荐资格，其他同品牌供应商不作为成交候选人。</w:t>
      </w:r>
    </w:p>
    <w:p w14:paraId="7A1AE5B4">
      <w:pPr>
        <w:pStyle w:val="30"/>
        <w:spacing w:after="0" w:line="560" w:lineRule="exact"/>
        <w:ind w:left="1146" w:leftChars="273" w:hanging="573" w:hangingChars="238"/>
        <w:rPr>
          <w:rFonts w:ascii="宋体" w:hAnsi="宋体" w:eastAsia="宋体" w:cs="宋体"/>
          <w:b/>
          <w:bCs/>
          <w:color w:val="000000" w:themeColor="text1"/>
          <w:sz w:val="24"/>
          <w:highlight w:val="none"/>
          <w14:textFill>
            <w14:solidFill>
              <w14:schemeClr w14:val="tx1"/>
            </w14:solidFill>
          </w14:textFill>
        </w:rPr>
      </w:pPr>
      <w:bookmarkStart w:id="83" w:name="_Toc346372903"/>
      <w:bookmarkEnd w:id="83"/>
      <w:bookmarkStart w:id="84" w:name="_Toc352332877"/>
      <w:bookmarkEnd w:id="84"/>
      <w:bookmarkStart w:id="85" w:name="_Toc346306756"/>
      <w:bookmarkEnd w:id="85"/>
      <w:r>
        <w:rPr>
          <w:rFonts w:hint="eastAsia" w:ascii="宋体" w:hAnsi="宋体" w:eastAsia="宋体" w:cs="宋体"/>
          <w:b/>
          <w:bCs/>
          <w:color w:val="000000" w:themeColor="text1"/>
          <w:sz w:val="24"/>
          <w:highlight w:val="none"/>
          <w14:textFill>
            <w14:solidFill>
              <w14:schemeClr w14:val="tx1"/>
            </w14:solidFill>
          </w14:textFill>
        </w:rPr>
        <w:t>23.</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投标不一致时的修正和处理</w:t>
      </w:r>
    </w:p>
    <w:p w14:paraId="74EB3441">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电子投标文件报价出现前后不一致的，按照下列规定修正： </w:t>
      </w:r>
    </w:p>
    <w:p w14:paraId="7E40AA34">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（1）电子投标文件中开标一览表（报价表）内容与电子投标文件中相应内容不一致的，以开标一览表（报价表）为准；</w:t>
      </w:r>
    </w:p>
    <w:p w14:paraId="11CE9231">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（2）大写金额和小写金额不一致的，以大写金额为准；</w:t>
      </w:r>
    </w:p>
    <w:p w14:paraId="3CCB1AAC">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（3）单价金额小数点或者百分比有明显错位的，以开标一览表的总价为准，并修改单价；</w:t>
      </w:r>
    </w:p>
    <w:p w14:paraId="56CB0D27">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（4）总价金额与按单价汇总金额不一致的，以单价金额计算结果为准。 </w:t>
      </w:r>
    </w:p>
    <w:p w14:paraId="46C474BF">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（5）同时出现两种以上不一致的，按照前款规定的顺序修正。修正后的报价经供应商确认后产生约束力，供应商不确认的，其投标无效。</w:t>
      </w:r>
    </w:p>
    <w:p w14:paraId="79BFAC95">
      <w:pPr>
        <w:pStyle w:val="30"/>
        <w:spacing w:after="0" w:line="560" w:lineRule="exact"/>
        <w:ind w:firstLine="602" w:firstLineChars="250"/>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24.</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电子投标文件的澄清</w:t>
      </w:r>
    </w:p>
    <w:p w14:paraId="494CD13B">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24.1为有助于对电子投标文件进行审查、评估和比较，评标委员会有权向供应商询问。供应商有义务以书面形式对其电子投标文件中含义不明确、同类问题表述不一致或有明显文字错误的内容进行澄清和说明，但澄清和说明的内容不得超出电子投标文件的范围或改变电子投标文件的实质性内容。供应商澄清和说明的内容构成电子投标文件的组成部分；拒不进行澄清、说明或补正的，评标委员会可以视为供应商未实质性响应投标。</w:t>
      </w:r>
    </w:p>
    <w:p w14:paraId="23039D13">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24.2评标委员会不接受供应商主动提出的澄清，采购人也不接受供应商主动承诺给予采购人赠品、回扣或者与采购无关的其他商品、服务。</w:t>
      </w:r>
    </w:p>
    <w:p w14:paraId="5CADB72B">
      <w:pPr>
        <w:pStyle w:val="30"/>
        <w:spacing w:after="0" w:line="560" w:lineRule="exact"/>
        <w:ind w:left="1146" w:leftChars="273" w:hanging="573" w:hangingChars="238"/>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25.  特殊情况下的评标方法</w:t>
      </w:r>
    </w:p>
    <w:p w14:paraId="0F58E196">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25.1如出现有效投标供应商达不到法定数量、串通投标以及供应商互相诋毁，导致评标委员会无法评标时，评标委员会有权否决所有投标。</w:t>
      </w:r>
    </w:p>
    <w:p w14:paraId="5FD2FFB9">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25.2评标委员会发现参考公开招标文件存在歧义、重大缺陷导致评标工作无法进行，或者参考公开招标文件内容违反国家有关强制性规定的，应当停止评标工作，与采购人或者采购代理机构沟通并作书面记录。采购人或者采购代理机构确认后，应当修改参考公开招标文件，重新组织采购活动。</w:t>
      </w:r>
    </w:p>
    <w:p w14:paraId="3CA939F1">
      <w:pPr>
        <w:pStyle w:val="30"/>
        <w:spacing w:after="0" w:line="560" w:lineRule="exact"/>
        <w:ind w:left="1146" w:leftChars="273" w:hanging="573" w:hangingChars="238"/>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26.</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废标</w:t>
      </w:r>
    </w:p>
    <w:p w14:paraId="4320B54E">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有下列情形之一，本项目将予以废标：</w:t>
      </w:r>
    </w:p>
    <w:p w14:paraId="7B6401AE">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1）</w:t>
      </w:r>
      <w:r>
        <w:rPr>
          <w:rFonts w:hint="eastAsia" w:ascii="宋体" w:hAnsi="宋体" w:eastAsia="宋体" w:cs="宋体"/>
          <w:b/>
          <w:color w:val="000000" w:themeColor="text1"/>
          <w:sz w:val="24"/>
          <w:highlight w:val="none"/>
          <w14:textFill>
            <w14:solidFill>
              <w14:schemeClr w14:val="tx1"/>
            </w14:solidFill>
          </w14:textFill>
        </w:rPr>
        <w:t>出现影响采购公正的违法违规行为的；</w:t>
      </w:r>
    </w:p>
    <w:p w14:paraId="46A16553">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2</w:t>
      </w:r>
      <w:r>
        <w:rPr>
          <w:rFonts w:hint="eastAsia" w:ascii="宋体" w:hAnsi="宋体" w:eastAsia="宋体" w:cs="宋体"/>
          <w:b/>
          <w:color w:val="000000" w:themeColor="text1"/>
          <w:sz w:val="24"/>
          <w:highlight w:val="none"/>
          <w14:textFill>
            <w14:solidFill>
              <w14:schemeClr w14:val="tx1"/>
            </w14:solidFill>
          </w14:textFill>
        </w:rPr>
        <w:t>）供应商的报价均超过采购预算的；</w:t>
      </w:r>
    </w:p>
    <w:p w14:paraId="38B8F765">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3</w:t>
      </w:r>
      <w:r>
        <w:rPr>
          <w:rFonts w:hint="eastAsia" w:ascii="宋体" w:hAnsi="宋体" w:eastAsia="宋体" w:cs="宋体"/>
          <w:b/>
          <w:color w:val="000000" w:themeColor="text1"/>
          <w:sz w:val="24"/>
          <w:highlight w:val="none"/>
          <w14:textFill>
            <w14:solidFill>
              <w14:schemeClr w14:val="tx1"/>
            </w14:solidFill>
          </w14:textFill>
        </w:rPr>
        <w:t>）因重大变故，采购任务取消的；</w:t>
      </w:r>
    </w:p>
    <w:p w14:paraId="2AF7BA28">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4</w:t>
      </w:r>
      <w:r>
        <w:rPr>
          <w:rFonts w:hint="eastAsia" w:ascii="宋体" w:hAnsi="宋体" w:eastAsia="宋体" w:cs="宋体"/>
          <w:b/>
          <w:color w:val="000000" w:themeColor="text1"/>
          <w:sz w:val="24"/>
          <w:highlight w:val="none"/>
          <w14:textFill>
            <w14:solidFill>
              <w14:schemeClr w14:val="tx1"/>
            </w14:solidFill>
          </w14:textFill>
        </w:rPr>
        <w:t>）法律、法规及参考公开招标文件规定的其他情况。</w:t>
      </w:r>
    </w:p>
    <w:p w14:paraId="7CAD498C">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27.  串标</w:t>
      </w:r>
    </w:p>
    <w:p w14:paraId="1EEB88D5">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供应商出现串标或影响招标的违法行为时，采购人将严格按照相关法律、法规及规章制度的规定行使权利，给采购人、采购代理机构造成损失的，采购人、采购代理机构有索赔的权利，供应商应予以赔偿。</w:t>
      </w:r>
    </w:p>
    <w:p w14:paraId="4CED085A">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28.  有下列情形之一的，属于供应商相互串通投标：</w:t>
      </w:r>
    </w:p>
    <w:p w14:paraId="3C664EA5">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（1）供应商之间协商报价、技术方案等电子投标文件或者电子投标文件的实质性内容；</w:t>
      </w:r>
    </w:p>
    <w:p w14:paraId="3BE3E3A3">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（2）属于同一集团、协会、商会等组织成员的供应商按照该组织要求协同参加采购活动；</w:t>
      </w:r>
    </w:p>
    <w:p w14:paraId="30A0B9EF">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（3）供应商之间事先约定由某一特定供应商中标、成交；</w:t>
      </w:r>
    </w:p>
    <w:p w14:paraId="2109D7DF">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（4）供应商之间商定部分供应商放弃参加政府采购活动或者放弃中标、成交；</w:t>
      </w:r>
    </w:p>
    <w:p w14:paraId="11AB5BE2">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（5）供应商与供应商相互之间，为谋求特定供应商中标、成交或者排斥其他供应商的其他串通行为。</w:t>
      </w:r>
    </w:p>
    <w:p w14:paraId="75F0A6B8">
      <w:pPr>
        <w:pStyle w:val="30"/>
        <w:spacing w:after="0" w:line="560" w:lineRule="exact"/>
        <w:ind w:firstLine="602"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29.  有下列情形之一的，视为供应商相互串通投标：</w:t>
      </w:r>
    </w:p>
    <w:p w14:paraId="2C38D4D6">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（1）不同供应商的电子投标文件由同一单位或者个人编制； </w:t>
      </w:r>
    </w:p>
    <w:p w14:paraId="1B49D01D">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（2）不同供应商委托同一单位或者个人办理投标事宜； </w:t>
      </w:r>
    </w:p>
    <w:p w14:paraId="79C1AF1D">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（3）不同供应商的电子投标文件载明的项目管理成员或者联系人员为同一人； </w:t>
      </w:r>
    </w:p>
    <w:p w14:paraId="1667EFC9">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（4）不同供应商的电子投标文件异常一致或者投标报价呈规律性差异； </w:t>
      </w:r>
    </w:p>
    <w:p w14:paraId="2C66BC6D">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（5）不同供应商的电子投标文件相互混装； </w:t>
      </w:r>
    </w:p>
    <w:p w14:paraId="7C57633B">
      <w:pPr>
        <w:pStyle w:val="30"/>
        <w:spacing w:after="0" w:line="560" w:lineRule="exact"/>
        <w:ind w:firstLine="600" w:firstLineChars="25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（6）不同供应商的投标保证金从同一单位或者个人的账户转出。</w:t>
      </w:r>
    </w:p>
    <w:p w14:paraId="3F86D322">
      <w:pPr>
        <w:spacing w:line="480" w:lineRule="exact"/>
        <w:outlineLvl w:val="1"/>
        <w:rPr>
          <w:rFonts w:ascii="宋体" w:hAnsi="宋体" w:eastAsia="宋体" w:cs="宋体"/>
          <w:b/>
          <w:color w:val="000000" w:themeColor="text1"/>
          <w:sz w:val="24"/>
          <w:highlight w:val="none"/>
          <w14:textFill>
            <w14:solidFill>
              <w14:schemeClr w14:val="tx1"/>
            </w14:solidFill>
          </w14:textFill>
        </w:rPr>
      </w:pPr>
      <w:bookmarkStart w:id="86" w:name="_Toc10729"/>
      <w:r>
        <w:rPr>
          <w:rFonts w:hint="eastAsia" w:ascii="宋体" w:hAnsi="宋体" w:eastAsia="宋体" w:cs="宋体"/>
          <w:b/>
          <w:color w:val="000000" w:themeColor="text1"/>
          <w:sz w:val="24"/>
          <w:highlight w:val="none"/>
          <w14:textFill>
            <w14:solidFill>
              <w14:schemeClr w14:val="tx1"/>
            </w14:solidFill>
          </w14:textFill>
        </w:rPr>
        <w:t>六、授予合同</w:t>
      </w:r>
      <w:bookmarkEnd w:id="86"/>
    </w:p>
    <w:p w14:paraId="325E8D34">
      <w:pPr>
        <w:pStyle w:val="30"/>
        <w:spacing w:after="0" w:line="560" w:lineRule="exact"/>
        <w:ind w:left="1146" w:leftChars="273" w:hanging="573" w:hangingChars="238"/>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30.</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中标通知书</w:t>
      </w:r>
    </w:p>
    <w:p w14:paraId="705BD32A">
      <w:pPr>
        <w:pStyle w:val="11"/>
        <w:tabs>
          <w:tab w:val="left" w:pos="382"/>
        </w:tabs>
        <w:spacing w:line="480" w:lineRule="exact"/>
        <w:ind w:left="197" w:leftChars="94" w:firstLine="360" w:firstLineChars="1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30.1中标公告将在</w:t>
      </w:r>
      <w:r>
        <w:rPr>
          <w:rFonts w:hint="eastAsia" w:ascii="宋体" w:hAnsi="宋体" w:eastAsia="宋体" w:cs="宋体"/>
          <w:color w:val="000000" w:themeColor="text1"/>
          <w:sz w:val="24"/>
          <w:highlight w:val="none"/>
          <w:u w:val="single"/>
          <w14:textFill>
            <w14:solidFill>
              <w14:schemeClr w14:val="tx1"/>
            </w14:solidFill>
          </w14:textFill>
        </w:rPr>
        <w:t>山东大学采购网</w:t>
      </w:r>
      <w:r>
        <w:rPr>
          <w:rFonts w:hint="eastAsia" w:ascii="宋体" w:hAnsi="宋体" w:eastAsia="宋体" w:cs="宋体"/>
          <w:color w:val="000000" w:themeColor="text1"/>
          <w:sz w:val="24"/>
          <w:highlight w:val="none"/>
          <w14:textFill>
            <w14:solidFill>
              <w14:schemeClr w14:val="tx1"/>
            </w14:solidFill>
          </w14:textFill>
        </w:rPr>
        <w:t>发布。在公告中标结果的同时，采购人或者采购代理机构应当向成交供应商发出中标通知书。</w:t>
      </w:r>
    </w:p>
    <w:p w14:paraId="0DC0D2D8">
      <w:pPr>
        <w:pStyle w:val="11"/>
        <w:tabs>
          <w:tab w:val="left" w:pos="382"/>
        </w:tabs>
        <w:spacing w:line="480" w:lineRule="exact"/>
        <w:ind w:left="197" w:leftChars="94" w:firstLine="360" w:firstLineChars="1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30.2 中标通知书是合同的一个组成部分。</w:t>
      </w:r>
    </w:p>
    <w:p w14:paraId="39656131">
      <w:pPr>
        <w:pStyle w:val="11"/>
        <w:tabs>
          <w:tab w:val="left" w:pos="382"/>
        </w:tabs>
        <w:spacing w:line="480" w:lineRule="exact"/>
        <w:ind w:left="197" w:leftChars="94" w:firstLine="360" w:firstLineChars="15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30.3 在中标通知书发出前，经查询，如成交供应商在“信用中国”网站（www.creditchina.gov.cn）、中国政府采购网（www.ccgp.gov.cn）等网站中被列入失信被执行人、重大税收违法失信主体、政府采购严重违法失信行为记录名单的，采购人有权取消其中标资格，按照评标报告推荐的成交候选人名单排序，确定下一候选人或重新组织采购。</w:t>
      </w:r>
    </w:p>
    <w:p w14:paraId="014E5B8A">
      <w:pPr>
        <w:pStyle w:val="30"/>
        <w:spacing w:after="0" w:line="560" w:lineRule="exact"/>
        <w:ind w:left="1146" w:leftChars="273" w:hanging="573" w:hangingChars="238"/>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31.</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签订合同</w:t>
      </w:r>
    </w:p>
    <w:p w14:paraId="361A5C3B">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31.1 中标通知书发出之日起30日内，按照参考公开招标文件确定的事项签订合同。</w:t>
      </w:r>
    </w:p>
    <w:p w14:paraId="2C510586">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31.2 参考公开招标文件、成交供应商的电子投标文件以及评标过程中的有关澄清、承诺文件均为合同的组成部分。</w:t>
      </w:r>
    </w:p>
    <w:p w14:paraId="3B4DAC90">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31.3成交供应商拒绝与采购人签订合同的，采购人可以按照评标报告推荐的成交候选人名单排序，确定下一候选人为成交供应商，也可以重新开展政府采购活动。</w:t>
      </w:r>
    </w:p>
    <w:p w14:paraId="2DE1E3B6">
      <w:pPr>
        <w:spacing w:line="480" w:lineRule="exact"/>
        <w:outlineLvl w:val="1"/>
        <w:rPr>
          <w:rFonts w:ascii="宋体" w:hAnsi="宋体" w:eastAsia="宋体" w:cs="宋体"/>
          <w:b/>
          <w:color w:val="000000" w:themeColor="text1"/>
          <w:sz w:val="24"/>
          <w:highlight w:val="none"/>
          <w14:textFill>
            <w14:solidFill>
              <w14:schemeClr w14:val="tx1"/>
            </w14:solidFill>
          </w14:textFill>
        </w:rPr>
      </w:pPr>
      <w:bookmarkStart w:id="87" w:name="_Toc9749"/>
      <w:r>
        <w:rPr>
          <w:rFonts w:hint="eastAsia" w:ascii="宋体" w:hAnsi="宋体" w:eastAsia="宋体" w:cs="宋体"/>
          <w:b/>
          <w:color w:val="000000" w:themeColor="text1"/>
          <w:sz w:val="24"/>
          <w:highlight w:val="none"/>
          <w14:textFill>
            <w14:solidFill>
              <w14:schemeClr w14:val="tx1"/>
            </w14:solidFill>
          </w14:textFill>
        </w:rPr>
        <w:t>七、相关费用</w:t>
      </w:r>
      <w:bookmarkEnd w:id="87"/>
    </w:p>
    <w:p w14:paraId="4DE976F6">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本项目招标相关费用详见供应商须知前附表。</w:t>
      </w:r>
    </w:p>
    <w:p w14:paraId="10859DE7">
      <w:pPr>
        <w:spacing w:line="480" w:lineRule="exact"/>
        <w:outlineLvl w:val="1"/>
        <w:rPr>
          <w:rFonts w:ascii="宋体" w:hAnsi="宋体" w:eastAsia="宋体" w:cs="宋体"/>
          <w:b/>
          <w:color w:val="000000" w:themeColor="text1"/>
          <w:sz w:val="24"/>
          <w:highlight w:val="none"/>
          <w14:textFill>
            <w14:solidFill>
              <w14:schemeClr w14:val="tx1"/>
            </w14:solidFill>
          </w14:textFill>
        </w:rPr>
      </w:pPr>
      <w:bookmarkStart w:id="88" w:name="_Toc1078"/>
      <w:bookmarkEnd w:id="88"/>
      <w:bookmarkStart w:id="89" w:name="_Toc525121051"/>
      <w:bookmarkEnd w:id="89"/>
      <w:bookmarkStart w:id="90" w:name="_Toc3619"/>
      <w:r>
        <w:rPr>
          <w:rFonts w:hint="eastAsia" w:ascii="宋体" w:hAnsi="宋体" w:eastAsia="宋体" w:cs="宋体"/>
          <w:b/>
          <w:color w:val="000000" w:themeColor="text1"/>
          <w:sz w:val="24"/>
          <w:highlight w:val="none"/>
          <w14:textFill>
            <w14:solidFill>
              <w14:schemeClr w14:val="tx1"/>
            </w14:solidFill>
          </w14:textFill>
        </w:rPr>
        <w:t>八、保密和披露</w:t>
      </w:r>
      <w:bookmarkEnd w:id="90"/>
    </w:p>
    <w:p w14:paraId="710754EC">
      <w:pPr>
        <w:spacing w:line="560" w:lineRule="exact"/>
        <w:ind w:left="135" w:firstLine="420"/>
        <w:jc w:val="left"/>
        <w:rPr>
          <w:rFonts w:ascii="宋体" w:hAnsi="宋体" w:eastAsia="宋体" w:cs="宋体"/>
          <w:color w:val="000000" w:themeColor="text1"/>
          <w:kern w:val="0"/>
          <w:sz w:val="24"/>
          <w:highlight w:val="none"/>
          <w:lang w:bidi="en-US"/>
          <w14:textFill>
            <w14:solidFill>
              <w14:schemeClr w14:val="tx1"/>
            </w14:solidFill>
          </w14:textFill>
        </w:rPr>
      </w:pPr>
      <w:r>
        <w:rPr>
          <w:rFonts w:hint="eastAsia" w:ascii="宋体" w:hAnsi="宋体" w:eastAsia="宋体" w:cs="宋体"/>
          <w:color w:val="000000" w:themeColor="text1"/>
          <w:kern w:val="0"/>
          <w:sz w:val="24"/>
          <w:highlight w:val="none"/>
          <w:lang w:bidi="en-US"/>
          <w14:textFill>
            <w14:solidFill>
              <w14:schemeClr w14:val="tx1"/>
            </w14:solidFill>
          </w14:textFill>
        </w:rPr>
        <w:t>32.保密和披露</w:t>
      </w:r>
    </w:p>
    <w:p w14:paraId="4151CFCE">
      <w:pPr>
        <w:spacing w:line="560" w:lineRule="exact"/>
        <w:ind w:left="135" w:firstLine="420"/>
        <w:jc w:val="left"/>
        <w:rPr>
          <w:rFonts w:ascii="宋体" w:hAnsi="宋体" w:eastAsia="宋体" w:cs="宋体"/>
          <w:color w:val="000000" w:themeColor="text1"/>
          <w:kern w:val="0"/>
          <w:sz w:val="24"/>
          <w:highlight w:val="none"/>
          <w:lang w:bidi="en-US"/>
          <w14:textFill>
            <w14:solidFill>
              <w14:schemeClr w14:val="tx1"/>
            </w14:solidFill>
          </w14:textFill>
        </w:rPr>
      </w:pPr>
      <w:r>
        <w:rPr>
          <w:rFonts w:hint="eastAsia" w:ascii="宋体" w:hAnsi="宋体" w:eastAsia="宋体" w:cs="宋体"/>
          <w:color w:val="000000" w:themeColor="text1"/>
          <w:kern w:val="0"/>
          <w:sz w:val="24"/>
          <w:highlight w:val="none"/>
          <w:lang w:bidi="en-US"/>
          <w14:textFill>
            <w14:solidFill>
              <w14:schemeClr w14:val="tx1"/>
            </w14:solidFill>
          </w14:textFill>
        </w:rPr>
        <w:t>32.1供应商自领取参考公开招标文件之日起，须承担本采购项目下保密义务，不得将因本次采购获得的信息向其他人外传。</w:t>
      </w:r>
    </w:p>
    <w:p w14:paraId="7A9DE53A">
      <w:pPr>
        <w:spacing w:line="560" w:lineRule="exact"/>
        <w:ind w:left="135" w:firstLine="42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bidi="en-US"/>
          <w14:textFill>
            <w14:solidFill>
              <w14:schemeClr w14:val="tx1"/>
            </w14:solidFill>
          </w14:textFill>
        </w:rPr>
        <w:t>32.2在下列情形下：当发布中标公告和其它公告时，当国家机关调查、审查、审计时，以及其他符合法律规定的情形下，无须事先征求供应商或</w:t>
      </w:r>
      <w:r>
        <w:rPr>
          <w:rFonts w:hint="eastAsia" w:ascii="宋体" w:hAnsi="宋体" w:eastAsia="宋体" w:cs="宋体"/>
          <w:color w:val="000000" w:themeColor="text1"/>
          <w:sz w:val="24"/>
          <w:highlight w:val="none"/>
          <w14:textFill>
            <w14:solidFill>
              <w14:schemeClr w14:val="tx1"/>
            </w14:solidFill>
          </w14:textFill>
        </w:rPr>
        <w:t>成交供应商</w:t>
      </w:r>
      <w:r>
        <w:rPr>
          <w:rFonts w:hint="eastAsia" w:ascii="宋体" w:hAnsi="宋体" w:eastAsia="宋体" w:cs="宋体"/>
          <w:color w:val="000000" w:themeColor="text1"/>
          <w:kern w:val="0"/>
          <w:sz w:val="24"/>
          <w:highlight w:val="none"/>
          <w:lang w:bidi="en-US"/>
          <w14:textFill>
            <w14:solidFill>
              <w14:schemeClr w14:val="tx1"/>
            </w14:solidFill>
          </w14:textFill>
        </w:rPr>
        <w:t>同意而可以披露关于采购过程、合同文本、签署情况的资料、供应商或</w:t>
      </w:r>
      <w:r>
        <w:rPr>
          <w:rFonts w:hint="eastAsia" w:ascii="宋体" w:hAnsi="宋体" w:eastAsia="宋体" w:cs="宋体"/>
          <w:color w:val="000000" w:themeColor="text1"/>
          <w:sz w:val="24"/>
          <w:highlight w:val="none"/>
          <w14:textFill>
            <w14:solidFill>
              <w14:schemeClr w14:val="tx1"/>
            </w14:solidFill>
          </w14:textFill>
        </w:rPr>
        <w:t>成交供应商</w:t>
      </w:r>
      <w:r>
        <w:rPr>
          <w:rFonts w:hint="eastAsia" w:ascii="宋体" w:hAnsi="宋体" w:eastAsia="宋体" w:cs="宋体"/>
          <w:color w:val="000000" w:themeColor="text1"/>
          <w:kern w:val="0"/>
          <w:sz w:val="24"/>
          <w:highlight w:val="none"/>
          <w:lang w:bidi="en-US"/>
          <w14:textFill>
            <w14:solidFill>
              <w14:schemeClr w14:val="tx1"/>
            </w14:solidFill>
          </w14:textFill>
        </w:rPr>
        <w:t>的名称及地址、采购内容的有关信息以及补充条款等。对任何已经公布过的内容或与之内容相同的资料无须再承担保密责任。</w:t>
      </w:r>
    </w:p>
    <w:p w14:paraId="166FE8A5">
      <w:pPr>
        <w:spacing w:line="480" w:lineRule="exact"/>
        <w:outlineLvl w:val="1"/>
        <w:rPr>
          <w:rFonts w:ascii="宋体" w:hAnsi="宋体" w:eastAsia="宋体" w:cs="宋体"/>
          <w:b/>
          <w:color w:val="000000" w:themeColor="text1"/>
          <w:sz w:val="24"/>
          <w:highlight w:val="none"/>
          <w14:textFill>
            <w14:solidFill>
              <w14:schemeClr w14:val="tx1"/>
            </w14:solidFill>
          </w14:textFill>
        </w:rPr>
      </w:pPr>
      <w:bookmarkStart w:id="91" w:name="_Toc525121052"/>
      <w:bookmarkEnd w:id="91"/>
      <w:bookmarkStart w:id="92" w:name="_Toc16241"/>
      <w:bookmarkEnd w:id="92"/>
      <w:bookmarkStart w:id="93" w:name="_Toc14134"/>
      <w:r>
        <w:rPr>
          <w:rFonts w:hint="eastAsia" w:ascii="宋体" w:hAnsi="宋体" w:eastAsia="宋体" w:cs="宋体"/>
          <w:b/>
          <w:color w:val="000000" w:themeColor="text1"/>
          <w:sz w:val="24"/>
          <w:highlight w:val="none"/>
          <w14:textFill>
            <w14:solidFill>
              <w14:schemeClr w14:val="tx1"/>
            </w14:solidFill>
          </w14:textFill>
        </w:rPr>
        <w:t>九、解释权</w:t>
      </w:r>
      <w:bookmarkEnd w:id="93"/>
    </w:p>
    <w:p w14:paraId="5E3CBE1B">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参考公开招标文件的最终解释权归代理机构，当对一个问题有多种解释时以采购代理机构的解释为准。参考公开招标文件未做明示，而又有相关法律、法规规定的，采购代理机构对此所做解释以相关的法律、法规规定为依据。</w:t>
      </w:r>
    </w:p>
    <w:p w14:paraId="5B560C8A">
      <w:pPr>
        <w:spacing w:line="480" w:lineRule="exact"/>
        <w:outlineLvl w:val="1"/>
        <w:rPr>
          <w:rFonts w:ascii="宋体" w:hAnsi="宋体" w:eastAsia="宋体" w:cs="宋体"/>
          <w:b/>
          <w:color w:val="000000" w:themeColor="text1"/>
          <w:sz w:val="24"/>
          <w:highlight w:val="none"/>
          <w14:textFill>
            <w14:solidFill>
              <w14:schemeClr w14:val="tx1"/>
            </w14:solidFill>
          </w14:textFill>
        </w:rPr>
      </w:pPr>
      <w:bookmarkStart w:id="94" w:name="_Toc525121053"/>
      <w:bookmarkEnd w:id="94"/>
      <w:bookmarkStart w:id="95" w:name="_Toc23456"/>
      <w:bookmarkEnd w:id="95"/>
      <w:bookmarkStart w:id="96" w:name="_Toc29559"/>
      <w:r>
        <w:rPr>
          <w:rFonts w:hint="eastAsia" w:ascii="宋体" w:hAnsi="宋体" w:eastAsia="宋体" w:cs="宋体"/>
          <w:b/>
          <w:color w:val="000000" w:themeColor="text1"/>
          <w:sz w:val="24"/>
          <w:highlight w:val="none"/>
          <w14:textFill>
            <w14:solidFill>
              <w14:schemeClr w14:val="tx1"/>
            </w14:solidFill>
          </w14:textFill>
        </w:rPr>
        <w:t>十、其他</w:t>
      </w:r>
      <w:bookmarkEnd w:id="96"/>
    </w:p>
    <w:p w14:paraId="0F2BF835">
      <w:pPr>
        <w:pStyle w:val="30"/>
        <w:spacing w:after="0" w:line="560" w:lineRule="exact"/>
        <w:ind w:firstLine="600" w:firstLineChars="25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需对“供应商须知”正文进行补充和修改的内容详见“供应商须知前附表”。</w:t>
      </w:r>
    </w:p>
    <w:p w14:paraId="24DDB636">
      <w:pPr>
        <w:pStyle w:val="30"/>
        <w:snapToGrid w:val="0"/>
        <w:spacing w:after="0" w:line="360" w:lineRule="auto"/>
        <w:jc w:val="center"/>
        <w:outlineLvl w:val="0"/>
        <w:rPr>
          <w:rFonts w:ascii="宋体" w:hAnsi="宋体" w:eastAsia="宋体" w:cs="宋体"/>
          <w:b/>
          <w:bCs/>
          <w:color w:val="000000" w:themeColor="text1"/>
          <w:kern w:val="2"/>
          <w:sz w:val="32"/>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bookmarkStart w:id="97" w:name="_Toc18104"/>
      <w:r>
        <w:rPr>
          <w:rFonts w:hint="eastAsia" w:ascii="宋体" w:hAnsi="宋体" w:eastAsia="宋体" w:cs="宋体"/>
          <w:b/>
          <w:bCs/>
          <w:color w:val="000000" w:themeColor="text1"/>
          <w:kern w:val="2"/>
          <w:sz w:val="32"/>
          <w:highlight w:val="none"/>
          <w14:textFill>
            <w14:solidFill>
              <w14:schemeClr w14:val="tx1"/>
            </w14:solidFill>
          </w14:textFill>
        </w:rPr>
        <w:t>第三章  评分办法</w:t>
      </w:r>
      <w:bookmarkEnd w:id="97"/>
    </w:p>
    <w:p w14:paraId="68A40EDB">
      <w:pPr>
        <w:snapToGrid w:val="0"/>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本次招标采用综合评分法，满分为100分，每位评委应对所有通过初步审查并实质上响应参考公开招标文件的供应商（以下称为有效供应商）进行逐项评分。</w:t>
      </w:r>
    </w:p>
    <w:p w14:paraId="78DACE35">
      <w:pPr>
        <w:pStyle w:val="30"/>
        <w:keepNext w:val="0"/>
        <w:keepLines w:val="0"/>
        <w:pageBreakBefore w:val="0"/>
        <w:kinsoku/>
        <w:wordWrap/>
        <w:overflowPunct/>
        <w:topLinePunct w:val="0"/>
        <w:autoSpaceDE/>
        <w:autoSpaceDN/>
        <w:bidi w:val="0"/>
        <w:adjustRightInd/>
        <w:snapToGrid w:val="0"/>
        <w:spacing w:after="0" w:line="360" w:lineRule="auto"/>
        <w:jc w:val="center"/>
        <w:textAlignment w:val="auto"/>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评分细则</w:t>
      </w:r>
    </w:p>
    <w:tbl>
      <w:tblPr>
        <w:tblStyle w:val="74"/>
        <w:tblW w:w="4998" w:type="pct"/>
        <w:jc w:val="center"/>
        <w:tblLayout w:type="autofit"/>
        <w:tblCellMar>
          <w:top w:w="0" w:type="dxa"/>
          <w:left w:w="0" w:type="dxa"/>
          <w:bottom w:w="0" w:type="dxa"/>
          <w:right w:w="0" w:type="dxa"/>
        </w:tblCellMar>
      </w:tblPr>
      <w:tblGrid>
        <w:gridCol w:w="731"/>
        <w:gridCol w:w="1364"/>
        <w:gridCol w:w="7109"/>
      </w:tblGrid>
      <w:tr w14:paraId="39521ECF">
        <w:tblPrEx>
          <w:tblCellMar>
            <w:top w:w="0" w:type="dxa"/>
            <w:left w:w="0" w:type="dxa"/>
            <w:bottom w:w="0" w:type="dxa"/>
            <w:right w:w="0" w:type="dxa"/>
          </w:tblCellMar>
        </w:tblPrEx>
        <w:trPr>
          <w:trHeight w:val="454" w:hRule="atLeast"/>
          <w:jc w:val="center"/>
        </w:trPr>
        <w:tc>
          <w:tcPr>
            <w:tcW w:w="1138" w:type="pct"/>
            <w:gridSpan w:val="2"/>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F69138C">
            <w:pPr>
              <w:spacing w:line="360" w:lineRule="exact"/>
              <w:jc w:val="center"/>
              <w:rPr>
                <w:rFonts w:hint="eastAsia" w:ascii="宋体" w:hAnsi="宋体" w:eastAsia="宋体" w:cs="宋体"/>
                <w:b/>
                <w:bCs/>
                <w:sz w:val="24"/>
                <w:szCs w:val="24"/>
              </w:rPr>
            </w:pPr>
            <w:r>
              <w:rPr>
                <w:rFonts w:hint="eastAsia" w:ascii="宋体" w:hAnsi="宋体" w:eastAsia="宋体" w:cs="宋体"/>
                <w:b/>
                <w:bCs/>
                <w:sz w:val="24"/>
                <w:szCs w:val="24"/>
              </w:rPr>
              <w:t>分值</w:t>
            </w:r>
          </w:p>
        </w:tc>
        <w:tc>
          <w:tcPr>
            <w:tcW w:w="3861"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18EA7A02">
            <w:pPr>
              <w:spacing w:line="360" w:lineRule="exact"/>
              <w:jc w:val="center"/>
              <w:rPr>
                <w:rFonts w:hint="eastAsia" w:ascii="宋体" w:hAnsi="宋体" w:eastAsia="宋体" w:cs="宋体"/>
                <w:b/>
                <w:bCs/>
                <w:sz w:val="24"/>
                <w:szCs w:val="24"/>
              </w:rPr>
            </w:pPr>
            <w:r>
              <w:rPr>
                <w:rFonts w:hint="eastAsia" w:ascii="宋体" w:hAnsi="宋体" w:eastAsia="宋体" w:cs="宋体"/>
                <w:b/>
                <w:bCs/>
                <w:sz w:val="24"/>
                <w:szCs w:val="24"/>
              </w:rPr>
              <w:t>评审内容</w:t>
            </w:r>
          </w:p>
        </w:tc>
      </w:tr>
      <w:tr w14:paraId="44014E94">
        <w:tblPrEx>
          <w:tblCellMar>
            <w:top w:w="0" w:type="dxa"/>
            <w:left w:w="0" w:type="dxa"/>
            <w:bottom w:w="0" w:type="dxa"/>
            <w:right w:w="0" w:type="dxa"/>
          </w:tblCellMar>
        </w:tblPrEx>
        <w:trPr>
          <w:trHeight w:val="454" w:hRule="atLeast"/>
          <w:jc w:val="center"/>
        </w:trPr>
        <w:tc>
          <w:tcPr>
            <w:tcW w:w="1138" w:type="pct"/>
            <w:gridSpan w:val="2"/>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9B6F857">
            <w:pPr>
              <w:spacing w:line="360" w:lineRule="exact"/>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报价部分（10分）</w:t>
            </w:r>
          </w:p>
        </w:tc>
        <w:tc>
          <w:tcPr>
            <w:tcW w:w="3861"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5D1FFFA8">
            <w:pPr>
              <w:autoSpaceDE w:val="0"/>
              <w:autoSpaceDN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根据投标人报价最低的为评审基准价，其价格分满分10分，其他投标人报价得分按照下列公式计算：报价得分=（评审基准价/投标报价）*10%*100</w:t>
            </w:r>
          </w:p>
        </w:tc>
      </w:tr>
      <w:tr w14:paraId="1333A66A">
        <w:tblPrEx>
          <w:tblCellMar>
            <w:top w:w="0" w:type="dxa"/>
            <w:left w:w="0" w:type="dxa"/>
            <w:bottom w:w="0" w:type="dxa"/>
            <w:right w:w="0" w:type="dxa"/>
          </w:tblCellMar>
        </w:tblPrEx>
        <w:trPr>
          <w:trHeight w:val="500" w:hRule="atLeast"/>
          <w:jc w:val="center"/>
        </w:trPr>
        <w:tc>
          <w:tcPr>
            <w:tcW w:w="397" w:type="pct"/>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C925F20">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商务部分（</w:t>
            </w:r>
            <w:r>
              <w:rPr>
                <w:rFonts w:hint="eastAsia" w:ascii="宋体" w:hAnsi="宋体" w:eastAsia="宋体" w:cs="宋体"/>
                <w:sz w:val="24"/>
                <w:szCs w:val="24"/>
                <w:lang w:val="en-US" w:eastAsia="zh-CN"/>
              </w:rPr>
              <w:t>32</w:t>
            </w:r>
            <w:r>
              <w:rPr>
                <w:rFonts w:hint="eastAsia" w:ascii="宋体" w:hAnsi="宋体" w:eastAsia="宋体" w:cs="宋体"/>
                <w:sz w:val="24"/>
                <w:szCs w:val="24"/>
              </w:rPr>
              <w:t>分）</w:t>
            </w:r>
          </w:p>
        </w:tc>
        <w:tc>
          <w:tcPr>
            <w:tcW w:w="741"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9059783">
            <w:pPr>
              <w:autoSpaceDE w:val="0"/>
              <w:autoSpaceDN w:val="0"/>
              <w:spacing w:line="360" w:lineRule="auto"/>
              <w:jc w:val="left"/>
              <w:rPr>
                <w:rFonts w:hint="eastAsia" w:ascii="宋体" w:hAnsi="宋体" w:eastAsia="宋体" w:cs="宋体"/>
                <w:sz w:val="24"/>
                <w:szCs w:val="24"/>
              </w:rPr>
            </w:pPr>
            <w:r>
              <w:rPr>
                <w:rFonts w:hint="eastAsia" w:ascii="宋体" w:hAnsi="宋体" w:eastAsia="宋体" w:cs="宋体"/>
                <w:sz w:val="24"/>
                <w:szCs w:val="24"/>
              </w:rPr>
              <w:t>偿付能力</w:t>
            </w:r>
            <w:r>
              <w:rPr>
                <w:rFonts w:hint="eastAsia" w:ascii="宋体" w:hAnsi="宋体" w:eastAsia="宋体" w:cs="宋体"/>
                <w:sz w:val="24"/>
                <w:szCs w:val="24"/>
              </w:rPr>
              <w:br w:type="textWrapping"/>
            </w:r>
            <w:r>
              <w:rPr>
                <w:rFonts w:hint="eastAsia" w:ascii="宋体" w:hAnsi="宋体" w:eastAsia="宋体" w:cs="宋体"/>
                <w:sz w:val="24"/>
                <w:szCs w:val="24"/>
              </w:rPr>
              <w:t>（10分）</w:t>
            </w:r>
          </w:p>
        </w:tc>
        <w:tc>
          <w:tcPr>
            <w:tcW w:w="3861" w:type="pct"/>
            <w:tcBorders>
              <w:top w:val="nil"/>
              <w:left w:val="nil"/>
              <w:bottom w:val="single" w:color="auto" w:sz="8" w:space="0"/>
              <w:right w:val="single" w:color="auto" w:sz="8" w:space="0"/>
            </w:tcBorders>
            <w:noWrap w:val="0"/>
            <w:tcMar>
              <w:top w:w="0" w:type="dxa"/>
              <w:left w:w="108" w:type="dxa"/>
              <w:bottom w:w="0" w:type="dxa"/>
              <w:right w:w="108" w:type="dxa"/>
            </w:tcMar>
            <w:vAlign w:val="top"/>
          </w:tcPr>
          <w:p w14:paraId="779EC46B">
            <w:pPr>
              <w:autoSpaceDE w:val="0"/>
              <w:autoSpaceDN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根据投标人或投标人总公司2024年第四季度综合偿付能力水平进行打分，最高得10分。</w:t>
            </w:r>
          </w:p>
          <w:p w14:paraId="316B727A">
            <w:pPr>
              <w:autoSpaceDE w:val="0"/>
              <w:autoSpaceDN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1.综合偿付能力充足率大于等于250%，得10分；</w:t>
            </w:r>
          </w:p>
          <w:p w14:paraId="2F1FE3D2">
            <w:pPr>
              <w:autoSpaceDE w:val="0"/>
              <w:autoSpaceDN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2.综合偿付能力充足率在200%—250%，得6分</w:t>
            </w:r>
          </w:p>
          <w:p w14:paraId="642CAB2F">
            <w:pPr>
              <w:autoSpaceDE w:val="0"/>
              <w:autoSpaceDN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3.综合偿付能力充足率在150—200%之间，得2分；</w:t>
            </w:r>
          </w:p>
          <w:p w14:paraId="310BA112">
            <w:pPr>
              <w:autoSpaceDE w:val="0"/>
              <w:autoSpaceDN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4.综合偿付能力小于150%，不得分。</w:t>
            </w:r>
          </w:p>
          <w:p w14:paraId="5B8028D2">
            <w:pPr>
              <w:autoSpaceDE w:val="0"/>
              <w:autoSpaceDN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以各公司向外披露的2024年第四季度偿付能力报告为准。</w:t>
            </w:r>
          </w:p>
          <w:p w14:paraId="0FAA6DB1">
            <w:pPr>
              <w:autoSpaceDE w:val="0"/>
              <w:autoSpaceDN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（说明：按照《保险公司偿付能力管理规定》保险公司偿付能力达标要求：（一）核心偿付能力充足率不低于50%；（二）综合偿付能力充足率不低于100%。）</w:t>
            </w:r>
          </w:p>
        </w:tc>
      </w:tr>
      <w:tr w14:paraId="745A73E2">
        <w:tblPrEx>
          <w:tblCellMar>
            <w:top w:w="0" w:type="dxa"/>
            <w:left w:w="0" w:type="dxa"/>
            <w:bottom w:w="0" w:type="dxa"/>
            <w:right w:w="0" w:type="dxa"/>
          </w:tblCellMar>
        </w:tblPrEx>
        <w:trPr>
          <w:trHeight w:val="688" w:hRule="atLeast"/>
          <w:jc w:val="center"/>
        </w:trPr>
        <w:tc>
          <w:tcPr>
            <w:tcW w:w="397" w:type="pct"/>
            <w:vMerge w:val="continue"/>
            <w:tcBorders>
              <w:top w:val="nil"/>
              <w:left w:val="single" w:color="auto" w:sz="8" w:space="0"/>
              <w:bottom w:val="single" w:color="auto" w:sz="8" w:space="0"/>
              <w:right w:val="single" w:color="auto" w:sz="8" w:space="0"/>
            </w:tcBorders>
            <w:noWrap w:val="0"/>
            <w:vAlign w:val="center"/>
          </w:tcPr>
          <w:p w14:paraId="13485C2F">
            <w:pPr>
              <w:rPr>
                <w:rFonts w:hint="eastAsia" w:ascii="宋体" w:hAnsi="宋体" w:eastAsia="宋体" w:cs="宋体"/>
                <w:sz w:val="24"/>
                <w:szCs w:val="24"/>
              </w:rPr>
            </w:pPr>
          </w:p>
        </w:tc>
        <w:tc>
          <w:tcPr>
            <w:tcW w:w="741" w:type="pct"/>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9759B48">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 xml:space="preserve">服务经验 </w:t>
            </w:r>
          </w:p>
          <w:p w14:paraId="37C45759">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12</w:t>
            </w:r>
            <w:r>
              <w:rPr>
                <w:rFonts w:hint="eastAsia" w:ascii="宋体" w:hAnsi="宋体" w:eastAsia="宋体" w:cs="宋体"/>
                <w:sz w:val="24"/>
                <w:szCs w:val="24"/>
              </w:rPr>
              <w:t xml:space="preserve">分） </w:t>
            </w:r>
          </w:p>
        </w:tc>
        <w:tc>
          <w:tcPr>
            <w:tcW w:w="3861" w:type="pct"/>
            <w:tcBorders>
              <w:top w:val="nil"/>
              <w:left w:val="nil"/>
              <w:bottom w:val="single" w:color="auto" w:sz="8" w:space="0"/>
              <w:right w:val="single" w:color="auto" w:sz="8" w:space="0"/>
            </w:tcBorders>
            <w:noWrap w:val="0"/>
            <w:tcMar>
              <w:top w:w="0" w:type="dxa"/>
              <w:left w:w="108" w:type="dxa"/>
              <w:bottom w:w="0" w:type="dxa"/>
              <w:right w:w="108" w:type="dxa"/>
            </w:tcMar>
            <w:vAlign w:val="top"/>
          </w:tcPr>
          <w:p w14:paraId="29AD5C76">
            <w:pPr>
              <w:autoSpaceDE w:val="0"/>
              <w:autoSpaceDN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自2022年5月1日以来，投标人或其分支机构承保过类似合同业绩，每有一个得2分，最高12分。注：须提供体现投保人、保障内容的保险协议或保险合同等证明材料的复印件（加盖公章），否则不得分。时间以签订时间为准。</w:t>
            </w:r>
          </w:p>
        </w:tc>
      </w:tr>
      <w:tr w14:paraId="304664C5">
        <w:tblPrEx>
          <w:tblCellMar>
            <w:top w:w="0" w:type="dxa"/>
            <w:left w:w="0" w:type="dxa"/>
            <w:bottom w:w="0" w:type="dxa"/>
            <w:right w:w="0" w:type="dxa"/>
          </w:tblCellMar>
        </w:tblPrEx>
        <w:trPr>
          <w:trHeight w:val="1012" w:hRule="atLeast"/>
          <w:jc w:val="center"/>
        </w:trPr>
        <w:tc>
          <w:tcPr>
            <w:tcW w:w="397" w:type="pct"/>
            <w:vMerge w:val="continue"/>
            <w:tcBorders>
              <w:top w:val="nil"/>
              <w:left w:val="single" w:color="auto" w:sz="8" w:space="0"/>
              <w:bottom w:val="single" w:color="000000" w:sz="8" w:space="0"/>
              <w:right w:val="single" w:color="auto" w:sz="8" w:space="0"/>
            </w:tcBorders>
            <w:noWrap w:val="0"/>
            <w:vAlign w:val="center"/>
          </w:tcPr>
          <w:p w14:paraId="50E53392">
            <w:pPr>
              <w:rPr>
                <w:rFonts w:hint="eastAsia" w:ascii="宋体" w:hAnsi="宋体" w:eastAsia="宋体" w:cs="宋体"/>
                <w:sz w:val="24"/>
                <w:szCs w:val="24"/>
              </w:rPr>
            </w:pPr>
          </w:p>
        </w:tc>
        <w:tc>
          <w:tcPr>
            <w:tcW w:w="741" w:type="pct"/>
            <w:tcBorders>
              <w:top w:val="single" w:color="auto" w:sz="8" w:space="0"/>
              <w:left w:val="single" w:color="auto" w:sz="8" w:space="0"/>
              <w:bottom w:val="single" w:color="000000" w:sz="8" w:space="0"/>
              <w:right w:val="single" w:color="auto" w:sz="8" w:space="0"/>
            </w:tcBorders>
            <w:noWrap w:val="0"/>
            <w:tcMar>
              <w:top w:w="0" w:type="dxa"/>
              <w:left w:w="108" w:type="dxa"/>
              <w:bottom w:w="0" w:type="dxa"/>
              <w:right w:w="108" w:type="dxa"/>
            </w:tcMar>
            <w:vAlign w:val="center"/>
          </w:tcPr>
          <w:p w14:paraId="6D24E0C3">
            <w:pPr>
              <w:autoSpaceDE w:val="0"/>
              <w:autoSpaceDN w:val="0"/>
              <w:spacing w:line="360" w:lineRule="exact"/>
              <w:jc w:val="center"/>
              <w:rPr>
                <w:rFonts w:hint="eastAsia" w:ascii="宋体" w:hAnsi="宋体" w:eastAsia="宋体" w:cs="宋体"/>
                <w:sz w:val="24"/>
                <w:szCs w:val="24"/>
              </w:rPr>
            </w:pPr>
            <w:r>
              <w:rPr>
                <w:rFonts w:hint="eastAsia" w:ascii="宋体" w:hAnsi="宋体" w:eastAsia="宋体" w:cs="宋体"/>
                <w:sz w:val="24"/>
                <w:szCs w:val="24"/>
              </w:rPr>
              <w:t>服务团队</w:t>
            </w:r>
          </w:p>
          <w:p w14:paraId="1A7163A3">
            <w:pPr>
              <w:autoSpaceDE w:val="0"/>
              <w:autoSpaceDN w:val="0"/>
              <w:spacing w:line="360" w:lineRule="exact"/>
              <w:jc w:val="center"/>
              <w:rPr>
                <w:rFonts w:hint="eastAsia" w:ascii="宋体" w:hAnsi="宋体" w:eastAsia="宋体" w:cs="宋体"/>
                <w:sz w:val="24"/>
                <w:szCs w:val="24"/>
              </w:rPr>
            </w:pPr>
            <w:r>
              <w:rPr>
                <w:rFonts w:hint="eastAsia" w:ascii="宋体" w:hAnsi="宋体" w:eastAsia="宋体" w:cs="宋体"/>
                <w:sz w:val="24"/>
                <w:szCs w:val="24"/>
              </w:rPr>
              <w:t>（10分）</w:t>
            </w:r>
          </w:p>
        </w:tc>
        <w:tc>
          <w:tcPr>
            <w:tcW w:w="3861" w:type="pct"/>
            <w:tcBorders>
              <w:top w:val="single" w:color="auto" w:sz="8" w:space="0"/>
              <w:left w:val="single" w:color="auto" w:sz="8" w:space="0"/>
              <w:bottom w:val="single" w:color="000000" w:sz="8" w:space="0"/>
              <w:right w:val="single" w:color="auto" w:sz="8" w:space="0"/>
            </w:tcBorders>
            <w:noWrap w:val="0"/>
            <w:tcMar>
              <w:top w:w="0" w:type="dxa"/>
              <w:left w:w="108" w:type="dxa"/>
              <w:bottom w:w="0" w:type="dxa"/>
              <w:right w:w="108" w:type="dxa"/>
            </w:tcMar>
            <w:vAlign w:val="top"/>
          </w:tcPr>
          <w:p w14:paraId="2BCDB9BC">
            <w:pPr>
              <w:autoSpaceDE w:val="0"/>
              <w:autoSpaceDN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根据投标人服务团队设立及人员情况，予以打分，人员配备充足、经验丰富的得满分10分。每有一处不足扣减1分，扣完为止。</w:t>
            </w:r>
          </w:p>
        </w:tc>
      </w:tr>
      <w:tr w14:paraId="4F839143">
        <w:tblPrEx>
          <w:tblCellMar>
            <w:top w:w="0" w:type="dxa"/>
            <w:left w:w="0" w:type="dxa"/>
            <w:bottom w:w="0" w:type="dxa"/>
            <w:right w:w="0" w:type="dxa"/>
          </w:tblCellMar>
        </w:tblPrEx>
        <w:trPr>
          <w:trHeight w:val="500" w:hRule="atLeast"/>
          <w:jc w:val="center"/>
        </w:trPr>
        <w:tc>
          <w:tcPr>
            <w:tcW w:w="397" w:type="pct"/>
            <w:vMerge w:val="restart"/>
            <w:tcBorders>
              <w:top w:val="single" w:color="000000" w:sz="8" w:space="0"/>
              <w:left w:val="single" w:color="000000" w:sz="8" w:space="0"/>
              <w:right w:val="single" w:color="000000" w:sz="8" w:space="0"/>
            </w:tcBorders>
            <w:noWrap w:val="0"/>
            <w:vAlign w:val="center"/>
          </w:tcPr>
          <w:p w14:paraId="61F11D2D">
            <w:pPr>
              <w:spacing w:line="40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技术部分（</w:t>
            </w:r>
            <w:r>
              <w:rPr>
                <w:rFonts w:hint="eastAsia" w:ascii="宋体" w:hAnsi="宋体" w:eastAsia="宋体" w:cs="宋体"/>
                <w:sz w:val="24"/>
                <w:szCs w:val="24"/>
                <w:lang w:val="en-US" w:eastAsia="zh-CN"/>
              </w:rPr>
              <w:t>58</w:t>
            </w:r>
            <w:r>
              <w:rPr>
                <w:rFonts w:hint="eastAsia" w:ascii="宋体" w:hAnsi="宋体" w:eastAsia="宋体" w:cs="宋体"/>
                <w:sz w:val="24"/>
                <w:szCs w:val="24"/>
              </w:rPr>
              <w:t>分）</w:t>
            </w:r>
          </w:p>
        </w:tc>
        <w:tc>
          <w:tcPr>
            <w:tcW w:w="741"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5227B8">
            <w:pPr>
              <w:spacing w:line="360" w:lineRule="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整体认识 （6 分）</w:t>
            </w:r>
          </w:p>
        </w:tc>
        <w:tc>
          <w:tcPr>
            <w:tcW w:w="3861"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BF89A87">
            <w:pPr>
              <w:spacing w:line="360" w:lineRule="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评标委员会根据供应商对本项目整体统筹规划、风险管理认识、工作重点难点的理解程度等内容进行综合评定： 内容阐述全面详细、认识充分、理解准确的得满分6分；</w:t>
            </w:r>
            <w:r>
              <w:rPr>
                <w:rFonts w:hint="eastAsia" w:ascii="宋体" w:hAnsi="宋体" w:eastAsia="宋体" w:cs="宋体"/>
                <w:color w:val="auto"/>
                <w:sz w:val="24"/>
                <w:szCs w:val="24"/>
                <w:highlight w:val="none"/>
                <w:lang w:val="en-US" w:eastAsia="zh-CN"/>
              </w:rPr>
              <w:t>每有一处不足扣减1分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扣完为止。</w:t>
            </w:r>
          </w:p>
        </w:tc>
      </w:tr>
      <w:tr w14:paraId="2464326A">
        <w:tblPrEx>
          <w:tblCellMar>
            <w:top w:w="0" w:type="dxa"/>
            <w:left w:w="0" w:type="dxa"/>
            <w:bottom w:w="0" w:type="dxa"/>
            <w:right w:w="0" w:type="dxa"/>
          </w:tblCellMar>
        </w:tblPrEx>
        <w:trPr>
          <w:trHeight w:val="500" w:hRule="atLeast"/>
          <w:jc w:val="center"/>
        </w:trPr>
        <w:tc>
          <w:tcPr>
            <w:tcW w:w="397" w:type="pct"/>
            <w:vMerge w:val="continue"/>
            <w:tcBorders>
              <w:left w:val="single" w:color="000000" w:sz="8" w:space="0"/>
              <w:right w:val="single" w:color="000000" w:sz="8" w:space="0"/>
            </w:tcBorders>
            <w:noWrap w:val="0"/>
            <w:vAlign w:val="top"/>
          </w:tcPr>
          <w:p w14:paraId="476AD3C9">
            <w:pPr>
              <w:rPr>
                <w:rFonts w:hint="eastAsia" w:ascii="宋体" w:hAnsi="宋体" w:eastAsia="宋体" w:cs="宋体"/>
                <w:sz w:val="24"/>
                <w:szCs w:val="24"/>
              </w:rPr>
            </w:pPr>
          </w:p>
        </w:tc>
        <w:tc>
          <w:tcPr>
            <w:tcW w:w="741" w:type="pct"/>
            <w:tcBorders>
              <w:top w:val="single" w:color="000000" w:sz="8" w:space="0"/>
              <w:left w:val="single" w:color="000000" w:sz="8" w:space="0"/>
              <w:bottom w:val="single" w:color="000000" w:sz="8" w:space="0"/>
              <w:right w:val="single" w:color="000000" w:sz="8" w:space="0"/>
            </w:tcBorders>
            <w:noWrap w:val="0"/>
            <w:vAlign w:val="center"/>
          </w:tcPr>
          <w:p w14:paraId="4B24EC80">
            <w:pPr>
              <w:spacing w:line="360" w:lineRule="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承保服务 方案（12分）</w:t>
            </w:r>
          </w:p>
        </w:tc>
        <w:tc>
          <w:tcPr>
            <w:tcW w:w="3861" w:type="pct"/>
            <w:tcBorders>
              <w:top w:val="single" w:color="000000" w:sz="8" w:space="0"/>
              <w:left w:val="single" w:color="000000" w:sz="8" w:space="0"/>
              <w:bottom w:val="single" w:color="000000" w:sz="8" w:space="0"/>
              <w:right w:val="single" w:color="000000" w:sz="8" w:space="0"/>
            </w:tcBorders>
            <w:noWrap w:val="0"/>
            <w:vAlign w:val="top"/>
          </w:tcPr>
          <w:p w14:paraId="0D410452">
            <w:pPr>
              <w:spacing w:line="360" w:lineRule="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1.承保团队服务人员配置十分合理、管理制度非常健全的得满分4 分，</w:t>
            </w:r>
            <w:r>
              <w:rPr>
                <w:rFonts w:hint="eastAsia" w:ascii="宋体" w:hAnsi="宋体" w:eastAsia="宋体" w:cs="宋体"/>
                <w:color w:val="auto"/>
                <w:sz w:val="24"/>
                <w:szCs w:val="24"/>
                <w:highlight w:val="none"/>
                <w:lang w:val="en-US" w:eastAsia="zh-CN"/>
              </w:rPr>
              <w:t>每有一处不足扣减1分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扣完为止</w:t>
            </w:r>
            <w:r>
              <w:rPr>
                <w:rFonts w:hint="eastAsia" w:ascii="宋体" w:hAnsi="宋体" w:eastAsia="宋体" w:cs="宋体"/>
                <w:sz w:val="24"/>
                <w:szCs w:val="24"/>
                <w:shd w:val="clear" w:color="auto" w:fill="auto"/>
                <w:lang w:val="en-US" w:eastAsia="zh-CN"/>
              </w:rPr>
              <w:t>，未提供不得分。</w:t>
            </w:r>
          </w:p>
          <w:p w14:paraId="79670816">
            <w:pPr>
              <w:spacing w:line="360" w:lineRule="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2.承保流程规范非常快捷、顺畅清晰的得满分4 分，</w:t>
            </w:r>
            <w:r>
              <w:rPr>
                <w:rFonts w:hint="eastAsia" w:ascii="宋体" w:hAnsi="宋体" w:eastAsia="宋体" w:cs="宋体"/>
                <w:color w:val="auto"/>
                <w:sz w:val="24"/>
                <w:szCs w:val="24"/>
                <w:highlight w:val="none"/>
                <w:lang w:val="en-US" w:eastAsia="zh-CN"/>
              </w:rPr>
              <w:t>每有一处不足扣减1分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扣完为止</w:t>
            </w:r>
            <w:r>
              <w:rPr>
                <w:rFonts w:hint="eastAsia" w:ascii="宋体" w:hAnsi="宋体" w:eastAsia="宋体" w:cs="宋体"/>
                <w:sz w:val="24"/>
                <w:szCs w:val="24"/>
                <w:shd w:val="clear" w:color="auto" w:fill="auto"/>
                <w:lang w:val="en-US" w:eastAsia="zh-CN"/>
              </w:rPr>
              <w:t>，未提供不得分。</w:t>
            </w:r>
          </w:p>
          <w:p w14:paraId="1A839A15">
            <w:pPr>
              <w:spacing w:line="360" w:lineRule="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3.校方责任保险方案完全响应得满分4 分，</w:t>
            </w:r>
            <w:r>
              <w:rPr>
                <w:rFonts w:hint="eastAsia" w:ascii="宋体" w:hAnsi="宋体" w:eastAsia="宋体" w:cs="宋体"/>
                <w:color w:val="auto"/>
                <w:sz w:val="24"/>
                <w:szCs w:val="24"/>
                <w:highlight w:val="none"/>
                <w:lang w:val="en-US" w:eastAsia="zh-CN"/>
              </w:rPr>
              <w:t>每有一处不足扣减1分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扣完为止</w:t>
            </w:r>
            <w:r>
              <w:rPr>
                <w:rFonts w:hint="eastAsia" w:ascii="宋体" w:hAnsi="宋体" w:eastAsia="宋体" w:cs="宋体"/>
                <w:sz w:val="24"/>
                <w:szCs w:val="24"/>
                <w:shd w:val="clear" w:color="auto" w:fill="auto"/>
                <w:lang w:val="en-US" w:eastAsia="zh-CN"/>
              </w:rPr>
              <w:t>，未提供不得分。</w:t>
            </w:r>
          </w:p>
        </w:tc>
      </w:tr>
      <w:tr w14:paraId="651602B4">
        <w:tblPrEx>
          <w:tblCellMar>
            <w:top w:w="0" w:type="dxa"/>
            <w:left w:w="0" w:type="dxa"/>
            <w:bottom w:w="0" w:type="dxa"/>
            <w:right w:w="0" w:type="dxa"/>
          </w:tblCellMar>
        </w:tblPrEx>
        <w:trPr>
          <w:trHeight w:val="500" w:hRule="atLeast"/>
          <w:jc w:val="center"/>
        </w:trPr>
        <w:tc>
          <w:tcPr>
            <w:tcW w:w="397" w:type="pct"/>
            <w:vMerge w:val="continue"/>
            <w:tcBorders>
              <w:left w:val="single" w:color="000000" w:sz="8" w:space="0"/>
              <w:right w:val="single" w:color="000000" w:sz="8" w:space="0"/>
            </w:tcBorders>
            <w:noWrap w:val="0"/>
            <w:vAlign w:val="top"/>
          </w:tcPr>
          <w:p w14:paraId="1B6CE32F">
            <w:pPr>
              <w:rPr>
                <w:rFonts w:hint="eastAsia" w:ascii="宋体" w:hAnsi="宋体" w:eastAsia="宋体" w:cs="宋体"/>
                <w:sz w:val="24"/>
                <w:szCs w:val="24"/>
              </w:rPr>
            </w:pPr>
          </w:p>
        </w:tc>
        <w:tc>
          <w:tcPr>
            <w:tcW w:w="741" w:type="pct"/>
            <w:tcBorders>
              <w:top w:val="single" w:color="000000" w:sz="8" w:space="0"/>
              <w:left w:val="single" w:color="000000" w:sz="8" w:space="0"/>
              <w:bottom w:val="single" w:color="000000" w:sz="8" w:space="0"/>
              <w:right w:val="single" w:color="000000" w:sz="8" w:space="0"/>
            </w:tcBorders>
            <w:noWrap w:val="0"/>
            <w:vAlign w:val="center"/>
          </w:tcPr>
          <w:p w14:paraId="6EAEE3E6">
            <w:pPr>
              <w:spacing w:line="360" w:lineRule="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理赔服务 （17分）</w:t>
            </w:r>
          </w:p>
        </w:tc>
        <w:tc>
          <w:tcPr>
            <w:tcW w:w="3861" w:type="pct"/>
            <w:tcBorders>
              <w:top w:val="single" w:color="000000" w:sz="8" w:space="0"/>
              <w:left w:val="single" w:color="000000" w:sz="8" w:space="0"/>
              <w:bottom w:val="single" w:color="000000" w:sz="8" w:space="0"/>
              <w:right w:val="single" w:color="000000" w:sz="8" w:space="0"/>
            </w:tcBorders>
            <w:noWrap w:val="0"/>
            <w:vAlign w:val="top"/>
          </w:tcPr>
          <w:p w14:paraId="495E84A1">
            <w:pPr>
              <w:spacing w:line="360" w:lineRule="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理赔服务团队设施设备配备齐全、组织有序的得满分3分，</w:t>
            </w:r>
            <w:r>
              <w:rPr>
                <w:rFonts w:hint="eastAsia" w:ascii="宋体" w:hAnsi="宋体" w:eastAsia="宋体" w:cs="宋体"/>
                <w:color w:val="auto"/>
                <w:sz w:val="24"/>
                <w:szCs w:val="24"/>
                <w:highlight w:val="none"/>
                <w:lang w:val="en-US" w:eastAsia="zh-CN"/>
              </w:rPr>
              <w:t>每有一处不足扣减0.5分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扣完为止</w:t>
            </w:r>
            <w:r>
              <w:rPr>
                <w:rFonts w:hint="eastAsia" w:ascii="宋体" w:hAnsi="宋体" w:eastAsia="宋体" w:cs="宋体"/>
                <w:sz w:val="24"/>
                <w:szCs w:val="24"/>
                <w:shd w:val="clear" w:color="auto" w:fill="auto"/>
                <w:lang w:val="en-US" w:eastAsia="zh-CN"/>
              </w:rPr>
              <w:t>，未提供不得分。</w:t>
            </w:r>
          </w:p>
          <w:p w14:paraId="02576468">
            <w:pPr>
              <w:spacing w:line="360" w:lineRule="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2.评标委员会根据供应商通过科技手段、创新措施的应用对理赔效率的提高程度进行综合评定：理赔效率高的得满分2分，</w:t>
            </w:r>
            <w:r>
              <w:rPr>
                <w:rFonts w:hint="eastAsia" w:ascii="宋体" w:hAnsi="宋体" w:eastAsia="宋体" w:cs="宋体"/>
                <w:color w:val="auto"/>
                <w:sz w:val="24"/>
                <w:szCs w:val="24"/>
                <w:highlight w:val="none"/>
                <w:lang w:val="en-US" w:eastAsia="zh-CN"/>
              </w:rPr>
              <w:t>每有一处不足扣减0.5分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扣完为止</w:t>
            </w:r>
            <w:r>
              <w:rPr>
                <w:rFonts w:hint="eastAsia" w:ascii="宋体" w:hAnsi="宋体" w:eastAsia="宋体" w:cs="宋体"/>
                <w:sz w:val="24"/>
                <w:szCs w:val="24"/>
                <w:shd w:val="clear" w:color="auto" w:fill="auto"/>
                <w:lang w:val="en-US" w:eastAsia="zh-CN"/>
              </w:rPr>
              <w:t>，未提供不得分。</w:t>
            </w:r>
          </w:p>
          <w:p w14:paraId="6AF446BF">
            <w:pPr>
              <w:spacing w:line="360" w:lineRule="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3.具有完善的理赔制度，保证项目安全实施的得满分2分，</w:t>
            </w:r>
            <w:r>
              <w:rPr>
                <w:rFonts w:hint="eastAsia" w:ascii="宋体" w:hAnsi="宋体" w:eastAsia="宋体" w:cs="宋体"/>
                <w:color w:val="auto"/>
                <w:sz w:val="24"/>
                <w:szCs w:val="24"/>
                <w:highlight w:val="none"/>
                <w:lang w:val="en-US" w:eastAsia="zh-CN"/>
              </w:rPr>
              <w:t>每有一处不足扣减0.5分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扣完为止</w:t>
            </w:r>
            <w:r>
              <w:rPr>
                <w:rFonts w:hint="eastAsia" w:ascii="宋体" w:hAnsi="宋体" w:eastAsia="宋体" w:cs="宋体"/>
                <w:sz w:val="24"/>
                <w:szCs w:val="24"/>
                <w:shd w:val="clear" w:color="auto" w:fill="auto"/>
                <w:lang w:val="en-US" w:eastAsia="zh-CN"/>
              </w:rPr>
              <w:t>，未提供不得分。</w:t>
            </w:r>
          </w:p>
          <w:p w14:paraId="104845A9">
            <w:pPr>
              <w:spacing w:line="360" w:lineRule="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4.建立小额案件快速理赔服务方案，方案完善、切实可行的得满分3分，</w:t>
            </w:r>
            <w:r>
              <w:rPr>
                <w:rFonts w:hint="eastAsia" w:ascii="宋体" w:hAnsi="宋体" w:eastAsia="宋体" w:cs="宋体"/>
                <w:color w:val="auto"/>
                <w:sz w:val="24"/>
                <w:szCs w:val="24"/>
                <w:highlight w:val="none"/>
                <w:lang w:val="en-US" w:eastAsia="zh-CN"/>
              </w:rPr>
              <w:t>每有一处不足扣减0.5分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扣完为止</w:t>
            </w:r>
            <w:r>
              <w:rPr>
                <w:rFonts w:hint="eastAsia" w:ascii="宋体" w:hAnsi="宋体" w:eastAsia="宋体" w:cs="宋体"/>
                <w:sz w:val="24"/>
                <w:szCs w:val="24"/>
                <w:shd w:val="clear" w:color="auto" w:fill="auto"/>
                <w:lang w:val="en-US" w:eastAsia="zh-CN"/>
              </w:rPr>
              <w:t>，未提供不得分。</w:t>
            </w:r>
          </w:p>
          <w:p w14:paraId="4702A99E">
            <w:pPr>
              <w:spacing w:line="360" w:lineRule="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5.建立重大案件预付赔款服务方案，方案完善、切实可行的得满分5分，</w:t>
            </w:r>
            <w:r>
              <w:rPr>
                <w:rFonts w:hint="eastAsia" w:ascii="宋体" w:hAnsi="宋体" w:eastAsia="宋体" w:cs="宋体"/>
                <w:color w:val="auto"/>
                <w:sz w:val="24"/>
                <w:szCs w:val="24"/>
                <w:highlight w:val="none"/>
                <w:lang w:val="en-US" w:eastAsia="zh-CN"/>
              </w:rPr>
              <w:t>每有一处不足扣减0.5分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扣完为止</w:t>
            </w:r>
            <w:r>
              <w:rPr>
                <w:rFonts w:hint="eastAsia" w:ascii="宋体" w:hAnsi="宋体" w:eastAsia="宋体" w:cs="宋体"/>
                <w:sz w:val="24"/>
                <w:szCs w:val="24"/>
                <w:shd w:val="clear" w:color="auto" w:fill="auto"/>
                <w:lang w:val="en-US" w:eastAsia="zh-CN"/>
              </w:rPr>
              <w:t>，未提供不得分。</w:t>
            </w:r>
          </w:p>
          <w:p w14:paraId="5C40900C">
            <w:pPr>
              <w:spacing w:line="360" w:lineRule="auto"/>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6.供应商为学校提供的上门服务迅速及时、理赔资料收集方案简洁明了的得满分2分，</w:t>
            </w:r>
            <w:r>
              <w:rPr>
                <w:rFonts w:hint="eastAsia" w:ascii="宋体" w:hAnsi="宋体" w:eastAsia="宋体" w:cs="宋体"/>
                <w:color w:val="auto"/>
                <w:sz w:val="24"/>
                <w:szCs w:val="24"/>
                <w:highlight w:val="none"/>
                <w:lang w:val="en-US" w:eastAsia="zh-CN"/>
              </w:rPr>
              <w:t>每有一处不足扣减0.5分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扣完为止</w:t>
            </w:r>
            <w:r>
              <w:rPr>
                <w:rFonts w:hint="eastAsia" w:ascii="宋体" w:hAnsi="宋体" w:eastAsia="宋体" w:cs="宋体"/>
                <w:sz w:val="24"/>
                <w:szCs w:val="24"/>
                <w:shd w:val="clear" w:color="auto" w:fill="auto"/>
                <w:lang w:val="en-US" w:eastAsia="zh-CN"/>
              </w:rPr>
              <w:t>，未提供不得分。</w:t>
            </w:r>
          </w:p>
        </w:tc>
      </w:tr>
      <w:tr w14:paraId="6619A32A">
        <w:tblPrEx>
          <w:tblCellMar>
            <w:top w:w="0" w:type="dxa"/>
            <w:left w:w="0" w:type="dxa"/>
            <w:bottom w:w="0" w:type="dxa"/>
            <w:right w:w="0" w:type="dxa"/>
          </w:tblCellMar>
        </w:tblPrEx>
        <w:trPr>
          <w:trHeight w:val="500" w:hRule="atLeast"/>
          <w:jc w:val="center"/>
        </w:trPr>
        <w:tc>
          <w:tcPr>
            <w:tcW w:w="397" w:type="pct"/>
            <w:vMerge w:val="continue"/>
            <w:tcBorders>
              <w:left w:val="single" w:color="000000" w:sz="8" w:space="0"/>
              <w:right w:val="single" w:color="000000" w:sz="8" w:space="0"/>
            </w:tcBorders>
            <w:noWrap w:val="0"/>
            <w:vAlign w:val="top"/>
          </w:tcPr>
          <w:p w14:paraId="37A4183A">
            <w:pPr>
              <w:rPr>
                <w:rFonts w:hint="eastAsia" w:ascii="宋体" w:hAnsi="宋体" w:eastAsia="宋体" w:cs="宋体"/>
                <w:sz w:val="24"/>
                <w:szCs w:val="24"/>
              </w:rPr>
            </w:pPr>
          </w:p>
        </w:tc>
        <w:tc>
          <w:tcPr>
            <w:tcW w:w="741" w:type="pct"/>
            <w:tcBorders>
              <w:top w:val="single" w:color="000000" w:sz="8" w:space="0"/>
              <w:left w:val="single" w:color="000000" w:sz="8" w:space="0"/>
              <w:bottom w:val="single" w:color="000000" w:sz="8" w:space="0"/>
              <w:right w:val="single" w:color="000000" w:sz="8" w:space="0"/>
            </w:tcBorders>
            <w:noWrap w:val="0"/>
            <w:vAlign w:val="center"/>
          </w:tcPr>
          <w:p w14:paraId="58B0A5AD">
            <w:pPr>
              <w:autoSpaceDE w:val="0"/>
              <w:autoSpaceDN w:val="0"/>
              <w:spacing w:line="360" w:lineRule="exact"/>
              <w:jc w:val="center"/>
              <w:rPr>
                <w:rFonts w:hint="eastAsia" w:ascii="宋体" w:hAnsi="宋体" w:eastAsia="宋体" w:cs="宋体"/>
                <w:sz w:val="24"/>
                <w:szCs w:val="24"/>
              </w:rPr>
            </w:pPr>
            <w:r>
              <w:rPr>
                <w:rFonts w:hint="eastAsia" w:ascii="宋体" w:hAnsi="宋体" w:eastAsia="宋体" w:cs="宋体"/>
                <w:sz w:val="24"/>
                <w:szCs w:val="24"/>
              </w:rPr>
              <w:t>理赔时效</w:t>
            </w:r>
          </w:p>
          <w:p w14:paraId="1E7AE32D">
            <w:pPr>
              <w:autoSpaceDE w:val="0"/>
              <w:autoSpaceDN w:val="0"/>
              <w:spacing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r>
              <w:rPr>
                <w:rFonts w:hint="eastAsia" w:ascii="宋体" w:hAnsi="宋体" w:eastAsia="宋体" w:cs="宋体"/>
                <w:sz w:val="24"/>
                <w:szCs w:val="24"/>
                <w:lang w:val="en-US" w:eastAsia="zh-CN"/>
              </w:rPr>
              <w:t>15</w:t>
            </w:r>
            <w:r>
              <w:rPr>
                <w:rFonts w:hint="eastAsia" w:ascii="宋体" w:hAnsi="宋体" w:eastAsia="宋体" w:cs="宋体"/>
                <w:sz w:val="24"/>
                <w:szCs w:val="24"/>
              </w:rPr>
              <w:t>分）</w:t>
            </w:r>
          </w:p>
        </w:tc>
        <w:tc>
          <w:tcPr>
            <w:tcW w:w="3861" w:type="pct"/>
            <w:tcBorders>
              <w:top w:val="single" w:color="000000" w:sz="8" w:space="0"/>
              <w:left w:val="single" w:color="000000" w:sz="8" w:space="0"/>
              <w:bottom w:val="single" w:color="000000" w:sz="8" w:space="0"/>
              <w:right w:val="single" w:color="000000" w:sz="8" w:space="0"/>
            </w:tcBorders>
            <w:noWrap w:val="0"/>
            <w:vAlign w:val="top"/>
          </w:tcPr>
          <w:p w14:paraId="3E240632">
            <w:pPr>
              <w:pStyle w:val="136"/>
              <w:autoSpaceDE w:val="0"/>
              <w:autoSpaceDN w:val="0"/>
              <w:spacing w:line="360" w:lineRule="auto"/>
              <w:ind w:left="0" w:leftChars="0" w:firstLine="0" w:firstLineChars="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理赔服务时效</w:t>
            </w:r>
            <w:r>
              <w:rPr>
                <w:rFonts w:hint="eastAsia" w:ascii="宋体" w:hAnsi="宋体" w:eastAsia="宋体" w:cs="宋体"/>
                <w:sz w:val="24"/>
                <w:szCs w:val="24"/>
                <w:highlight w:val="none"/>
                <w:lang w:val="en-US" w:eastAsia="zh-CN"/>
              </w:rPr>
              <w:t>承诺</w:t>
            </w:r>
            <w:r>
              <w:rPr>
                <w:rFonts w:hint="eastAsia" w:ascii="宋体" w:hAnsi="宋体" w:eastAsia="宋体" w:cs="宋体"/>
                <w:sz w:val="24"/>
                <w:szCs w:val="24"/>
                <w:highlight w:val="none"/>
                <w:lang w:val="zh-CN"/>
              </w:rPr>
              <w:t>：在理赔材料齐全的情况下，</w:t>
            </w:r>
          </w:p>
          <w:p w14:paraId="4D144D02">
            <w:pPr>
              <w:pStyle w:val="136"/>
              <w:autoSpaceDE w:val="0"/>
              <w:autoSpaceDN w:val="0"/>
              <w:spacing w:line="360" w:lineRule="auto"/>
              <w:ind w:left="0" w:lef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1000元以下理赔案件：3日</w:t>
            </w:r>
            <w:r>
              <w:rPr>
                <w:rFonts w:hint="eastAsia" w:ascii="宋体" w:hAnsi="宋体" w:eastAsia="宋体" w:cs="宋体"/>
                <w:sz w:val="24"/>
                <w:szCs w:val="24"/>
                <w:highlight w:val="none"/>
                <w:lang w:val="en-US" w:eastAsia="zh-CN"/>
              </w:rPr>
              <w:t>内</w:t>
            </w:r>
            <w:r>
              <w:rPr>
                <w:rFonts w:hint="eastAsia" w:ascii="宋体" w:hAnsi="宋体" w:eastAsia="宋体" w:cs="宋体"/>
                <w:sz w:val="24"/>
                <w:szCs w:val="24"/>
                <w:highlight w:val="none"/>
              </w:rPr>
              <w:t>结案；</w:t>
            </w:r>
          </w:p>
          <w:p w14:paraId="25DE2CB5">
            <w:pPr>
              <w:pStyle w:val="136"/>
              <w:autoSpaceDE w:val="0"/>
              <w:autoSpaceDN w:val="0"/>
              <w:spacing w:line="360" w:lineRule="auto"/>
              <w:ind w:left="0" w:lef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1000-10000元理赔案件：5日</w:t>
            </w:r>
            <w:r>
              <w:rPr>
                <w:rFonts w:hint="eastAsia" w:ascii="宋体" w:hAnsi="宋体" w:eastAsia="宋体" w:cs="宋体"/>
                <w:sz w:val="24"/>
                <w:szCs w:val="24"/>
                <w:highlight w:val="none"/>
                <w:lang w:val="en-US" w:eastAsia="zh-CN"/>
              </w:rPr>
              <w:t>内</w:t>
            </w:r>
            <w:r>
              <w:rPr>
                <w:rFonts w:hint="eastAsia" w:ascii="宋体" w:hAnsi="宋体" w:eastAsia="宋体" w:cs="宋体"/>
                <w:sz w:val="24"/>
                <w:szCs w:val="24"/>
                <w:highlight w:val="none"/>
              </w:rPr>
              <w:t>结案；</w:t>
            </w:r>
          </w:p>
          <w:p w14:paraId="0D12BE64">
            <w:pPr>
              <w:pStyle w:val="136"/>
              <w:autoSpaceDE w:val="0"/>
              <w:autoSpaceDN w:val="0"/>
              <w:spacing w:line="360" w:lineRule="auto"/>
              <w:ind w:left="0" w:lef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10000-30000元理赔案件：7日内结案；</w:t>
            </w:r>
          </w:p>
          <w:p w14:paraId="1B50437F">
            <w:pPr>
              <w:pStyle w:val="136"/>
              <w:autoSpaceDE w:val="0"/>
              <w:autoSpaceDN w:val="0"/>
              <w:spacing w:line="360" w:lineRule="auto"/>
              <w:ind w:left="0" w:lef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30000元以上理赔案件：10日</w:t>
            </w:r>
            <w:r>
              <w:rPr>
                <w:rFonts w:hint="eastAsia" w:ascii="宋体" w:hAnsi="宋体" w:eastAsia="宋体" w:cs="宋体"/>
                <w:sz w:val="24"/>
                <w:szCs w:val="24"/>
                <w:highlight w:val="none"/>
                <w:lang w:val="en-US" w:eastAsia="zh-CN"/>
              </w:rPr>
              <w:t>内</w:t>
            </w:r>
            <w:r>
              <w:rPr>
                <w:rFonts w:hint="eastAsia" w:ascii="宋体" w:hAnsi="宋体" w:eastAsia="宋体" w:cs="宋体"/>
                <w:sz w:val="24"/>
                <w:szCs w:val="24"/>
                <w:highlight w:val="none"/>
              </w:rPr>
              <w:t>结案。</w:t>
            </w:r>
          </w:p>
          <w:p w14:paraId="0C647288">
            <w:pPr>
              <w:pStyle w:val="136"/>
              <w:autoSpaceDE w:val="0"/>
              <w:autoSpaceDN w:val="0"/>
              <w:spacing w:line="360" w:lineRule="auto"/>
              <w:ind w:left="0" w:leftChars="0" w:firstLine="0" w:firstLineChars="0"/>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以上四项结案时效全部符合</w:t>
            </w:r>
            <w:r>
              <w:rPr>
                <w:rFonts w:hint="eastAsia" w:ascii="宋体" w:hAnsi="宋体" w:eastAsia="宋体" w:cs="宋体"/>
                <w:sz w:val="24"/>
                <w:szCs w:val="24"/>
                <w:highlight w:val="none"/>
                <w:lang w:eastAsia="zh-CN"/>
              </w:rPr>
              <w:t>参考公开招标</w:t>
            </w:r>
            <w:r>
              <w:rPr>
                <w:rFonts w:hint="eastAsia" w:ascii="宋体" w:hAnsi="宋体" w:eastAsia="宋体" w:cs="宋体"/>
                <w:sz w:val="24"/>
                <w:szCs w:val="24"/>
                <w:highlight w:val="none"/>
              </w:rPr>
              <w:t>文件要求的得1</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分；每项结案时效缩短一天及以上的，加</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分，最多加</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分；每项结案时</w:t>
            </w:r>
            <w:bookmarkStart w:id="143" w:name="_GoBack"/>
            <w:bookmarkEnd w:id="143"/>
            <w:r>
              <w:rPr>
                <w:rFonts w:hint="eastAsia" w:ascii="宋体" w:hAnsi="宋体" w:eastAsia="宋体" w:cs="宋体"/>
                <w:sz w:val="24"/>
                <w:szCs w:val="24"/>
                <w:highlight w:val="none"/>
              </w:rPr>
              <w:t>效不满足文件要求的，减</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p>
        </w:tc>
      </w:tr>
      <w:tr w14:paraId="64AAF93F">
        <w:tblPrEx>
          <w:tblCellMar>
            <w:top w:w="0" w:type="dxa"/>
            <w:left w:w="0" w:type="dxa"/>
            <w:bottom w:w="0" w:type="dxa"/>
            <w:right w:w="0" w:type="dxa"/>
          </w:tblCellMar>
        </w:tblPrEx>
        <w:trPr>
          <w:trHeight w:val="500" w:hRule="atLeast"/>
          <w:jc w:val="center"/>
        </w:trPr>
        <w:tc>
          <w:tcPr>
            <w:tcW w:w="397" w:type="pct"/>
            <w:vMerge w:val="continue"/>
            <w:tcBorders>
              <w:left w:val="single" w:color="000000" w:sz="8" w:space="0"/>
              <w:right w:val="single" w:color="000000" w:sz="8" w:space="0"/>
            </w:tcBorders>
            <w:noWrap w:val="0"/>
            <w:vAlign w:val="top"/>
          </w:tcPr>
          <w:p w14:paraId="691C61E9">
            <w:pPr>
              <w:rPr>
                <w:rFonts w:hint="eastAsia" w:ascii="宋体" w:hAnsi="宋体" w:eastAsia="宋体" w:cs="宋体"/>
                <w:sz w:val="24"/>
                <w:szCs w:val="24"/>
              </w:rPr>
            </w:pPr>
          </w:p>
        </w:tc>
        <w:tc>
          <w:tcPr>
            <w:tcW w:w="741" w:type="pct"/>
            <w:tcBorders>
              <w:top w:val="single" w:color="000000" w:sz="8" w:space="0"/>
              <w:left w:val="single" w:color="000000" w:sz="8" w:space="0"/>
              <w:bottom w:val="single" w:color="000000" w:sz="8" w:space="0"/>
              <w:right w:val="single" w:color="000000" w:sz="8" w:space="0"/>
            </w:tcBorders>
            <w:noWrap w:val="0"/>
            <w:vAlign w:val="center"/>
          </w:tcPr>
          <w:p w14:paraId="0E49019D">
            <w:pPr>
              <w:autoSpaceDE w:val="0"/>
              <w:autoSpaceDN w:val="0"/>
              <w:spacing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highlight w:val="none"/>
                <w:lang w:val="en-US" w:eastAsia="zh-CN"/>
              </w:rPr>
              <w:t>售后</w:t>
            </w:r>
            <w:r>
              <w:rPr>
                <w:rFonts w:hint="eastAsia" w:ascii="宋体" w:hAnsi="宋体" w:eastAsia="宋体" w:cs="宋体"/>
                <w:sz w:val="24"/>
                <w:szCs w:val="24"/>
                <w:highlight w:val="none"/>
              </w:rPr>
              <w:t>服务</w:t>
            </w: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分）</w:t>
            </w:r>
          </w:p>
        </w:tc>
        <w:tc>
          <w:tcPr>
            <w:tcW w:w="3861" w:type="pct"/>
            <w:tcBorders>
              <w:top w:val="single" w:color="000000" w:sz="8" w:space="0"/>
              <w:left w:val="single" w:color="000000" w:sz="8" w:space="0"/>
              <w:bottom w:val="single" w:color="000000" w:sz="8" w:space="0"/>
              <w:right w:val="single" w:color="000000" w:sz="8" w:space="0"/>
            </w:tcBorders>
            <w:noWrap w:val="0"/>
            <w:vAlign w:val="top"/>
          </w:tcPr>
          <w:p w14:paraId="132B86AE">
            <w:pPr>
              <w:spacing w:before="34" w:line="325" w:lineRule="auto"/>
              <w:ind w:right="108"/>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根据投标人售后服务情况 (包括但不限于供应商分支机构在济南市（威海市）辖区范围内经营机构的设置情况、服务场所状况、软硬件设施情况、人员配置状况) 进行评审，分支机构设置满足项目需要，具有完善的业务用房与设施，售后服务流程完善的得满分5分，</w:t>
            </w:r>
            <w:r>
              <w:rPr>
                <w:rFonts w:hint="eastAsia" w:ascii="宋体" w:hAnsi="宋体" w:eastAsia="宋体" w:cs="宋体"/>
                <w:color w:val="auto"/>
                <w:sz w:val="24"/>
                <w:szCs w:val="24"/>
                <w:highlight w:val="none"/>
                <w:lang w:val="en-US" w:eastAsia="zh-CN"/>
              </w:rPr>
              <w:t>每有一处不足扣减0.5分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扣完为止</w:t>
            </w:r>
            <w:r>
              <w:rPr>
                <w:rFonts w:hint="eastAsia" w:ascii="宋体" w:hAnsi="宋体" w:eastAsia="宋体" w:cs="宋体"/>
                <w:sz w:val="24"/>
                <w:szCs w:val="24"/>
                <w:shd w:val="clear" w:color="auto" w:fill="auto"/>
                <w:lang w:val="en-US" w:eastAsia="zh-CN"/>
              </w:rPr>
              <w:t>，未提供不得分。</w:t>
            </w:r>
          </w:p>
          <w:p w14:paraId="1D61801D">
            <w:pPr>
              <w:spacing w:line="228"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注：分支机构：在济南市（威海市）辖区范围内设置的分支机构。提供分支机构有效的营业执照扫描件。</w:t>
            </w:r>
          </w:p>
          <w:p w14:paraId="1B66786D">
            <w:pPr>
              <w:spacing w:before="118" w:line="326" w:lineRule="auto"/>
              <w:ind w:right="115"/>
              <w:rPr>
                <w:rFonts w:hint="eastAsia" w:ascii="宋体" w:hAnsi="宋体" w:eastAsia="宋体" w:cs="宋体"/>
                <w:b/>
                <w:bCs/>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办公场所：自有产权的提供房产证书原件扫描件；租赁的提供租赁合同扫描件加盖本单位公章。</w:t>
            </w:r>
          </w:p>
        </w:tc>
      </w:tr>
      <w:tr w14:paraId="49486B3C">
        <w:tblPrEx>
          <w:tblCellMar>
            <w:top w:w="0" w:type="dxa"/>
            <w:left w:w="0" w:type="dxa"/>
            <w:bottom w:w="0" w:type="dxa"/>
            <w:right w:w="0" w:type="dxa"/>
          </w:tblCellMar>
        </w:tblPrEx>
        <w:trPr>
          <w:trHeight w:val="500" w:hRule="atLeast"/>
          <w:jc w:val="center"/>
        </w:trPr>
        <w:tc>
          <w:tcPr>
            <w:tcW w:w="397" w:type="pct"/>
            <w:vMerge w:val="continue"/>
            <w:tcBorders>
              <w:left w:val="single" w:color="000000" w:sz="8" w:space="0"/>
              <w:bottom w:val="single" w:color="000000" w:sz="8" w:space="0"/>
              <w:right w:val="single" w:color="000000" w:sz="8" w:space="0"/>
            </w:tcBorders>
            <w:noWrap w:val="0"/>
            <w:vAlign w:val="top"/>
          </w:tcPr>
          <w:p w14:paraId="4A02CF08">
            <w:pPr>
              <w:rPr>
                <w:rFonts w:hint="eastAsia" w:ascii="宋体" w:hAnsi="宋体" w:eastAsia="宋体" w:cs="宋体"/>
                <w:sz w:val="24"/>
                <w:szCs w:val="24"/>
              </w:rPr>
            </w:pPr>
          </w:p>
        </w:tc>
        <w:tc>
          <w:tcPr>
            <w:tcW w:w="741" w:type="pct"/>
            <w:tcBorders>
              <w:top w:val="single" w:color="000000" w:sz="8" w:space="0"/>
              <w:left w:val="single" w:color="000000" w:sz="8" w:space="0"/>
              <w:bottom w:val="single" w:color="000000" w:sz="8" w:space="0"/>
              <w:right w:val="single" w:color="000000" w:sz="8" w:space="0"/>
            </w:tcBorders>
            <w:noWrap w:val="0"/>
            <w:vAlign w:val="center"/>
          </w:tcPr>
          <w:p w14:paraId="514DB870">
            <w:pPr>
              <w:autoSpaceDE w:val="0"/>
              <w:autoSpaceDN w:val="0"/>
              <w:spacing w:line="360" w:lineRule="exact"/>
              <w:jc w:val="center"/>
              <w:rPr>
                <w:rFonts w:hint="eastAsia" w:ascii="宋体" w:hAnsi="宋体" w:eastAsia="宋体" w:cs="宋体"/>
                <w:sz w:val="24"/>
                <w:szCs w:val="24"/>
              </w:rPr>
            </w:pPr>
            <w:r>
              <w:rPr>
                <w:rFonts w:hint="eastAsia" w:ascii="宋体" w:hAnsi="宋体" w:eastAsia="宋体" w:cs="宋体"/>
                <w:sz w:val="24"/>
                <w:szCs w:val="24"/>
              </w:rPr>
              <w:t>合理化建议及其它服务</w:t>
            </w:r>
          </w:p>
          <w:p w14:paraId="00E1EE5E">
            <w:pPr>
              <w:autoSpaceDE w:val="0"/>
              <w:autoSpaceDN w:val="0"/>
              <w:spacing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c>
          <w:tcPr>
            <w:tcW w:w="3861" w:type="pct"/>
            <w:tcBorders>
              <w:top w:val="single" w:color="000000" w:sz="8" w:space="0"/>
              <w:left w:val="single" w:color="000000" w:sz="8" w:space="0"/>
              <w:bottom w:val="single" w:color="000000" w:sz="8" w:space="0"/>
              <w:right w:val="single" w:color="000000" w:sz="8" w:space="0"/>
            </w:tcBorders>
            <w:noWrap w:val="0"/>
            <w:vAlign w:val="top"/>
          </w:tcPr>
          <w:p w14:paraId="6F0D111B">
            <w:pPr>
              <w:spacing w:line="400" w:lineRule="exact"/>
              <w:rPr>
                <w:rFonts w:hint="eastAsia" w:ascii="宋体" w:hAnsi="宋体" w:eastAsia="宋体" w:cs="宋体"/>
                <w:b/>
                <w:bCs/>
                <w:kern w:val="2"/>
                <w:sz w:val="24"/>
                <w:szCs w:val="24"/>
                <w:lang w:val="en-US" w:eastAsia="zh-CN" w:bidi="ar-SA"/>
              </w:rPr>
            </w:pPr>
            <w:r>
              <w:rPr>
                <w:rFonts w:hint="eastAsia" w:ascii="宋体" w:hAnsi="宋体" w:eastAsia="宋体" w:cs="宋体"/>
                <w:sz w:val="24"/>
                <w:szCs w:val="24"/>
              </w:rPr>
              <w:t>根据采购人实际情况提供的合理化建议及其他服务：建议合理，其他服务内容丰富，符合采购人实际情况</w:t>
            </w:r>
            <w:r>
              <w:rPr>
                <w:rFonts w:hint="eastAsia" w:ascii="宋体" w:hAnsi="宋体" w:eastAsia="宋体" w:cs="宋体"/>
                <w:sz w:val="24"/>
                <w:szCs w:val="24"/>
                <w:shd w:val="clear" w:color="auto" w:fill="auto"/>
                <w:lang w:val="en-US" w:eastAsia="zh-CN"/>
              </w:rPr>
              <w:t>得满分3分，</w:t>
            </w:r>
            <w:r>
              <w:rPr>
                <w:rFonts w:hint="eastAsia" w:ascii="宋体" w:hAnsi="宋体" w:eastAsia="宋体" w:cs="宋体"/>
                <w:color w:val="auto"/>
                <w:sz w:val="24"/>
                <w:szCs w:val="24"/>
                <w:highlight w:val="none"/>
                <w:lang w:val="en-US" w:eastAsia="zh-CN"/>
              </w:rPr>
              <w:t>每有一处不足扣减1分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扣完为止</w:t>
            </w:r>
            <w:r>
              <w:rPr>
                <w:rFonts w:hint="eastAsia" w:ascii="宋体" w:hAnsi="宋体" w:eastAsia="宋体" w:cs="宋体"/>
                <w:sz w:val="24"/>
                <w:szCs w:val="24"/>
                <w:shd w:val="clear" w:color="auto" w:fill="auto"/>
                <w:lang w:val="en-US" w:eastAsia="zh-CN"/>
              </w:rPr>
              <w:t>，未提供不得分。</w:t>
            </w:r>
          </w:p>
        </w:tc>
      </w:tr>
    </w:tbl>
    <w:p w14:paraId="6F21BAEF">
      <w:pPr>
        <w:pStyle w:val="140"/>
        <w:rPr>
          <w:rFonts w:hint="eastAsia" w:ascii="宋体" w:hAnsi="宋体" w:eastAsia="宋体" w:cs="宋体"/>
          <w:b/>
          <w:bCs/>
          <w:color w:val="000000" w:themeColor="text1"/>
          <w:sz w:val="24"/>
          <w:szCs w:val="24"/>
          <w14:textFill>
            <w14:solidFill>
              <w14:schemeClr w14:val="tx1"/>
            </w14:solidFill>
          </w14:textFill>
        </w:rPr>
      </w:pPr>
    </w:p>
    <w:p w14:paraId="37AD8B5A">
      <w:pPr>
        <w:spacing w:line="360" w:lineRule="auto"/>
        <w:ind w:right="2"/>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注：1、评分计算均保留小数点后两位有效数字。</w:t>
      </w:r>
    </w:p>
    <w:p w14:paraId="426BC70D">
      <w:pPr>
        <w:spacing w:line="360" w:lineRule="auto"/>
        <w:ind w:firstLine="482"/>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2、综合得分最高的供应商为第一中标候选人。</w:t>
      </w:r>
    </w:p>
    <w:p w14:paraId="10EFDE6E">
      <w:pPr>
        <w:spacing w:line="360" w:lineRule="auto"/>
        <w:ind w:firstLine="482"/>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3</w:t>
      </w:r>
      <w:r>
        <w:rPr>
          <w:rFonts w:hint="eastAsia" w:ascii="宋体" w:hAnsi="宋体" w:eastAsia="宋体" w:cs="宋体"/>
          <w:b/>
          <w:bCs w:val="0"/>
          <w:color w:val="000000" w:themeColor="text1"/>
          <w:sz w:val="24"/>
          <w:szCs w:val="24"/>
          <w14:textFill>
            <w14:solidFill>
              <w14:schemeClr w14:val="tx1"/>
            </w14:solidFill>
          </w14:textFill>
        </w:rPr>
        <w:t>、供应商总分相同，投标报价低者为第一中标候选人；供应商总分相同、报价得分相同，按承保服务方案得分高低进行排序。</w:t>
      </w:r>
    </w:p>
    <w:p w14:paraId="1010145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br w:type="page"/>
      </w:r>
    </w:p>
    <w:p w14:paraId="53E875F0">
      <w:pPr>
        <w:pStyle w:val="2"/>
        <w:numPr>
          <w:ilvl w:val="0"/>
          <w:numId w:val="0"/>
        </w:numPr>
        <w:snapToGrid w:val="0"/>
        <w:spacing w:before="0" w:after="0" w:line="360" w:lineRule="auto"/>
        <w:jc w:val="center"/>
        <w:rPr>
          <w:rFonts w:ascii="宋体" w:hAnsi="宋体" w:eastAsia="宋体" w:cs="宋体"/>
          <w:color w:val="000000" w:themeColor="text1"/>
          <w:kern w:val="2"/>
          <w:sz w:val="32"/>
          <w:highlight w:val="none"/>
          <w14:textFill>
            <w14:solidFill>
              <w14:schemeClr w14:val="tx1"/>
            </w14:solidFill>
          </w14:textFill>
        </w:rPr>
      </w:pPr>
      <w:r>
        <w:rPr>
          <w:rFonts w:hint="eastAsia" w:ascii="宋体" w:hAnsi="宋体" w:eastAsia="宋体" w:cs="宋体"/>
          <w:b/>
          <w:bCs/>
          <w:color w:val="000000" w:themeColor="text1"/>
          <w:kern w:val="2"/>
          <w:sz w:val="32"/>
          <w:szCs w:val="44"/>
          <w:highlight w:val="none"/>
          <w:lang w:val="en-US" w:eastAsia="zh-CN" w:bidi="ar-SA"/>
          <w14:textFill>
            <w14:solidFill>
              <w14:schemeClr w14:val="tx1"/>
            </w14:solidFill>
          </w14:textFill>
        </w:rPr>
        <w:t xml:space="preserve">第四章 </w:t>
      </w:r>
      <w:r>
        <w:rPr>
          <w:rFonts w:hint="eastAsia" w:ascii="宋体" w:hAnsi="宋体" w:eastAsia="宋体" w:cs="宋体"/>
          <w:color w:val="000000" w:themeColor="text1"/>
          <w:kern w:val="2"/>
          <w:sz w:val="32"/>
          <w:highlight w:val="none"/>
          <w14:textFill>
            <w14:solidFill>
              <w14:schemeClr w14:val="tx1"/>
            </w14:solidFill>
          </w14:textFill>
        </w:rPr>
        <w:t xml:space="preserve"> </w:t>
      </w:r>
      <w:bookmarkStart w:id="98" w:name="_Toc27029"/>
      <w:r>
        <w:rPr>
          <w:rFonts w:hint="eastAsia" w:ascii="宋体" w:hAnsi="宋体" w:eastAsia="宋体" w:cs="宋体"/>
          <w:color w:val="000000" w:themeColor="text1"/>
          <w:kern w:val="2"/>
          <w:sz w:val="32"/>
          <w:highlight w:val="none"/>
          <w14:textFill>
            <w14:solidFill>
              <w14:schemeClr w14:val="tx1"/>
            </w14:solidFill>
          </w14:textFill>
        </w:rPr>
        <w:t>采购内容及项目要求</w:t>
      </w:r>
      <w:bookmarkEnd w:id="98"/>
    </w:p>
    <w:tbl>
      <w:tblPr>
        <w:tblStyle w:val="7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0"/>
        <w:gridCol w:w="7032"/>
      </w:tblGrid>
      <w:tr w14:paraId="415E2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179" w:type="pct"/>
            <w:noWrap w:val="0"/>
            <w:vAlign w:val="center"/>
          </w:tcPr>
          <w:p w14:paraId="08DE5730">
            <w:pPr>
              <w:spacing w:line="360" w:lineRule="auto"/>
              <w:rPr>
                <w:rFonts w:hint="eastAsia" w:ascii="宋体" w:hAnsi="宋体" w:eastAsia="宋体" w:cs="宋体"/>
                <w:b/>
                <w:bCs w:val="0"/>
                <w:color w:val="auto"/>
                <w:sz w:val="24"/>
                <w:szCs w:val="24"/>
                <w:highlight w:val="none"/>
              </w:rPr>
            </w:pPr>
            <w:bookmarkStart w:id="99" w:name="_Toc19726"/>
            <w:r>
              <w:rPr>
                <w:rFonts w:hint="eastAsia" w:ascii="宋体" w:hAnsi="宋体" w:eastAsia="宋体" w:cs="宋体"/>
                <w:b/>
                <w:bCs w:val="0"/>
                <w:color w:val="auto"/>
                <w:sz w:val="24"/>
                <w:szCs w:val="24"/>
                <w:highlight w:val="none"/>
              </w:rPr>
              <w:t>一、投保人名称</w:t>
            </w:r>
          </w:p>
        </w:tc>
        <w:tc>
          <w:tcPr>
            <w:tcW w:w="3820" w:type="pct"/>
            <w:noWrap w:val="0"/>
            <w:vAlign w:val="center"/>
          </w:tcPr>
          <w:p w14:paraId="49EEB3D4">
            <w:pPr>
              <w:spacing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山东大学（</w:t>
            </w:r>
            <w:r>
              <w:rPr>
                <w:rFonts w:hint="eastAsia" w:ascii="宋体" w:hAnsi="宋体" w:eastAsia="宋体" w:cs="宋体"/>
                <w:color w:val="auto"/>
                <w:kern w:val="0"/>
                <w:sz w:val="24"/>
                <w:szCs w:val="24"/>
                <w:highlight w:val="none"/>
                <w:lang w:val="en-US" w:eastAsia="zh-CN"/>
              </w:rPr>
              <w:t>济南、威海</w:t>
            </w:r>
            <w:r>
              <w:rPr>
                <w:rFonts w:hint="eastAsia" w:ascii="宋体" w:hAnsi="宋体" w:eastAsia="宋体" w:cs="宋体"/>
                <w:color w:val="auto"/>
                <w:kern w:val="0"/>
                <w:sz w:val="24"/>
                <w:szCs w:val="24"/>
                <w:highlight w:val="none"/>
                <w:lang w:eastAsia="zh-CN"/>
              </w:rPr>
              <w:t>）</w:t>
            </w:r>
          </w:p>
        </w:tc>
      </w:tr>
      <w:tr w14:paraId="74A88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1179" w:type="pct"/>
            <w:noWrap w:val="0"/>
            <w:vAlign w:val="center"/>
          </w:tcPr>
          <w:p w14:paraId="23ECD960">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二、投保人地址</w:t>
            </w:r>
          </w:p>
        </w:tc>
        <w:tc>
          <w:tcPr>
            <w:tcW w:w="3820" w:type="pct"/>
            <w:noWrap w:val="0"/>
            <w:vAlign w:val="center"/>
          </w:tcPr>
          <w:p w14:paraId="316BE354">
            <w:pPr>
              <w:spacing w:line="360" w:lineRule="auto"/>
              <w:jc w:val="left"/>
              <w:rPr>
                <w:rFonts w:hint="eastAsia" w:ascii="宋体" w:hAnsi="宋体" w:eastAsia="宋体" w:cs="宋体"/>
                <w:color w:val="auto"/>
                <w:kern w:val="0"/>
                <w:sz w:val="24"/>
                <w:szCs w:val="24"/>
                <w:highlight w:val="none"/>
                <w:lang w:val="en-US" w:eastAsia="zh-CN"/>
              </w:rPr>
            </w:pPr>
            <w:bookmarkStart w:id="100" w:name="OLE_LINK3"/>
            <w:r>
              <w:rPr>
                <w:rFonts w:hint="eastAsia" w:ascii="宋体" w:hAnsi="宋体" w:eastAsia="宋体" w:cs="宋体"/>
                <w:color w:val="auto"/>
                <w:kern w:val="0"/>
                <w:sz w:val="24"/>
                <w:szCs w:val="24"/>
                <w:highlight w:val="none"/>
                <w:lang w:val="en-US" w:eastAsia="zh-CN"/>
              </w:rPr>
              <w:t>山东省济南市历城区山大南路27号</w:t>
            </w:r>
            <w:bookmarkEnd w:id="100"/>
          </w:p>
        </w:tc>
      </w:tr>
      <w:tr w14:paraId="33B36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9" w:type="pct"/>
            <w:noWrap w:val="0"/>
            <w:vAlign w:val="center"/>
          </w:tcPr>
          <w:p w14:paraId="0E89C363">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三、被保险人名称</w:t>
            </w:r>
          </w:p>
        </w:tc>
        <w:tc>
          <w:tcPr>
            <w:tcW w:w="3820" w:type="pct"/>
            <w:noWrap w:val="0"/>
            <w:vAlign w:val="center"/>
          </w:tcPr>
          <w:p w14:paraId="731376F4">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山东大学（</w:t>
            </w:r>
            <w:r>
              <w:rPr>
                <w:rFonts w:hint="eastAsia" w:ascii="宋体" w:hAnsi="宋体" w:eastAsia="宋体" w:cs="宋体"/>
                <w:color w:val="auto"/>
                <w:kern w:val="0"/>
                <w:sz w:val="24"/>
                <w:szCs w:val="24"/>
                <w:highlight w:val="none"/>
                <w:lang w:val="en-US" w:eastAsia="zh-CN"/>
              </w:rPr>
              <w:t>济南、威海</w:t>
            </w:r>
            <w:r>
              <w:rPr>
                <w:rFonts w:hint="eastAsia" w:ascii="宋体" w:hAnsi="宋体" w:eastAsia="宋体" w:cs="宋体"/>
                <w:color w:val="auto"/>
                <w:kern w:val="0"/>
                <w:sz w:val="24"/>
                <w:szCs w:val="24"/>
                <w:highlight w:val="none"/>
                <w:lang w:eastAsia="zh-CN"/>
              </w:rPr>
              <w:t>）</w:t>
            </w:r>
          </w:p>
        </w:tc>
      </w:tr>
      <w:tr w14:paraId="0C4B5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1179" w:type="pct"/>
            <w:noWrap w:val="0"/>
            <w:vAlign w:val="center"/>
          </w:tcPr>
          <w:p w14:paraId="12E82405">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四、被保险人地址</w:t>
            </w:r>
          </w:p>
        </w:tc>
        <w:tc>
          <w:tcPr>
            <w:tcW w:w="3820" w:type="pct"/>
            <w:noWrap w:val="0"/>
            <w:vAlign w:val="center"/>
          </w:tcPr>
          <w:p w14:paraId="1EB4A064">
            <w:pPr>
              <w:spacing w:line="360" w:lineRule="auto"/>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山东省济南市历城区山大南路27号（济南）、</w:t>
            </w:r>
          </w:p>
          <w:p w14:paraId="38519B56">
            <w:pPr>
              <w:spacing w:line="360" w:lineRule="auto"/>
              <w:jc w:val="left"/>
              <w:rPr>
                <w:rFonts w:hint="eastAsia" w:ascii="宋体" w:hAnsi="宋体" w:eastAsia="宋体" w:cs="宋体"/>
                <w:color w:val="auto"/>
                <w:kern w:val="0"/>
                <w:sz w:val="24"/>
                <w:szCs w:val="24"/>
                <w:highlight w:val="none"/>
                <w:lang w:val="en-US"/>
              </w:rPr>
            </w:pPr>
            <w:bookmarkStart w:id="101" w:name="OLE_LINK4"/>
            <w:r>
              <w:rPr>
                <w:rFonts w:hint="eastAsia" w:ascii="宋体" w:hAnsi="宋体" w:eastAsia="宋体" w:cs="宋体"/>
                <w:color w:val="auto"/>
                <w:kern w:val="0"/>
                <w:sz w:val="24"/>
                <w:szCs w:val="24"/>
                <w:highlight w:val="none"/>
                <w:lang w:val="en-US" w:eastAsia="zh-CN"/>
              </w:rPr>
              <w:t>山东省威海市环翠区文化西路180号（威海）</w:t>
            </w:r>
            <w:bookmarkEnd w:id="101"/>
          </w:p>
        </w:tc>
      </w:tr>
      <w:tr w14:paraId="5E685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179" w:type="pct"/>
            <w:noWrap w:val="0"/>
            <w:vAlign w:val="center"/>
          </w:tcPr>
          <w:p w14:paraId="11506797">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五、组织机构代码</w:t>
            </w:r>
          </w:p>
        </w:tc>
        <w:tc>
          <w:tcPr>
            <w:tcW w:w="3820" w:type="pct"/>
            <w:noWrap w:val="0"/>
            <w:vAlign w:val="center"/>
          </w:tcPr>
          <w:p w14:paraId="3D2AC582">
            <w:pPr>
              <w:spacing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12100000495570303U</w:t>
            </w:r>
          </w:p>
        </w:tc>
      </w:tr>
      <w:tr w14:paraId="635D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9" w:type="pct"/>
            <w:noWrap w:val="0"/>
            <w:vAlign w:val="center"/>
          </w:tcPr>
          <w:p w14:paraId="28B77BD5">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六、被保险人类别</w:t>
            </w:r>
          </w:p>
        </w:tc>
        <w:tc>
          <w:tcPr>
            <w:tcW w:w="3820" w:type="pct"/>
            <w:noWrap w:val="0"/>
            <w:vAlign w:val="center"/>
          </w:tcPr>
          <w:p w14:paraId="47D53750">
            <w:pPr>
              <w:spacing w:line="360" w:lineRule="auto"/>
              <w:jc w:val="left"/>
              <w:rPr>
                <w:rFonts w:hint="eastAsia" w:ascii="宋体" w:hAnsi="宋体" w:eastAsia="宋体" w:cs="宋体"/>
                <w:color w:val="auto"/>
                <w:kern w:val="0"/>
                <w:sz w:val="24"/>
                <w:szCs w:val="24"/>
                <w:highlight w:val="none"/>
              </w:rPr>
            </w:pPr>
            <w:bookmarkStart w:id="102" w:name="OLE_LINK1"/>
            <w:r>
              <w:rPr>
                <w:rFonts w:hint="eastAsia" w:ascii="宋体" w:hAnsi="宋体" w:eastAsia="宋体" w:cs="宋体"/>
                <w:color w:val="auto"/>
                <w:kern w:val="0"/>
                <w:sz w:val="24"/>
                <w:szCs w:val="24"/>
                <w:highlight w:val="none"/>
              </w:rPr>
              <w:t xml:space="preserve">□中职      □高职      □普通高校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lang w:eastAsia="zh-CN"/>
              </w:rPr>
              <w:t>☑大学</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sym w:font="Wingdings 2" w:char="00A3"/>
            </w:r>
            <w:r>
              <w:rPr>
                <w:rFonts w:hint="eastAsia" w:ascii="宋体" w:hAnsi="宋体" w:eastAsia="宋体" w:cs="宋体"/>
                <w:color w:val="auto"/>
                <w:kern w:val="0"/>
                <w:sz w:val="24"/>
                <w:szCs w:val="24"/>
                <w:highlight w:val="none"/>
              </w:rPr>
              <w:t xml:space="preserve">其他：             </w:t>
            </w:r>
            <w:bookmarkEnd w:id="102"/>
          </w:p>
        </w:tc>
      </w:tr>
      <w:tr w14:paraId="40B88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9" w:type="pct"/>
            <w:noWrap w:val="0"/>
            <w:vAlign w:val="center"/>
          </w:tcPr>
          <w:p w14:paraId="17A2137F">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七、投保学生人数</w:t>
            </w:r>
          </w:p>
        </w:tc>
        <w:tc>
          <w:tcPr>
            <w:tcW w:w="3820" w:type="pct"/>
            <w:noWrap w:val="0"/>
            <w:vAlign w:val="center"/>
          </w:tcPr>
          <w:p w14:paraId="28484B72">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预估6.68万人</w:t>
            </w:r>
            <w:r>
              <w:rPr>
                <w:rFonts w:hint="eastAsia" w:ascii="宋体" w:hAnsi="宋体" w:eastAsia="宋体" w:cs="宋体"/>
                <w:color w:val="auto"/>
                <w:kern w:val="0"/>
                <w:sz w:val="24"/>
                <w:szCs w:val="24"/>
                <w:highlight w:val="none"/>
              </w:rPr>
              <w:t>（具体以实际人数为准）。</w:t>
            </w:r>
          </w:p>
        </w:tc>
      </w:tr>
      <w:tr w14:paraId="3EE55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179" w:type="pct"/>
            <w:noWrap w:val="0"/>
            <w:vAlign w:val="center"/>
          </w:tcPr>
          <w:p w14:paraId="5AD87F68">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八、保险期间</w:t>
            </w:r>
          </w:p>
        </w:tc>
        <w:tc>
          <w:tcPr>
            <w:tcW w:w="3820" w:type="pct"/>
            <w:noWrap w:val="0"/>
            <w:vAlign w:val="center"/>
          </w:tcPr>
          <w:p w14:paraId="696AA3B9">
            <w:pPr>
              <w:spacing w:line="360" w:lineRule="auto"/>
              <w:ind w:left="2310" w:hanging="2640" w:hangingChars="11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12个月，自北京时间</w:t>
            </w:r>
            <w:r>
              <w:rPr>
                <w:rFonts w:hint="eastAsia" w:ascii="宋体" w:hAnsi="宋体" w:eastAsia="宋体" w:cs="宋体"/>
                <w:color w:val="auto"/>
                <w:kern w:val="0"/>
                <w:sz w:val="24"/>
                <w:szCs w:val="24"/>
                <w:highlight w:val="none"/>
                <w:lang w:val="en-US"/>
              </w:rPr>
              <w:t>20</w:t>
            </w:r>
            <w:r>
              <w:rPr>
                <w:rFonts w:hint="eastAsia" w:ascii="宋体" w:hAnsi="宋体" w:eastAsia="宋体" w:cs="宋体"/>
                <w:color w:val="auto"/>
                <w:kern w:val="0"/>
                <w:sz w:val="24"/>
                <w:szCs w:val="24"/>
                <w:highlight w:val="none"/>
                <w:lang w:val="en-US" w:eastAsia="zh-CN"/>
              </w:rPr>
              <w:t>25</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lang w:val="en-US"/>
              </w:rPr>
              <w:t>9</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日0：00时起至</w:t>
            </w:r>
            <w:r>
              <w:rPr>
                <w:rFonts w:hint="eastAsia" w:ascii="宋体" w:hAnsi="宋体" w:eastAsia="宋体" w:cs="宋体"/>
                <w:color w:val="auto"/>
                <w:kern w:val="0"/>
                <w:sz w:val="24"/>
                <w:szCs w:val="24"/>
                <w:highlight w:val="none"/>
                <w:lang w:val="en-US"/>
              </w:rPr>
              <w:t>202</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日24：00时止</w:t>
            </w:r>
            <w:r>
              <w:rPr>
                <w:rFonts w:hint="eastAsia" w:ascii="宋体" w:hAnsi="宋体" w:eastAsia="宋体" w:cs="宋体"/>
                <w:color w:val="auto"/>
                <w:kern w:val="0"/>
                <w:sz w:val="24"/>
                <w:szCs w:val="24"/>
                <w:highlight w:val="none"/>
                <w:lang w:val="en-US" w:eastAsia="zh-CN"/>
              </w:rPr>
              <w:t xml:space="preserve">    </w:t>
            </w:r>
          </w:p>
        </w:tc>
      </w:tr>
      <w:tr w14:paraId="3075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1179" w:type="pct"/>
            <w:noWrap w:val="0"/>
            <w:vAlign w:val="center"/>
          </w:tcPr>
          <w:p w14:paraId="5A649A13">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九、保险条款</w:t>
            </w:r>
          </w:p>
        </w:tc>
        <w:tc>
          <w:tcPr>
            <w:tcW w:w="3820" w:type="pct"/>
            <w:noWrap w:val="0"/>
            <w:vAlign w:val="center"/>
          </w:tcPr>
          <w:p w14:paraId="2884EEA8">
            <w:pPr>
              <w:spacing w:line="360" w:lineRule="auto"/>
              <w:jc w:val="left"/>
              <w:rPr>
                <w:rFonts w:hint="eastAsia" w:ascii="宋体" w:hAnsi="宋体" w:eastAsia="宋体" w:cs="宋体"/>
                <w:color w:val="auto"/>
                <w:kern w:val="0"/>
                <w:sz w:val="24"/>
                <w:szCs w:val="24"/>
                <w:highlight w:val="none"/>
              </w:rPr>
            </w:pPr>
            <w:bookmarkStart w:id="103" w:name="OLE_LINK5"/>
            <w:r>
              <w:rPr>
                <w:rFonts w:hint="eastAsia" w:ascii="宋体" w:hAnsi="宋体" w:eastAsia="宋体" w:cs="宋体"/>
                <w:color w:val="auto"/>
                <w:kern w:val="0"/>
                <w:sz w:val="24"/>
                <w:szCs w:val="24"/>
                <w:highlight w:val="none"/>
              </w:rPr>
              <w:t>（一）基本险：校（园）方责任保险条款</w:t>
            </w:r>
          </w:p>
          <w:p w14:paraId="311C5CD8">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二</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附加</w:t>
            </w:r>
            <w:r>
              <w:rPr>
                <w:rFonts w:hint="eastAsia" w:ascii="宋体" w:hAnsi="宋体" w:eastAsia="宋体" w:cs="宋体"/>
                <w:color w:val="auto"/>
                <w:kern w:val="0"/>
                <w:sz w:val="24"/>
                <w:szCs w:val="24"/>
                <w:highlight w:val="none"/>
              </w:rPr>
              <w:t>险：</w:t>
            </w:r>
            <w:r>
              <w:rPr>
                <w:rFonts w:hint="eastAsia" w:ascii="宋体" w:hAnsi="宋体" w:eastAsia="宋体" w:cs="宋体"/>
                <w:color w:val="auto"/>
                <w:kern w:val="0"/>
                <w:sz w:val="24"/>
                <w:szCs w:val="24"/>
                <w:highlight w:val="none"/>
                <w:lang w:val="en-US" w:eastAsia="zh-CN"/>
              </w:rPr>
              <w:t>附加</w:t>
            </w:r>
            <w:r>
              <w:rPr>
                <w:rFonts w:hint="eastAsia" w:ascii="宋体" w:hAnsi="宋体" w:eastAsia="宋体" w:cs="宋体"/>
                <w:color w:val="auto"/>
                <w:kern w:val="0"/>
                <w:sz w:val="24"/>
                <w:szCs w:val="24"/>
                <w:highlight w:val="none"/>
              </w:rPr>
              <w:t>校（园）方</w:t>
            </w:r>
            <w:r>
              <w:rPr>
                <w:rFonts w:hint="eastAsia" w:ascii="宋体" w:hAnsi="宋体" w:eastAsia="宋体" w:cs="宋体"/>
                <w:color w:val="auto"/>
                <w:kern w:val="0"/>
                <w:sz w:val="24"/>
                <w:szCs w:val="24"/>
                <w:highlight w:val="none"/>
                <w:lang w:val="en-US" w:eastAsia="zh-CN"/>
              </w:rPr>
              <w:t>无过失</w:t>
            </w:r>
            <w:r>
              <w:rPr>
                <w:rFonts w:hint="eastAsia" w:ascii="宋体" w:hAnsi="宋体" w:eastAsia="宋体" w:cs="宋体"/>
                <w:color w:val="auto"/>
                <w:kern w:val="0"/>
                <w:sz w:val="24"/>
                <w:szCs w:val="24"/>
                <w:highlight w:val="none"/>
              </w:rPr>
              <w:t>责任保险条款</w:t>
            </w:r>
          </w:p>
          <w:p w14:paraId="323E0C83">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三</w:t>
            </w:r>
            <w:r>
              <w:rPr>
                <w:rFonts w:hint="eastAsia" w:ascii="宋体" w:hAnsi="宋体" w:eastAsia="宋体" w:cs="宋体"/>
                <w:color w:val="auto"/>
                <w:kern w:val="0"/>
                <w:sz w:val="24"/>
                <w:szCs w:val="24"/>
                <w:highlight w:val="none"/>
              </w:rPr>
              <w:t>）</w:t>
            </w:r>
            <w:bookmarkEnd w:id="103"/>
            <w:r>
              <w:rPr>
                <w:rFonts w:hint="eastAsia" w:ascii="宋体" w:hAnsi="宋体" w:eastAsia="宋体" w:cs="宋体"/>
                <w:color w:val="auto"/>
                <w:kern w:val="0"/>
                <w:sz w:val="24"/>
                <w:szCs w:val="24"/>
                <w:highlight w:val="none"/>
              </w:rPr>
              <w:t>扩展条款：</w:t>
            </w:r>
          </w:p>
          <w:p w14:paraId="7F739B21">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扩展财产损失保险条款（每次事故每人财产损失责任限额：1万元）</w:t>
            </w:r>
          </w:p>
          <w:p w14:paraId="61A363B0">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扩展交流生保险条款（每次事故每人限额：20万元）</w:t>
            </w:r>
          </w:p>
          <w:p w14:paraId="65560FED">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扩展自然灾害及不可抗力保险条款</w:t>
            </w:r>
          </w:p>
          <w:p w14:paraId="37D4E061">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扩展集体活动保险条款（每次事故每人限额：20万元）</w:t>
            </w:r>
          </w:p>
          <w:p w14:paraId="7AD7724C">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扩展新增学生人数变动保险条款</w:t>
            </w:r>
          </w:p>
          <w:p w14:paraId="7C53983A">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扩展学生第三者责任保险条款（每次事故每人第三者责任限额：20万元）</w:t>
            </w:r>
          </w:p>
          <w:p w14:paraId="5262FA4D">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扩展恶劣天气保险条款</w:t>
            </w:r>
          </w:p>
          <w:p w14:paraId="2FEDAF14">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扩展境外保险条款</w:t>
            </w:r>
          </w:p>
          <w:p w14:paraId="13345FA4">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扩展校车保险条款</w:t>
            </w:r>
          </w:p>
          <w:p w14:paraId="7D3FBE59">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扩展住宿场所保险条款</w:t>
            </w:r>
          </w:p>
          <w:p w14:paraId="443DA77F">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扩展罢工、暴乱、民众骚乱或恶意破坏保险条款</w:t>
            </w:r>
          </w:p>
          <w:p w14:paraId="16039410">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扩展性侵害保险条款</w:t>
            </w:r>
          </w:p>
          <w:p w14:paraId="1B11E908">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扩展学业中断保险条款（每日学业中断损失补偿金：30元，每次事故每人学业中断损失责任限额：5000元，每次事故每人学业中断绝对免赔天数：</w:t>
            </w:r>
            <w:r>
              <w:rPr>
                <w:rFonts w:hint="eastAsia" w:ascii="宋体" w:hAnsi="宋体" w:eastAsia="宋体" w:cs="宋体"/>
                <w:color w:val="auto"/>
                <w:kern w:val="0"/>
                <w:sz w:val="24"/>
                <w:szCs w:val="24"/>
                <w:highlight w:val="none"/>
                <w:lang w:val="en-US" w:eastAsia="zh-CN"/>
              </w:rPr>
              <w:t>0</w:t>
            </w:r>
            <w:r>
              <w:rPr>
                <w:rFonts w:hint="eastAsia" w:ascii="宋体" w:hAnsi="宋体" w:eastAsia="宋体" w:cs="宋体"/>
                <w:color w:val="auto"/>
                <w:kern w:val="0"/>
                <w:sz w:val="24"/>
                <w:szCs w:val="24"/>
                <w:highlight w:val="none"/>
              </w:rPr>
              <w:t>天）</w:t>
            </w:r>
          </w:p>
          <w:p w14:paraId="3BF7F926">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错误和遗漏条款</w:t>
            </w:r>
          </w:p>
          <w:p w14:paraId="4421ABA1">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违反条件条款</w:t>
            </w:r>
          </w:p>
          <w:p w14:paraId="1404CC4E">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注：上述扩展条款不需要投保人另行缴费，投保人投保基本险即获得上述所有扩展条款保险保障。</w:t>
            </w:r>
          </w:p>
        </w:tc>
      </w:tr>
      <w:tr w14:paraId="2FB19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1179" w:type="pct"/>
            <w:noWrap w:val="0"/>
            <w:vAlign w:val="center"/>
          </w:tcPr>
          <w:p w14:paraId="2A640193">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十、基本险责任限额</w:t>
            </w:r>
          </w:p>
        </w:tc>
        <w:tc>
          <w:tcPr>
            <w:tcW w:w="3820" w:type="pct"/>
            <w:noWrap w:val="0"/>
            <w:vAlign w:val="center"/>
          </w:tcPr>
          <w:tbl>
            <w:tblPr>
              <w:tblStyle w:val="74"/>
              <w:tblW w:w="4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3"/>
              <w:gridCol w:w="2805"/>
            </w:tblGrid>
            <w:tr w14:paraId="68984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3" w:type="dxa"/>
                  <w:shd w:val="clear" w:color="auto" w:fill="F1F1F1"/>
                  <w:noWrap w:val="0"/>
                  <w:vAlign w:val="top"/>
                </w:tcPr>
                <w:p w14:paraId="335FBBAD">
                  <w:pPr>
                    <w:spacing w:line="360" w:lineRule="auto"/>
                    <w:jc w:val="left"/>
                    <w:rPr>
                      <w:rFonts w:hint="eastAsia" w:ascii="宋体" w:hAnsi="宋体" w:eastAsia="宋体" w:cs="宋体"/>
                      <w:color w:val="auto"/>
                      <w:kern w:val="0"/>
                      <w:sz w:val="24"/>
                      <w:szCs w:val="24"/>
                      <w:highlight w:val="none"/>
                    </w:rPr>
                  </w:pPr>
                  <w:bookmarkStart w:id="104" w:name="_Toc3501"/>
                  <w:bookmarkStart w:id="105" w:name="_Toc30818"/>
                  <w:bookmarkStart w:id="106" w:name="_Toc24324"/>
                  <w:bookmarkStart w:id="107" w:name="_Toc23017"/>
                  <w:r>
                    <w:rPr>
                      <w:rFonts w:hint="eastAsia" w:ascii="宋体" w:hAnsi="宋体" w:eastAsia="宋体" w:cs="宋体"/>
                      <w:color w:val="auto"/>
                      <w:kern w:val="0"/>
                      <w:sz w:val="24"/>
                      <w:szCs w:val="24"/>
                      <w:highlight w:val="none"/>
                    </w:rPr>
                    <w:t>每次事故责任限额</w:t>
                  </w:r>
                  <w:bookmarkEnd w:id="104"/>
                  <w:bookmarkEnd w:id="105"/>
                  <w:bookmarkEnd w:id="106"/>
                  <w:bookmarkEnd w:id="107"/>
                </w:p>
              </w:tc>
              <w:tc>
                <w:tcPr>
                  <w:tcW w:w="2805" w:type="dxa"/>
                  <w:shd w:val="clear" w:color="auto" w:fill="F1F1F1"/>
                  <w:noWrap w:val="0"/>
                  <w:vAlign w:val="top"/>
                </w:tcPr>
                <w:p w14:paraId="014DD577">
                  <w:pPr>
                    <w:spacing w:line="360" w:lineRule="auto"/>
                    <w:jc w:val="left"/>
                    <w:rPr>
                      <w:rFonts w:hint="eastAsia" w:ascii="宋体" w:hAnsi="宋体" w:eastAsia="宋体" w:cs="宋体"/>
                      <w:color w:val="auto"/>
                      <w:kern w:val="0"/>
                      <w:sz w:val="24"/>
                      <w:szCs w:val="24"/>
                      <w:highlight w:val="none"/>
                    </w:rPr>
                  </w:pPr>
                  <w:bookmarkStart w:id="108" w:name="_Toc1390"/>
                  <w:bookmarkStart w:id="109" w:name="_Toc14502"/>
                  <w:bookmarkStart w:id="110" w:name="_Toc3434"/>
                  <w:bookmarkStart w:id="111" w:name="_Toc21900"/>
                  <w:r>
                    <w:rPr>
                      <w:rFonts w:hint="eastAsia" w:ascii="宋体" w:hAnsi="宋体" w:eastAsia="宋体" w:cs="宋体"/>
                      <w:color w:val="auto"/>
                      <w:kern w:val="0"/>
                      <w:sz w:val="24"/>
                      <w:szCs w:val="24"/>
                      <w:highlight w:val="none"/>
                    </w:rPr>
                    <w:t>每次事故每人责任限额</w:t>
                  </w:r>
                  <w:bookmarkEnd w:id="108"/>
                  <w:bookmarkEnd w:id="109"/>
                  <w:bookmarkEnd w:id="110"/>
                  <w:bookmarkEnd w:id="111"/>
                </w:p>
              </w:tc>
            </w:tr>
            <w:tr w14:paraId="5D1A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3" w:type="dxa"/>
                  <w:noWrap w:val="0"/>
                  <w:vAlign w:val="top"/>
                </w:tcPr>
                <w:p w14:paraId="0A47966D">
                  <w:pPr>
                    <w:spacing w:line="360" w:lineRule="auto"/>
                    <w:jc w:val="left"/>
                    <w:rPr>
                      <w:rFonts w:hint="eastAsia" w:ascii="宋体" w:hAnsi="宋体" w:eastAsia="宋体" w:cs="宋体"/>
                      <w:color w:val="auto"/>
                      <w:kern w:val="0"/>
                      <w:sz w:val="24"/>
                      <w:szCs w:val="24"/>
                      <w:highlight w:val="none"/>
                    </w:rPr>
                  </w:pPr>
                  <w:bookmarkStart w:id="112" w:name="_Toc18756"/>
                  <w:bookmarkStart w:id="113" w:name="_Toc28698"/>
                  <w:bookmarkStart w:id="114" w:name="_Toc21625"/>
                  <w:bookmarkStart w:id="115" w:name="_Toc4835"/>
                  <w:r>
                    <w:rPr>
                      <w:rFonts w:hint="eastAsia" w:ascii="宋体" w:hAnsi="宋体" w:eastAsia="宋体" w:cs="宋体"/>
                      <w:color w:val="auto"/>
                      <w:kern w:val="0"/>
                      <w:sz w:val="24"/>
                      <w:szCs w:val="24"/>
                      <w:highlight w:val="none"/>
                      <w:lang w:val="en-US" w:eastAsia="zh-CN"/>
                    </w:rPr>
                    <w:t>6000</w:t>
                  </w:r>
                  <w:r>
                    <w:rPr>
                      <w:rFonts w:hint="eastAsia" w:ascii="宋体" w:hAnsi="宋体" w:eastAsia="宋体" w:cs="宋体"/>
                      <w:color w:val="auto"/>
                      <w:kern w:val="0"/>
                      <w:sz w:val="24"/>
                      <w:szCs w:val="24"/>
                      <w:highlight w:val="none"/>
                    </w:rPr>
                    <w:t>万元</w:t>
                  </w:r>
                  <w:bookmarkEnd w:id="112"/>
                  <w:bookmarkEnd w:id="113"/>
                  <w:bookmarkEnd w:id="114"/>
                  <w:bookmarkEnd w:id="115"/>
                </w:p>
              </w:tc>
              <w:tc>
                <w:tcPr>
                  <w:tcW w:w="2805" w:type="dxa"/>
                  <w:noWrap w:val="0"/>
                  <w:vAlign w:val="top"/>
                </w:tcPr>
                <w:p w14:paraId="7EAE2F59">
                  <w:pPr>
                    <w:spacing w:line="360" w:lineRule="auto"/>
                    <w:jc w:val="left"/>
                    <w:rPr>
                      <w:rFonts w:hint="eastAsia" w:ascii="宋体" w:hAnsi="宋体" w:eastAsia="宋体" w:cs="宋体"/>
                      <w:color w:val="auto"/>
                      <w:kern w:val="0"/>
                      <w:sz w:val="24"/>
                      <w:szCs w:val="24"/>
                      <w:highlight w:val="none"/>
                    </w:rPr>
                  </w:pPr>
                  <w:bookmarkStart w:id="116" w:name="_Toc24473"/>
                  <w:bookmarkStart w:id="117" w:name="_Toc12080"/>
                  <w:bookmarkStart w:id="118" w:name="_Toc5049"/>
                  <w:bookmarkStart w:id="119" w:name="_Toc7288"/>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50万元</w:t>
                  </w:r>
                  <w:bookmarkEnd w:id="116"/>
                  <w:bookmarkEnd w:id="117"/>
                  <w:bookmarkEnd w:id="118"/>
                  <w:bookmarkEnd w:id="119"/>
                </w:p>
              </w:tc>
            </w:tr>
          </w:tbl>
          <w:p w14:paraId="69C040A9">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注：1</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累计责任限额：无；</w:t>
            </w:r>
          </w:p>
          <w:p w14:paraId="722BEE62">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eastAsia="zh-CN"/>
              </w:rPr>
              <w:t>在每次事故每人责任限额内：</w:t>
            </w:r>
          </w:p>
          <w:p w14:paraId="6C83F16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每次事故每人医疗费用责任限额：同每次事故每人责任限额；</w:t>
            </w:r>
          </w:p>
          <w:p w14:paraId="1DDE2B1F">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每次事故每人精神损害抚慰金责任限额：1</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万元；</w:t>
            </w:r>
          </w:p>
          <w:p w14:paraId="54D89D9F">
            <w:pPr>
              <w:spacing w:line="360" w:lineRule="auto"/>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每次事故及累计法律费用责任限额：每次事故责任限额的</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0%</w:t>
            </w:r>
            <w:r>
              <w:rPr>
                <w:rFonts w:hint="eastAsia" w:ascii="宋体" w:hAnsi="宋体" w:eastAsia="宋体" w:cs="宋体"/>
                <w:color w:val="auto"/>
                <w:kern w:val="0"/>
                <w:sz w:val="24"/>
                <w:szCs w:val="24"/>
                <w:highlight w:val="none"/>
                <w:lang w:eastAsia="zh-CN"/>
              </w:rPr>
              <w:t>；</w:t>
            </w:r>
          </w:p>
          <w:p w14:paraId="3636E56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每次事故每人施救费用责任限额：同每次事故每人责任限额</w:t>
            </w:r>
            <w:r>
              <w:rPr>
                <w:rFonts w:hint="eastAsia" w:ascii="宋体" w:hAnsi="宋体" w:eastAsia="宋体" w:cs="宋体"/>
                <w:color w:val="auto"/>
                <w:kern w:val="0"/>
                <w:sz w:val="24"/>
                <w:szCs w:val="24"/>
                <w:highlight w:val="none"/>
                <w:lang w:eastAsia="zh-CN"/>
              </w:rPr>
              <w:t>。</w:t>
            </w:r>
          </w:p>
        </w:tc>
      </w:tr>
      <w:tr w14:paraId="2000C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9" w:type="pct"/>
            <w:noWrap w:val="0"/>
            <w:vAlign w:val="center"/>
          </w:tcPr>
          <w:p w14:paraId="3A09DA45">
            <w:p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十一、附加险责任限额</w:t>
            </w:r>
          </w:p>
        </w:tc>
        <w:tc>
          <w:tcPr>
            <w:tcW w:w="3820" w:type="pct"/>
            <w:noWrap w:val="0"/>
            <w:vAlign w:val="center"/>
          </w:tcPr>
          <w:tbl>
            <w:tblPr>
              <w:tblStyle w:val="74"/>
              <w:tblW w:w="49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7"/>
              <w:gridCol w:w="2746"/>
            </w:tblGrid>
            <w:tr w14:paraId="3512F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27" w:type="dxa"/>
                  <w:shd w:val="clear" w:color="auto" w:fill="F1F1F1"/>
                  <w:noWrap w:val="0"/>
                  <w:vAlign w:val="top"/>
                </w:tcPr>
                <w:p w14:paraId="69EC005E">
                  <w:pPr>
                    <w:widowControl w:val="0"/>
                    <w:spacing w:line="360" w:lineRule="auto"/>
                    <w:jc w:val="center"/>
                    <w:outlineLvl w:val="9"/>
                    <w:rPr>
                      <w:rFonts w:hint="eastAsia"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每次事故责任限额</w:t>
                  </w:r>
                </w:p>
              </w:tc>
              <w:tc>
                <w:tcPr>
                  <w:tcW w:w="2746" w:type="dxa"/>
                  <w:shd w:val="clear" w:color="auto" w:fill="F1F1F1"/>
                  <w:noWrap w:val="0"/>
                  <w:vAlign w:val="top"/>
                </w:tcPr>
                <w:p w14:paraId="7E318299">
                  <w:pPr>
                    <w:widowControl w:val="0"/>
                    <w:spacing w:line="360" w:lineRule="auto"/>
                    <w:jc w:val="center"/>
                    <w:outlineLvl w:val="9"/>
                    <w:rPr>
                      <w:rFonts w:hint="eastAsia"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每次事故每人责任限额</w:t>
                  </w:r>
                </w:p>
              </w:tc>
            </w:tr>
            <w:tr w14:paraId="0326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27" w:type="dxa"/>
                  <w:noWrap w:val="0"/>
                  <w:vAlign w:val="top"/>
                </w:tcPr>
                <w:p w14:paraId="30249C43">
                  <w:pPr>
                    <w:widowControl w:val="0"/>
                    <w:spacing w:line="360" w:lineRule="auto"/>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500万元</w:t>
                  </w:r>
                </w:p>
              </w:tc>
              <w:tc>
                <w:tcPr>
                  <w:tcW w:w="2746" w:type="dxa"/>
                  <w:noWrap w:val="0"/>
                  <w:vAlign w:val="top"/>
                </w:tcPr>
                <w:p w14:paraId="4433285B">
                  <w:pPr>
                    <w:widowControl w:val="0"/>
                    <w:spacing w:line="360" w:lineRule="auto"/>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60万元</w:t>
                  </w:r>
                </w:p>
              </w:tc>
            </w:tr>
          </w:tbl>
          <w:p w14:paraId="3CE65A7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注：1.累计责任限额：对应每次事故责任限额的2倍；</w:t>
            </w:r>
          </w:p>
          <w:p w14:paraId="62465C09">
            <w:pPr>
              <w:spacing w:line="360" w:lineRule="auto"/>
              <w:ind w:firstLine="480" w:firstLineChars="200"/>
              <w:jc w:val="left"/>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2.每次事故每人医疗费用责任限额：同</w:t>
            </w:r>
            <w:r>
              <w:rPr>
                <w:rFonts w:hint="eastAsia" w:ascii="宋体" w:hAnsi="宋体" w:eastAsia="宋体" w:cs="宋体"/>
                <w:color w:val="auto"/>
                <w:kern w:val="0"/>
                <w:sz w:val="24"/>
                <w:szCs w:val="24"/>
                <w:highlight w:val="none"/>
              </w:rPr>
              <w:t>每次事故每人责任限额</w:t>
            </w:r>
            <w:r>
              <w:rPr>
                <w:rFonts w:hint="eastAsia" w:ascii="宋体" w:hAnsi="宋体" w:eastAsia="宋体" w:cs="宋体"/>
                <w:color w:val="auto"/>
                <w:kern w:val="0"/>
                <w:sz w:val="24"/>
                <w:szCs w:val="24"/>
                <w:highlight w:val="none"/>
                <w:lang w:eastAsia="zh-CN"/>
              </w:rPr>
              <w:t>。</w:t>
            </w:r>
          </w:p>
        </w:tc>
      </w:tr>
      <w:tr w14:paraId="549E1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9" w:type="pct"/>
            <w:noWrap w:val="0"/>
            <w:vAlign w:val="center"/>
          </w:tcPr>
          <w:p w14:paraId="4A640580">
            <w:pPr>
              <w:spacing w:line="360" w:lineRule="auto"/>
              <w:rPr>
                <w:rFonts w:hint="eastAsia" w:ascii="宋体" w:hAnsi="宋体" w:eastAsia="宋体" w:cs="宋体"/>
                <w:b/>
                <w:bCs w:val="0"/>
                <w:color w:val="auto"/>
                <w:sz w:val="24"/>
                <w:szCs w:val="24"/>
                <w:highlight w:val="none"/>
              </w:rPr>
            </w:pPr>
            <w:bookmarkStart w:id="120" w:name="OLE_LINK2" w:colFirst="0" w:colLast="1"/>
            <w:r>
              <w:rPr>
                <w:rFonts w:hint="eastAsia" w:ascii="宋体" w:hAnsi="宋体" w:eastAsia="宋体" w:cs="宋体"/>
                <w:b/>
                <w:bCs w:val="0"/>
                <w:color w:val="auto"/>
                <w:sz w:val="24"/>
                <w:szCs w:val="24"/>
                <w:highlight w:val="none"/>
              </w:rPr>
              <w:t>十一、免赔额</w:t>
            </w:r>
          </w:p>
        </w:tc>
        <w:tc>
          <w:tcPr>
            <w:tcW w:w="3820" w:type="pct"/>
            <w:noWrap w:val="0"/>
            <w:vAlign w:val="center"/>
          </w:tcPr>
          <w:p w14:paraId="66F41255">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本保险合同</w:t>
            </w:r>
            <w:r>
              <w:rPr>
                <w:rFonts w:hint="eastAsia" w:ascii="宋体" w:hAnsi="宋体" w:eastAsia="宋体" w:cs="宋体"/>
                <w:color w:val="auto"/>
                <w:kern w:val="0"/>
                <w:sz w:val="24"/>
                <w:szCs w:val="24"/>
                <w:highlight w:val="none"/>
              </w:rPr>
              <w:t>无免赔</w:t>
            </w:r>
          </w:p>
        </w:tc>
      </w:tr>
      <w:bookmarkEnd w:id="120"/>
      <w:tr w14:paraId="32840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9" w:type="pct"/>
            <w:noWrap w:val="0"/>
            <w:vAlign w:val="center"/>
          </w:tcPr>
          <w:p w14:paraId="493A65C4">
            <w:pP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十二、保险费</w:t>
            </w:r>
            <w:r>
              <w:rPr>
                <w:rFonts w:hint="eastAsia" w:ascii="宋体" w:hAnsi="宋体" w:eastAsia="宋体" w:cs="宋体"/>
                <w:b/>
                <w:bCs w:val="0"/>
                <w:color w:val="auto"/>
                <w:sz w:val="24"/>
                <w:szCs w:val="24"/>
                <w:highlight w:val="none"/>
                <w:lang w:val="en-US" w:eastAsia="zh-CN"/>
              </w:rPr>
              <w:t>单价</w:t>
            </w:r>
          </w:p>
        </w:tc>
        <w:tc>
          <w:tcPr>
            <w:tcW w:w="3820" w:type="pct"/>
            <w:noWrap w:val="0"/>
            <w:vAlign w:val="center"/>
          </w:tcPr>
          <w:p w14:paraId="15935249">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最高限价：10元/人/学年</w:t>
            </w:r>
          </w:p>
        </w:tc>
      </w:tr>
      <w:tr w14:paraId="1E8A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1179" w:type="pct"/>
            <w:noWrap w:val="0"/>
            <w:vAlign w:val="center"/>
          </w:tcPr>
          <w:p w14:paraId="44706826">
            <w:pPr>
              <w:spacing w:line="360" w:lineRule="auto"/>
              <w:jc w:val="lef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十三、保险费</w:t>
            </w:r>
            <w:r>
              <w:rPr>
                <w:rFonts w:hint="eastAsia" w:ascii="宋体" w:hAnsi="宋体" w:eastAsia="宋体" w:cs="宋体"/>
                <w:b/>
                <w:bCs w:val="0"/>
                <w:color w:val="auto"/>
                <w:sz w:val="24"/>
                <w:szCs w:val="24"/>
                <w:highlight w:val="none"/>
                <w:lang w:val="en-US" w:eastAsia="zh-CN"/>
              </w:rPr>
              <w:t>总额</w:t>
            </w:r>
          </w:p>
        </w:tc>
        <w:tc>
          <w:tcPr>
            <w:tcW w:w="3820" w:type="pct"/>
            <w:noWrap w:val="0"/>
            <w:vAlign w:val="center"/>
          </w:tcPr>
          <w:p w14:paraId="0300D997">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保险费</w:t>
            </w:r>
            <w:r>
              <w:rPr>
                <w:rFonts w:hint="eastAsia" w:ascii="宋体" w:hAnsi="宋体" w:eastAsia="宋体" w:cs="宋体"/>
                <w:color w:val="auto"/>
                <w:kern w:val="0"/>
                <w:sz w:val="24"/>
                <w:szCs w:val="24"/>
                <w:highlight w:val="none"/>
                <w:lang w:val="en-US" w:eastAsia="zh-CN"/>
              </w:rPr>
              <w:t>总额</w:t>
            </w:r>
            <w:r>
              <w:rPr>
                <w:rFonts w:hint="eastAsia" w:ascii="宋体" w:hAnsi="宋体" w:eastAsia="宋体" w:cs="宋体"/>
                <w:color w:val="auto"/>
                <w:kern w:val="0"/>
                <w:sz w:val="24"/>
                <w:szCs w:val="24"/>
                <w:highlight w:val="none"/>
              </w:rPr>
              <w:t xml:space="preserve"> = 保险费</w:t>
            </w:r>
            <w:r>
              <w:rPr>
                <w:rFonts w:hint="eastAsia" w:ascii="宋体" w:hAnsi="宋体" w:eastAsia="宋体" w:cs="宋体"/>
                <w:color w:val="auto"/>
                <w:kern w:val="0"/>
                <w:sz w:val="24"/>
                <w:szCs w:val="24"/>
                <w:highlight w:val="none"/>
                <w:lang w:val="en-US" w:eastAsia="zh-CN"/>
              </w:rPr>
              <w:t>成交单价</w:t>
            </w:r>
            <w:r>
              <w:rPr>
                <w:rFonts w:hint="eastAsia" w:ascii="宋体" w:hAnsi="宋体" w:eastAsia="宋体" w:cs="宋体"/>
                <w:color w:val="auto"/>
                <w:kern w:val="0"/>
                <w:sz w:val="24"/>
                <w:szCs w:val="24"/>
                <w:highlight w:val="none"/>
              </w:rPr>
              <w:t xml:space="preserve"> * 投保学生人数</w:t>
            </w:r>
          </w:p>
        </w:tc>
      </w:tr>
      <w:tr w14:paraId="76720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9" w:type="pct"/>
            <w:noWrap w:val="0"/>
            <w:vAlign w:val="center"/>
          </w:tcPr>
          <w:p w14:paraId="0F533F2B">
            <w:pPr>
              <w:spacing w:line="360" w:lineRule="auto"/>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十四、保费支付</w:t>
            </w:r>
          </w:p>
        </w:tc>
        <w:tc>
          <w:tcPr>
            <w:tcW w:w="3820" w:type="pct"/>
            <w:noWrap w:val="0"/>
            <w:vAlign w:val="center"/>
          </w:tcPr>
          <w:p w14:paraId="229187DE">
            <w:pPr>
              <w:pStyle w:val="336"/>
              <w:ind w:left="0" w:firstLine="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见费出单</w:t>
            </w:r>
          </w:p>
        </w:tc>
      </w:tr>
      <w:tr w14:paraId="4859E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9" w:type="pct"/>
            <w:tcBorders>
              <w:top w:val="single" w:color="auto" w:sz="4" w:space="0"/>
              <w:left w:val="single" w:color="auto" w:sz="4" w:space="0"/>
              <w:bottom w:val="single" w:color="auto" w:sz="4" w:space="0"/>
              <w:right w:val="single" w:color="auto" w:sz="4" w:space="0"/>
            </w:tcBorders>
            <w:noWrap w:val="0"/>
            <w:vAlign w:val="center"/>
          </w:tcPr>
          <w:p w14:paraId="76CBEA16">
            <w:pPr>
              <w:spacing w:line="360" w:lineRule="auto"/>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十五、特别约定</w:t>
            </w:r>
          </w:p>
        </w:tc>
        <w:tc>
          <w:tcPr>
            <w:tcW w:w="3820" w:type="pct"/>
            <w:tcBorders>
              <w:top w:val="single" w:color="auto" w:sz="4" w:space="0"/>
              <w:left w:val="single" w:color="auto" w:sz="4" w:space="0"/>
              <w:bottom w:val="single" w:color="auto" w:sz="4" w:space="0"/>
              <w:right w:val="single" w:color="auto" w:sz="4" w:space="0"/>
            </w:tcBorders>
            <w:noWrap w:val="0"/>
            <w:vAlign w:val="center"/>
          </w:tcPr>
          <w:p w14:paraId="3FDA8AB1">
            <w:pPr>
              <w:spacing w:line="360" w:lineRule="auto"/>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1.扩展条款的效力高于基本险条款。</w:t>
            </w:r>
          </w:p>
          <w:p w14:paraId="005C6BA3">
            <w:pPr>
              <w:spacing w:line="360" w:lineRule="auto"/>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2.本保单校方责任险的保险责任地址范围为</w:t>
            </w:r>
            <w:r>
              <w:rPr>
                <w:rFonts w:hint="eastAsia" w:ascii="宋体" w:hAnsi="宋体" w:eastAsia="宋体" w:cs="宋体"/>
                <w:color w:val="auto"/>
                <w:kern w:val="0"/>
                <w:sz w:val="24"/>
                <w:szCs w:val="24"/>
                <w:highlight w:val="none"/>
              </w:rPr>
              <w:t>学生在</w:t>
            </w:r>
            <w:r>
              <w:rPr>
                <w:rFonts w:hint="eastAsia" w:ascii="宋体" w:hAnsi="宋体" w:eastAsia="宋体" w:cs="宋体"/>
                <w:color w:val="auto"/>
                <w:kern w:val="0"/>
                <w:sz w:val="24"/>
                <w:szCs w:val="24"/>
                <w:highlight w:val="none"/>
                <w:lang w:val="en-US" w:eastAsia="zh-CN"/>
              </w:rPr>
              <w:t>被保险人学校</w:t>
            </w:r>
            <w:r>
              <w:rPr>
                <w:rFonts w:hint="eastAsia" w:ascii="宋体" w:hAnsi="宋体" w:eastAsia="宋体" w:cs="宋体"/>
                <w:color w:val="auto"/>
                <w:kern w:val="0"/>
                <w:sz w:val="24"/>
                <w:szCs w:val="24"/>
                <w:highlight w:val="none"/>
                <w:lang w:eastAsia="zh-CN"/>
              </w:rPr>
              <w:t>周边</w:t>
            </w:r>
            <w:r>
              <w:rPr>
                <w:rFonts w:hint="eastAsia" w:ascii="宋体" w:hAnsi="宋体" w:eastAsia="宋体" w:cs="宋体"/>
                <w:color w:val="auto"/>
                <w:kern w:val="0"/>
                <w:sz w:val="24"/>
                <w:szCs w:val="24"/>
                <w:highlight w:val="none"/>
                <w:lang w:val="en-US" w:eastAsia="zh-CN"/>
              </w:rPr>
              <w:t>200米范围内发生意外事故或遭受暴力伤害的。</w:t>
            </w:r>
          </w:p>
          <w:p w14:paraId="04109B1A">
            <w:pPr>
              <w:spacing w:line="360" w:lineRule="auto"/>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经学生监护人签字同意在被保险人的校舍以外租房住宿的学生，一旦发生保险责任范围内的保险事故，造成赔偿纠纷的影响到校方的正常教学，需经过山东大学、承保公司协商沟通，在保险责任保额的10%的范围内给予通融赔付。</w:t>
            </w:r>
          </w:p>
          <w:p w14:paraId="1DCEE881">
            <w:pPr>
              <w:spacing w:line="360" w:lineRule="auto"/>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4.在校学生参加修学分金工实习期间发生保险事故，有带队教师全程陪同的情况下，属于保险责任。</w:t>
            </w:r>
          </w:p>
          <w:p w14:paraId="54453B03">
            <w:pPr>
              <w:spacing w:line="360" w:lineRule="auto"/>
              <w:jc w:val="left"/>
              <w:outlineLvl w:val="9"/>
              <w:rPr>
                <w:rFonts w:hint="eastAsia" w:ascii="宋体" w:hAnsi="宋体" w:eastAsia="宋体" w:cs="宋体"/>
                <w:sz w:val="24"/>
                <w:szCs w:val="24"/>
                <w:lang w:val="en-US" w:eastAsia="zh-CN"/>
              </w:rPr>
            </w:pPr>
            <w:r>
              <w:rPr>
                <w:rFonts w:hint="eastAsia" w:ascii="宋体" w:hAnsi="宋体" w:eastAsia="宋体" w:cs="宋体"/>
                <w:bCs w:val="0"/>
                <w:color w:val="auto"/>
                <w:kern w:val="0"/>
                <w:sz w:val="24"/>
                <w:szCs w:val="24"/>
                <w:highlight w:val="none"/>
                <w:lang w:val="en-US" w:eastAsia="zh-CN" w:bidi="ar-SA"/>
              </w:rPr>
              <w:t>5.本保单承保的在册学生，可能因为学校教育教学安排，会在山东大学济南校区、青岛校区、威海校区三大校区之间交流活动。出险时本保单不因出险地而拒赔，只要在承保名单内且属于保险责任的，保单负责赔偿。</w:t>
            </w:r>
          </w:p>
        </w:tc>
      </w:tr>
    </w:tbl>
    <w:p w14:paraId="59A9068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p>
    <w:p w14:paraId="78D60A6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p>
    <w:p w14:paraId="26C58AB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p>
    <w:p w14:paraId="7A14958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p>
    <w:p w14:paraId="5DBF8C7B">
      <w:pP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br w:type="page"/>
      </w:r>
    </w:p>
    <w:p w14:paraId="1FA45D62">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山东省校（园）方责任保险条款</w:t>
      </w:r>
    </w:p>
    <w:p w14:paraId="655BD4F2">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总则</w:t>
      </w:r>
    </w:p>
    <w:p w14:paraId="4504F730">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本保险合同由保险条款、投保单、保险单以及批单组成。凡涉及本保险合同的约定，均应采用书面形式。</w:t>
      </w:r>
    </w:p>
    <w:p w14:paraId="4570799F">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凡经相关政府部门批准设立的托儿所、幼儿园、中小学、特殊教育学校、各类中等职业学校、高等学校或其他教育机构等均可作为本保险合同的被保险人。</w:t>
      </w:r>
    </w:p>
    <w:p w14:paraId="7C2C5E4A">
      <w:pPr>
        <w:widowControl/>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保险责任</w:t>
      </w:r>
    </w:p>
    <w:p w14:paraId="207D48BC">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保险期间内，在被保险人的在校活动中或由被保险人统一组织或安排的活动过程中，因发生下列情形导致被保险人的学生（以下简称学生）遭受人身损害，依照中华人民共和国法律（以下简称依法）应由被保险人承担的经济赔偿责任，保险人按照本保险合同的约定负责赔偿：</w:t>
      </w:r>
    </w:p>
    <w:p w14:paraId="170FCEC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（一）被保险人的校舍、场地、其他公共设施，以及被保险人提供给学生使用的学具、教育教学和生活设施、设备不符合国家规定的标准，或者有明显不安全因素的；</w:t>
      </w:r>
    </w:p>
    <w:p w14:paraId="1951B93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（二）被保险人的安全保卫、消防、设施设备管理等安全管理制度有明显疏漏，或者管理混乱，存在重大安全隐患，而未及时采取措施的；</w:t>
      </w:r>
    </w:p>
    <w:p w14:paraId="5BCE25C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（三）被保险人向学生提供的药品、食品、饮用水等不符合国家或者行业的有关标准、要求的；</w:t>
      </w:r>
    </w:p>
    <w:p w14:paraId="656087D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（四）被保险人组织学生参加教育教学活动或者校外活动，未对学生进行相应的安全教育，并未在可预见的范围内采取必要的安全措施的；</w:t>
      </w:r>
    </w:p>
    <w:p w14:paraId="7E53B6C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（五）被保险人知道教师或者其他工作人员患有不适宜担任教育教学工作的疾病，但未采取必要措施的；</w:t>
      </w:r>
    </w:p>
    <w:p w14:paraId="11B351C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（六）被保险人违反有关规定，组织或者安排未成年学生从事不宜未成年人参加的劳动、体育运动或者其他活动的；</w:t>
      </w:r>
    </w:p>
    <w:p w14:paraId="0FF6811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（七）学生有特异体质或者特定疾病，不宜参加某种教育教学活动，被保险人知道或者应当知道，但未予以必要的注意的；</w:t>
      </w:r>
    </w:p>
    <w:p w14:paraId="64B64C8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（八）学生在校期间突发疾病或者受到伤害，被保险人发现，但未根据实际情况及时采取相应措施，导致不良后果加重的；</w:t>
      </w:r>
    </w:p>
    <w:p w14:paraId="46FC484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（九）被保险人的教师或者其他工作人员体罚或者变相体罚学生，或者在履行职责过程中违反工作要求、操作规程、职业道德或者其他有关规定的；</w:t>
      </w:r>
    </w:p>
    <w:p w14:paraId="5008616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（十）被保险人的教师或者其他工作人员在负有组织、管理未成年学生的职责期间，发现学生行为具有危险性，但未进行必要的管理、告诫或者制止的；</w:t>
      </w:r>
    </w:p>
    <w:p w14:paraId="5A660EC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（十一）对未成年学生擅自离校等与学生人身安全直接相关的信息，被保险人发现或者知道，但未及时告知未成年学生的监护人，导致未成年学生因脱离监护人的保护而发生伤害的；</w:t>
      </w:r>
    </w:p>
    <w:p w14:paraId="66F5317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（十二）研学旅行期间发生意外事故的；</w:t>
      </w:r>
    </w:p>
    <w:p w14:paraId="7D45CB0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（十三）被保险人有未依法履行职责的其他情形的。</w:t>
      </w:r>
    </w:p>
    <w:p w14:paraId="58428DF1">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保险期间内，发生下列情形导致学生遭受人身损害，尽管被保险人已履行相应职责，行为并无不当，但经法院判决、调解或仲裁机构裁决、调解或保险人认可的赔偿处理机构决定被保险人需对受伤害学生给予经济补偿或被保险人依法根据实际情况对学生给予经济补偿时，保险人依照本保险合同约定负责赔偿：</w:t>
      </w:r>
    </w:p>
    <w:p w14:paraId="2F53A996">
      <w:pPr>
        <w:tabs>
          <w:tab w:val="left" w:pos="2177"/>
        </w:tabs>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（一）学生在代表被保险人参加各项比赛，或者在参加被保险人统一组织的各项活动中发生意外事故；</w:t>
      </w:r>
    </w:p>
    <w:p w14:paraId="752CC76F">
      <w:pPr>
        <w:tabs>
          <w:tab w:val="left" w:pos="2177"/>
        </w:tabs>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（二）拥挤、踩踏造成的意外事故；</w:t>
      </w:r>
    </w:p>
    <w:p w14:paraId="3B207D61">
      <w:pPr>
        <w:tabs>
          <w:tab w:val="left" w:pos="2177"/>
        </w:tabs>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（三）火灾、爆炸、煤气中毒等造成的意外事故；</w:t>
      </w:r>
    </w:p>
    <w:p w14:paraId="3729FA1A">
      <w:pPr>
        <w:tabs>
          <w:tab w:val="left" w:pos="2177"/>
        </w:tabs>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（四）高空物体坠落造成的意外事故。</w:t>
      </w:r>
    </w:p>
    <w:p w14:paraId="647EFD5B">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保险事故发生后，被保险人为防止或者减少学生人身损害所支付的必要的、合理的费用（以下简称施救费用），保险人按照本保险合同的约定负责赔偿。</w:t>
      </w:r>
    </w:p>
    <w:p w14:paraId="3F2794B5">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生可能引起本保险合同项下赔偿的情形时，被保险人被提起诉讼或仲裁，事先经保险人书面同意支付的合理的、必要的诉讼费、鉴定费、取证费、案件受理费、评估费、公证费、律师费、仲裁费及其他相关费用等（以下简称法律费用），保险人依照本保险合同约定负责赔偿。</w:t>
      </w:r>
    </w:p>
    <w:p w14:paraId="3BB39CE1">
      <w:pPr>
        <w:spacing w:line="360" w:lineRule="auto"/>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责任免除</w:t>
      </w:r>
    </w:p>
    <w:p w14:paraId="6B268B70">
      <w:pPr>
        <w:widowControl/>
        <w:numPr>
          <w:ilvl w:val="0"/>
          <w:numId w:val="4"/>
        </w:num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sz w:val="24"/>
          <w:szCs w:val="24"/>
          <w:highlight w:val="none"/>
        </w:rPr>
        <w:t>下列</w:t>
      </w:r>
      <w:r>
        <w:rPr>
          <w:rFonts w:hint="eastAsia" w:ascii="宋体" w:hAnsi="宋体" w:eastAsia="宋体" w:cs="宋体"/>
          <w:b/>
          <w:color w:val="auto"/>
          <w:kern w:val="0"/>
          <w:sz w:val="24"/>
          <w:szCs w:val="24"/>
          <w:highlight w:val="none"/>
        </w:rPr>
        <w:t>原因造成学生人身损害的，保险人不负赔偿责任：</w:t>
      </w:r>
    </w:p>
    <w:p w14:paraId="115C29CF">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（一）被保险人的故意行为；</w:t>
      </w:r>
    </w:p>
    <w:p w14:paraId="0C3CA4B3">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（二）战争、类似战争行为、敌对行动、军事行动、武装冲突、罢工、骚乱、暴动、恐怖活动；</w:t>
      </w:r>
    </w:p>
    <w:p w14:paraId="08165AF2">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（三）核辐射、核爆炸、核污染及其他放射性污染；</w:t>
      </w:r>
    </w:p>
    <w:p w14:paraId="187EE57C">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（四）大气污染、土地污染、水污染及其他各种污染；</w:t>
      </w:r>
    </w:p>
    <w:p w14:paraId="13CBF652">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（五）不可抗力，</w:t>
      </w:r>
      <w:r>
        <w:rPr>
          <w:rFonts w:hint="eastAsia" w:ascii="宋体" w:hAnsi="宋体" w:eastAsia="宋体" w:cs="宋体"/>
          <w:color w:val="auto"/>
          <w:sz w:val="24"/>
          <w:szCs w:val="24"/>
          <w:highlight w:val="none"/>
        </w:rPr>
        <w:t>但因被保险人防范措施不落实、应急救援预案或者防范救援措施不力，由自然灾害引发的事故除外；</w:t>
      </w:r>
    </w:p>
    <w:p w14:paraId="47E899ED">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（六）被保险人默许或放任其教师或其他工作人员殴打、体罚或变相体罚学生的行为；</w:t>
      </w:r>
    </w:p>
    <w:p w14:paraId="6238CA92">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（七）学生已脱离被保险人管理范围的；</w:t>
      </w:r>
    </w:p>
    <w:p w14:paraId="776E3244">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（八）学生自伤、自杀的，</w:t>
      </w:r>
      <w:r>
        <w:rPr>
          <w:rFonts w:hint="eastAsia" w:ascii="宋体" w:hAnsi="宋体" w:eastAsia="宋体" w:cs="宋体"/>
          <w:bCs w:val="0"/>
          <w:color w:val="auto"/>
          <w:kern w:val="0"/>
          <w:sz w:val="24"/>
          <w:szCs w:val="24"/>
          <w:highlight w:val="none"/>
        </w:rPr>
        <w:t>但学生有自伤、自杀倾向，</w:t>
      </w:r>
      <w:r>
        <w:rPr>
          <w:rFonts w:hint="eastAsia" w:ascii="宋体" w:hAnsi="宋体" w:eastAsia="宋体" w:cs="宋体"/>
          <w:bCs w:val="0"/>
          <w:color w:val="auto"/>
          <w:sz w:val="24"/>
          <w:szCs w:val="24"/>
          <w:highlight w:val="none"/>
        </w:rPr>
        <w:t>被保险人知道或者应当知道，但未予以必要注意</w:t>
      </w:r>
      <w:r>
        <w:rPr>
          <w:rFonts w:hint="eastAsia" w:ascii="宋体" w:hAnsi="宋体" w:eastAsia="宋体" w:cs="宋体"/>
          <w:bCs w:val="0"/>
          <w:color w:val="auto"/>
          <w:kern w:val="0"/>
          <w:sz w:val="24"/>
          <w:szCs w:val="24"/>
          <w:highlight w:val="none"/>
        </w:rPr>
        <w:t>或被保险人存在限制学生人身自由或体罚、羞辱学生等过错情形的除外；</w:t>
      </w:r>
    </w:p>
    <w:p w14:paraId="17F243AE">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（九）学生有特异体质、特定疾病或者异常心理状态，被保险人不知道或者难于知道的；</w:t>
      </w:r>
    </w:p>
    <w:p w14:paraId="2F028D09">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（十）学生突发疾病，被保险人采取的救护措施并无不当的；</w:t>
      </w:r>
    </w:p>
    <w:p w14:paraId="7FCF24E3">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（十一）学生遭受第三者性侵害的</w:t>
      </w:r>
      <w:r>
        <w:rPr>
          <w:rFonts w:hint="eastAsia" w:ascii="宋体" w:hAnsi="宋体" w:eastAsia="宋体" w:cs="宋体"/>
          <w:bCs w:val="0"/>
          <w:color w:val="auto"/>
          <w:kern w:val="0"/>
          <w:sz w:val="24"/>
          <w:szCs w:val="24"/>
          <w:highlight w:val="none"/>
        </w:rPr>
        <w:t>，但被保险人有过错的除外。</w:t>
      </w:r>
    </w:p>
    <w:p w14:paraId="4FAA5AE6">
      <w:pPr>
        <w:widowControl/>
        <w:numPr>
          <w:ilvl w:val="0"/>
          <w:numId w:val="4"/>
        </w:num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sz w:val="24"/>
          <w:szCs w:val="24"/>
          <w:highlight w:val="none"/>
        </w:rPr>
        <w:t>下列</w:t>
      </w:r>
      <w:r>
        <w:rPr>
          <w:rFonts w:hint="eastAsia" w:ascii="宋体" w:hAnsi="宋体" w:eastAsia="宋体" w:cs="宋体"/>
          <w:b/>
          <w:color w:val="auto"/>
          <w:kern w:val="0"/>
          <w:sz w:val="24"/>
          <w:szCs w:val="24"/>
          <w:highlight w:val="none"/>
        </w:rPr>
        <w:t>损失、费用和责任，保险人不负责赔偿：</w:t>
      </w:r>
    </w:p>
    <w:p w14:paraId="1CC8AD1E">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（一）被保险人根据与他人签订的协议应承担的合同责任，</w:t>
      </w:r>
      <w:r>
        <w:rPr>
          <w:rFonts w:hint="eastAsia" w:ascii="宋体" w:hAnsi="宋体" w:eastAsia="宋体" w:cs="宋体"/>
          <w:bCs w:val="0"/>
          <w:color w:val="auto"/>
          <w:kern w:val="0"/>
          <w:sz w:val="24"/>
          <w:szCs w:val="24"/>
          <w:highlight w:val="none"/>
        </w:rPr>
        <w:t>但即使没有这种协议被保险人依法仍应承担的经济赔偿责任不在此限；</w:t>
      </w:r>
    </w:p>
    <w:p w14:paraId="119A88D8">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（二）学生在被保险人安排的实习单位进行实习过程中遭受的人身损害；</w:t>
      </w:r>
    </w:p>
    <w:p w14:paraId="4D6AC83D">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（三）被保险人或其雇员的人身损害及其所有或管理的财产的损失；</w:t>
      </w:r>
    </w:p>
    <w:p w14:paraId="41BE273A">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 xml:space="preserve">（四）罚款、罚金及惩罚性赔偿； </w:t>
      </w:r>
    </w:p>
    <w:p w14:paraId="09A9951D">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（五）任何财产损失或间接损失。</w:t>
      </w:r>
    </w:p>
    <w:p w14:paraId="7CB55F16">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（六）保险单中载明的应由被保险人自行承担的免赔额（率）。</w:t>
      </w:r>
    </w:p>
    <w:p w14:paraId="364D2FA3">
      <w:pPr>
        <w:widowControl/>
        <w:spacing w:line="360" w:lineRule="auto"/>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责任限额与免赔额</w:t>
      </w:r>
    </w:p>
    <w:p w14:paraId="6A8D49E2">
      <w:pPr>
        <w:widowControl/>
        <w:numPr>
          <w:ilvl w:val="0"/>
          <w:numId w:val="4"/>
        </w:numPr>
        <w:spacing w:line="360" w:lineRule="auto"/>
        <w:ind w:firstLine="480" w:firstLineChars="200"/>
        <w:rPr>
          <w:rFonts w:hint="eastAsia" w:ascii="宋体" w:hAnsi="宋体" w:eastAsia="宋体" w:cs="宋体"/>
          <w:bCs w:val="0"/>
          <w:color w:val="auto"/>
          <w:kern w:val="0"/>
          <w:sz w:val="24"/>
          <w:szCs w:val="24"/>
          <w:highlight w:val="none"/>
        </w:rPr>
      </w:pPr>
      <w:r>
        <w:rPr>
          <w:rFonts w:hint="eastAsia" w:ascii="宋体" w:hAnsi="宋体" w:eastAsia="宋体" w:cs="宋体"/>
          <w:bCs w:val="0"/>
          <w:color w:val="auto"/>
          <w:kern w:val="0"/>
          <w:sz w:val="24"/>
          <w:szCs w:val="24"/>
          <w:highlight w:val="none"/>
        </w:rPr>
        <w:t>本保险合同的责任限额包括累计责任限额、每次事故责任限额、每次事故每人施救费用责任限额、每次事故法律费用责任限额、累计法律费用责任限额、每次事故每人责任限额、</w:t>
      </w:r>
      <w:r>
        <w:rPr>
          <w:rFonts w:hint="eastAsia" w:ascii="宋体" w:hAnsi="宋体" w:eastAsia="宋体" w:cs="宋体"/>
          <w:color w:val="auto"/>
          <w:kern w:val="0"/>
          <w:sz w:val="24"/>
          <w:szCs w:val="24"/>
          <w:highlight w:val="none"/>
        </w:rPr>
        <w:t>每次事故每人医疗费用责任限额、</w:t>
      </w:r>
      <w:r>
        <w:rPr>
          <w:rFonts w:hint="eastAsia" w:ascii="宋体" w:hAnsi="宋体" w:eastAsia="宋体" w:cs="宋体"/>
          <w:color w:val="auto"/>
          <w:sz w:val="24"/>
          <w:szCs w:val="24"/>
          <w:highlight w:val="none"/>
        </w:rPr>
        <w:t>每次事故每人精神损害抚慰金责任限额</w:t>
      </w:r>
      <w:r>
        <w:rPr>
          <w:rFonts w:hint="eastAsia" w:ascii="宋体" w:hAnsi="宋体" w:eastAsia="宋体" w:cs="宋体"/>
          <w:bCs w:val="0"/>
          <w:color w:val="auto"/>
          <w:kern w:val="0"/>
          <w:sz w:val="24"/>
          <w:szCs w:val="24"/>
          <w:highlight w:val="none"/>
        </w:rPr>
        <w:t>。</w:t>
      </w:r>
    </w:p>
    <w:p w14:paraId="0BC4D454">
      <w:pPr>
        <w:widowControl/>
        <w:numPr>
          <w:ilvl w:val="0"/>
          <w:numId w:val="4"/>
        </w:numPr>
        <w:spacing w:line="360" w:lineRule="auto"/>
        <w:ind w:firstLine="480" w:firstLineChars="200"/>
        <w:rPr>
          <w:rFonts w:hint="eastAsia" w:ascii="宋体" w:hAnsi="宋体" w:eastAsia="宋体" w:cs="宋体"/>
          <w:b/>
          <w:color w:val="auto"/>
          <w:kern w:val="0"/>
          <w:sz w:val="24"/>
          <w:szCs w:val="24"/>
          <w:highlight w:val="none"/>
        </w:rPr>
      </w:pPr>
      <w:r>
        <w:rPr>
          <w:rFonts w:hint="eastAsia" w:ascii="宋体" w:hAnsi="宋体" w:eastAsia="宋体" w:cs="宋体"/>
          <w:bCs w:val="0"/>
          <w:color w:val="auto"/>
          <w:kern w:val="0"/>
          <w:sz w:val="24"/>
          <w:szCs w:val="24"/>
          <w:highlight w:val="none"/>
        </w:rPr>
        <w:t>免赔额由投保人与保险人在签订保险合协商确定，并在保险单中载明</w:t>
      </w:r>
      <w:r>
        <w:rPr>
          <w:rFonts w:hint="eastAsia" w:ascii="宋体" w:hAnsi="宋体" w:eastAsia="宋体" w:cs="宋体"/>
          <w:b/>
          <w:color w:val="auto"/>
          <w:kern w:val="0"/>
          <w:sz w:val="24"/>
          <w:szCs w:val="24"/>
          <w:highlight w:val="none"/>
        </w:rPr>
        <w:t>。</w:t>
      </w:r>
    </w:p>
    <w:p w14:paraId="034886D3">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保险期间</w:t>
      </w:r>
    </w:p>
    <w:p w14:paraId="539C4865">
      <w:pPr>
        <w:widowControl/>
        <w:numPr>
          <w:ilvl w:val="0"/>
          <w:numId w:val="4"/>
        </w:numPr>
        <w:spacing w:line="360" w:lineRule="auto"/>
        <w:ind w:firstLine="480" w:firstLineChars="200"/>
        <w:rPr>
          <w:rFonts w:hint="eastAsia" w:ascii="宋体" w:hAnsi="宋体" w:eastAsia="宋体" w:cs="宋体"/>
          <w:bCs w:val="0"/>
          <w:color w:val="auto"/>
          <w:sz w:val="24"/>
          <w:szCs w:val="24"/>
          <w:highlight w:val="none"/>
        </w:rPr>
      </w:pPr>
      <w:r>
        <w:rPr>
          <w:rFonts w:hint="eastAsia" w:ascii="宋体" w:hAnsi="宋体" w:eastAsia="宋体" w:cs="宋体"/>
          <w:bCs w:val="0"/>
          <w:color w:val="auto"/>
          <w:kern w:val="0"/>
          <w:sz w:val="24"/>
          <w:szCs w:val="24"/>
          <w:highlight w:val="none"/>
        </w:rPr>
        <w:t>除</w:t>
      </w:r>
      <w:r>
        <w:rPr>
          <w:rFonts w:hint="eastAsia" w:ascii="宋体" w:hAnsi="宋体" w:eastAsia="宋体" w:cs="宋体"/>
          <w:bCs w:val="0"/>
          <w:color w:val="auto"/>
          <w:sz w:val="24"/>
          <w:szCs w:val="24"/>
          <w:highlight w:val="none"/>
        </w:rPr>
        <w:t>另有约定外，保险期间为一年，以保险单载明的起讫时间为准。</w:t>
      </w:r>
    </w:p>
    <w:p w14:paraId="3CB06F72">
      <w:pPr>
        <w:tabs>
          <w:tab w:val="left" w:pos="1418"/>
        </w:tabs>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保险费</w:t>
      </w:r>
    </w:p>
    <w:p w14:paraId="439DEAFC">
      <w:pPr>
        <w:widowControl/>
        <w:numPr>
          <w:ilvl w:val="0"/>
          <w:numId w:val="4"/>
        </w:num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 xml:space="preserve"> </w:t>
      </w:r>
      <w:r>
        <w:rPr>
          <w:rFonts w:hint="eastAsia" w:ascii="宋体" w:hAnsi="宋体" w:eastAsia="宋体" w:cs="宋体"/>
          <w:color w:val="auto"/>
          <w:sz w:val="24"/>
          <w:szCs w:val="24"/>
          <w:highlight w:val="none"/>
        </w:rPr>
        <w:t>除另有约定外，本保险合同的保险费由保险人根据责任限额及被保险人的风险状况确定。</w:t>
      </w:r>
    </w:p>
    <w:p w14:paraId="0BED872D">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保险人义务</w:t>
      </w:r>
    </w:p>
    <w:p w14:paraId="1ABA3B28">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本保险合同成立后，保险人应当及时向投保人签发保险单或其他保险凭证。</w:t>
      </w:r>
    </w:p>
    <w:p w14:paraId="4C3B5D0F">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保险事故发生后，被保险人提供的有关索赔的证明和资料不完整的，保险人应当及时一次性通知投保人、被保险人补充提供。</w:t>
      </w:r>
    </w:p>
    <w:p w14:paraId="09652F99">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险人收到被保险人的赔偿请求后，应当及时做出核定，并将核定结果通知被保险人。情形复杂的，应当在三十日内做出核定并通知被保险人，对于属于保险责任的，在与被保险人达成有关赔偿金额的协议后十日内，履行赔偿义务。</w:t>
      </w:r>
    </w:p>
    <w:p w14:paraId="06A75702">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保险人按照前款的规定做出核定后，对不属于保险责任的，应当自做出核定之日起三日内向被保险人发出拒绝赔偿保险金通知书，并说明理由。</w:t>
      </w:r>
    </w:p>
    <w:p w14:paraId="7D6B296C">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保险人自收到赔偿保险金的请求和有关证明、资料之日起六十日内，对其赔偿保险金的数额不能确定的，应当根据已有证明和资料可以确定的数额先予支付；保险人最终确定赔偿的数额后，应当支付相应的差额。 </w:t>
      </w:r>
    </w:p>
    <w:p w14:paraId="750E9862">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被保险人给学生造成损害，被保险人对学生应负的赔偿责任确定的，根据被保险人的请求，保险人应当直接向提出损害赔偿请求的学生支付赔款。</w:t>
      </w:r>
    </w:p>
    <w:p w14:paraId="5B5CE65B">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被保险人怠于提出索赔的，学生有权根据本保险合同就其应获赔偿部分直接向保险人请求赔偿保险金。</w:t>
      </w:r>
    </w:p>
    <w:p w14:paraId="38E499BF">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被保险人给学生造成损害，被保险人未向该学生赔偿的，保险人不得向被保险人赔偿保险金。</w:t>
      </w:r>
    </w:p>
    <w:p w14:paraId="14DE7790">
      <w:pPr>
        <w:widowControl/>
        <w:spacing w:line="360" w:lineRule="auto"/>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投保人</w:t>
      </w:r>
      <w:r>
        <w:rPr>
          <w:rFonts w:hint="eastAsia" w:ascii="宋体" w:hAnsi="宋体" w:eastAsia="宋体" w:cs="宋体"/>
          <w:b/>
          <w:color w:val="auto"/>
          <w:sz w:val="24"/>
          <w:szCs w:val="24"/>
          <w:highlight w:val="none"/>
        </w:rPr>
        <w:t>、被保险人义务</w:t>
      </w:r>
    </w:p>
    <w:p w14:paraId="391058B4">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订立保险合同，保险人就保险标的或被保险人的有关情况提出询问的，投保人应当如实告知，并如实填写投保单。</w:t>
      </w:r>
    </w:p>
    <w:p w14:paraId="1EAC23F9">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投保人故意或因重大过失未履行前款规定的如实告知义务，足以影响保险人决定是否同意承保或提高保险费率的，保险人有权解除保险合同。</w:t>
      </w:r>
    </w:p>
    <w:p w14:paraId="51549B9A">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前款规定的合同解除权，自保险人知道有解除事由之日起，超过三十日不行使而消灭。发生保险事故的，保险人应当承担赔偿保险金的责任。</w:t>
      </w:r>
    </w:p>
    <w:p w14:paraId="29E7E1DE">
      <w:pPr>
        <w:widowControl/>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投保人故意不履行如实告知义务的，保险人对于合同解除前发生的保险事故，不承担赔偿保险金的责任，并不退还保险费。</w:t>
      </w:r>
    </w:p>
    <w:p w14:paraId="4881378E">
      <w:pPr>
        <w:widowControl/>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投保人因重大过失未履行如实告知义务，对保险事故的发生有严重影响的，保险人对于合同解除前发生的保险事故，不承担赔偿保险金的责任，但应当退还保险费。</w:t>
      </w:r>
    </w:p>
    <w:p w14:paraId="7F014988">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保险人在合同订立时已经知道投保人未如实告知的情况的，保险人不得解除合同；发生保险事故的，保险人应当承担赔偿保险金的责任。</w:t>
      </w:r>
    </w:p>
    <w:p w14:paraId="3394EAA4">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投保人应按照合同约定缴纳保险费。</w:t>
      </w:r>
    </w:p>
    <w:p w14:paraId="373ECDB6">
      <w:pPr>
        <w:widowControl/>
        <w:numPr>
          <w:ilvl w:val="0"/>
          <w:numId w:val="4"/>
        </w:numPr>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被保险人应当在学生进行必要的安全教育和自护自救教育；严格遵守国家有关法律法规，确保教育教学和生活设施、设备符合安全标准；建立健全安全制度，采取相应的管理措施，预防和消除教育教学环境中存在的安全隐患，加强管理，采取合理的预防措施，尽力避免或减少责任事故的发生。</w:t>
      </w:r>
    </w:p>
    <w:p w14:paraId="1A4C52C1">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在保险合同有效期内，本合同列明的重要事项如学生名单变动导致保险标的危险程度显著增加的，被保险人应当及时书面通知保险人，保险人应及时办理批改手续或调整保险费。</w:t>
      </w:r>
    </w:p>
    <w:p w14:paraId="5B0F1DC8">
      <w:pPr>
        <w:widowControl/>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被保险人未履行前款约定的通知义务的，因保险标的的危险程度显著增加而发生的保险事故，保险人不承担赔偿保险金的责任。</w:t>
      </w:r>
    </w:p>
    <w:p w14:paraId="201EDB25">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保险事故发生时，被保险人应当：</w:t>
      </w:r>
    </w:p>
    <w:p w14:paraId="186E10D6">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（一）尽力采取必要的措施，防止或减少损失；</w:t>
      </w:r>
    </w:p>
    <w:p w14:paraId="11B9F854">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（二）及时通知保险人，并书面说明事故发生的原因、经过和损失情况，</w:t>
      </w:r>
      <w:r>
        <w:rPr>
          <w:rFonts w:hint="eastAsia" w:ascii="宋体" w:hAnsi="宋体" w:eastAsia="宋体" w:cs="宋体"/>
          <w:b/>
          <w:color w:val="auto"/>
          <w:sz w:val="24"/>
          <w:szCs w:val="24"/>
          <w:highlight w:val="none"/>
        </w:rPr>
        <w:t>故意或因重大过失未及时通知，致使保险事故的性质、原因、损失程度等难以确定的，保险人对无法确定的部分，不承担赔偿责任，</w:t>
      </w:r>
      <w:r>
        <w:rPr>
          <w:rFonts w:hint="eastAsia" w:ascii="宋体" w:hAnsi="宋体" w:eastAsia="宋体" w:cs="宋体"/>
          <w:color w:val="auto"/>
          <w:sz w:val="24"/>
          <w:szCs w:val="24"/>
          <w:highlight w:val="none"/>
        </w:rPr>
        <w:t>但保险人通过其他途径已经及时知道或应当及时知道保险事故发生的除外。</w:t>
      </w:r>
    </w:p>
    <w:p w14:paraId="3B5F0334">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发生保险责任范围内的损失，应由有关责任方负责赔偿的，被保险人应行使或保留向该责任方请求赔偿的权利。</w:t>
      </w:r>
    </w:p>
    <w:p w14:paraId="49F391DB">
      <w:pPr>
        <w:widowControl/>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保险事故发生后，保险人未赔偿保险金之前，被保险人放弃对有关责任方请求赔偿的权利的，保险人不承担赔偿责任。</w:t>
      </w:r>
    </w:p>
    <w:p w14:paraId="1058341F">
      <w:pPr>
        <w:widowControl/>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保险人向被保险人赔偿保险金后，被保险人未经保险人同意放弃对有关责任方请求赔偿的权利的，该行为无效。</w:t>
      </w:r>
    </w:p>
    <w:p w14:paraId="053787E6">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在保险人向有关责任方行使代位请求赔偿权利时，被保险人应当向保险人提供必要的文件和其所知道的有关情况。</w:t>
      </w:r>
    </w:p>
    <w:p w14:paraId="203ADFE6">
      <w:pPr>
        <w:widowControl/>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由于被保险人的故意或者重大过失致使保险人不能行使代位请求赔偿的权利的，保险人可以扣减或者要求返还相应的保险金。</w:t>
      </w:r>
    </w:p>
    <w:p w14:paraId="4C57855F">
      <w:pPr>
        <w:widowControl/>
        <w:numPr>
          <w:ilvl w:val="0"/>
          <w:numId w:val="4"/>
        </w:numPr>
        <w:spacing w:line="360" w:lineRule="auto"/>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未经保险人书面同意，被保险人对学生做出的任何承诺、拒绝、出价、约定、付款或赔偿，保险人不受其约束。对于被保险人自行承诺或支付的赔偿金额，保险人有权重新核定，不属于本保险责任范围或超出责任限额的，保险人不承担赔偿责任。</w:t>
      </w:r>
    </w:p>
    <w:p w14:paraId="53342F2B">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保险人获悉可能发生诉讼、仲裁时，应及时以书面形式通知保险人；接到法院传票或其他法律文书后，应将其副本及时送交保险人。必要时，经被保险人同意，保险人可以以被保险人的名义处理有关诉讼或仲裁事宜，被保险人应提供有关文件并给予必要协助。</w:t>
      </w:r>
    </w:p>
    <w:p w14:paraId="7B8A7456">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对因未及时提供上述通知或必要协助导致扩大的损失，保险人不承担赔偿责任。</w:t>
      </w:r>
    </w:p>
    <w:p w14:paraId="64825C45">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赔偿处理</w:t>
      </w:r>
    </w:p>
    <w:p w14:paraId="73287A25">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发生保险事故后，保险人的赔偿金额以按照下列方式之一确定的被保险人的经济赔偿责任为依据：</w:t>
      </w:r>
    </w:p>
    <w:p w14:paraId="7DB7E632">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（一）保险人认可的赔偿处理机构依据《中华人民共和国侵权责任法》、《中华人民共和国民法通则》等法律法规及本保险合同的约定做出的赔偿决定；</w:t>
      </w:r>
    </w:p>
    <w:p w14:paraId="53E896B4">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（二）人民法院判决、调解或仲裁机构裁决、调解；</w:t>
      </w:r>
    </w:p>
    <w:p w14:paraId="57B3AE12">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（三）保险人认可的其他方式。</w:t>
      </w:r>
    </w:p>
    <w:p w14:paraId="451122C1">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被保险人向保险人请求赔偿时，应提交下列单证材料：</w:t>
      </w:r>
    </w:p>
    <w:p w14:paraId="6D607EA5">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（一）索赔申请书（含事故情况说明）；</w:t>
      </w:r>
    </w:p>
    <w:p w14:paraId="140A3D4D">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（二）学生的身份信息以及与被保险人的关系证明；</w:t>
      </w:r>
    </w:p>
    <w:p w14:paraId="597DD4CD">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（三）学生病历资料；学生死亡或残疾的，提供相关机构或部门出具的死亡证明或残疾程度证明；</w:t>
      </w:r>
    </w:p>
    <w:p w14:paraId="7D20464F">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（四）保险人认可的赔偿处理机构出具的赔偿决定书、法院判决书、人民法院出具的调解书、仲裁裁决书、仲裁调解书；</w:t>
      </w:r>
    </w:p>
    <w:p w14:paraId="23EC7D1E">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（五）医疗费发票或可以证明医疗费的其他材料以及依照本保险合同第二十九条应当由被保险人承担的其他费用的证明材料；</w:t>
      </w:r>
    </w:p>
    <w:p w14:paraId="7DCB33F2">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（六）其他被保险人所能提供的与确认保险事故的性质、原因、损失程度等有关的证明和资料。</w:t>
      </w:r>
    </w:p>
    <w:p w14:paraId="708088A5">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本保险合同第三条所指经济赔偿责任，保险人根据《最高人民法院关于审理人身损害赔偿案件适用法律若干问题的解释》（以下简称司法解释）计算的赔偿金额乘以被保险人在事故中承担的责任比例在本保险合同列明的责任限额内进行赔偿。赔偿项目及标准如下：</w:t>
      </w:r>
    </w:p>
    <w:p w14:paraId="1A7B2378">
      <w:pPr>
        <w:widowControl/>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（一）造成学生人身损害的，学生进行治疗所发生的各项费用，包括医疗费（含因抢救所支付的医疗费）、护理费、交通费、住宿费、住院伙食补助费、必要的营养费；</w:t>
      </w:r>
    </w:p>
    <w:p w14:paraId="0FE14052">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造成学生残疾的，除应赔偿本条（一）中规定的相关费用外，还应赔偿其因增加生活上需要所支出的必要费用以及因丧失劳动能力导致的收入损失，包括残疾赔偿金、残疾辅助器具费、被扶养人生活费，以及因康复护理、继续治疗实际发生的必要的康复费、护理费、后续治疗费；</w:t>
      </w:r>
    </w:p>
    <w:p w14:paraId="5237B531">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（三）造成学生死亡的，除应当根据抢救治疗情况赔偿本条（一）中规定的相关费用外，还应当赔偿丧葬费、被扶养人生活费、死亡赔偿金以及学生亲属办理丧葬事宜支出的合理的交通费、住宿费和误工损失；</w:t>
      </w:r>
    </w:p>
    <w:p w14:paraId="3B9D1FE9">
      <w:pPr>
        <w:widowControl/>
        <w:spacing w:line="360" w:lineRule="auto"/>
        <w:ind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（四）造成学生人身损害，经法院判决、调解或保险人认可的赔偿处理机构决定所需支付的精神损害抚慰金；</w:t>
      </w:r>
    </w:p>
    <w:p w14:paraId="5B5ABE3D">
      <w:pPr>
        <w:widowControl/>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（五）对学生因保险事故残疾的，伤残级别依照《人体损伤致残程度分级》确定；对残疾赔偿金按照下表，即伤残赔偿比例表，规定的伤残赔偿比例乘以《司法解释》规定的对受害人的死亡赔偿金计算。</w:t>
      </w:r>
    </w:p>
    <w:tbl>
      <w:tblPr>
        <w:tblStyle w:val="74"/>
        <w:tblW w:w="7240" w:type="dxa"/>
        <w:jc w:val="center"/>
        <w:tblLayout w:type="fixed"/>
        <w:tblCellMar>
          <w:top w:w="0" w:type="dxa"/>
          <w:left w:w="108" w:type="dxa"/>
          <w:bottom w:w="0" w:type="dxa"/>
          <w:right w:w="108" w:type="dxa"/>
        </w:tblCellMar>
      </w:tblPr>
      <w:tblGrid>
        <w:gridCol w:w="1551"/>
        <w:gridCol w:w="3060"/>
        <w:gridCol w:w="2629"/>
      </w:tblGrid>
      <w:tr w14:paraId="20C0EB9A">
        <w:tblPrEx>
          <w:tblCellMar>
            <w:top w:w="0" w:type="dxa"/>
            <w:left w:w="108" w:type="dxa"/>
            <w:bottom w:w="0" w:type="dxa"/>
            <w:right w:w="108" w:type="dxa"/>
          </w:tblCellMar>
        </w:tblPrEx>
        <w:trPr>
          <w:trHeight w:val="374" w:hRule="atLeast"/>
          <w:jc w:val="center"/>
        </w:trPr>
        <w:tc>
          <w:tcPr>
            <w:tcW w:w="1551" w:type="dxa"/>
            <w:tcBorders>
              <w:top w:val="single" w:color="000000" w:sz="4" w:space="0"/>
              <w:left w:val="single" w:color="000000" w:sz="4" w:space="0"/>
              <w:bottom w:val="single" w:color="000000" w:sz="4" w:space="0"/>
              <w:right w:val="single" w:color="000000" w:sz="4" w:space="0"/>
            </w:tcBorders>
            <w:shd w:val="clear" w:color="auto" w:fill="F3F3F3"/>
            <w:noWrap w:val="0"/>
            <w:vAlign w:val="center"/>
          </w:tcPr>
          <w:p w14:paraId="6010468E">
            <w:pPr>
              <w:widowControl/>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w:t>
            </w:r>
          </w:p>
        </w:tc>
        <w:tc>
          <w:tcPr>
            <w:tcW w:w="3060" w:type="dxa"/>
            <w:tcBorders>
              <w:top w:val="single" w:color="000000" w:sz="4" w:space="0"/>
              <w:left w:val="nil"/>
              <w:bottom w:val="single" w:color="000000" w:sz="4" w:space="0"/>
              <w:right w:val="single" w:color="000000" w:sz="4" w:space="0"/>
            </w:tcBorders>
            <w:shd w:val="clear" w:color="auto" w:fill="F3F3F3"/>
            <w:noWrap w:val="0"/>
            <w:vAlign w:val="center"/>
          </w:tcPr>
          <w:p w14:paraId="196F4AD6">
            <w:pPr>
              <w:widowControl/>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伤残级别</w:t>
            </w:r>
          </w:p>
        </w:tc>
        <w:tc>
          <w:tcPr>
            <w:tcW w:w="2629" w:type="dxa"/>
            <w:tcBorders>
              <w:top w:val="single" w:color="000000" w:sz="4" w:space="0"/>
              <w:left w:val="nil"/>
              <w:bottom w:val="single" w:color="000000" w:sz="4" w:space="0"/>
              <w:right w:val="single" w:color="000000" w:sz="4" w:space="0"/>
            </w:tcBorders>
            <w:shd w:val="clear" w:color="auto" w:fill="F3F3F3"/>
            <w:noWrap w:val="0"/>
            <w:vAlign w:val="center"/>
          </w:tcPr>
          <w:p w14:paraId="734B5231">
            <w:pPr>
              <w:widowControl/>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伤残赔偿比例</w:t>
            </w:r>
          </w:p>
        </w:tc>
      </w:tr>
      <w:tr w14:paraId="06171F95">
        <w:tblPrEx>
          <w:tblCellMar>
            <w:top w:w="0" w:type="dxa"/>
            <w:left w:w="108" w:type="dxa"/>
            <w:bottom w:w="0" w:type="dxa"/>
            <w:right w:w="108" w:type="dxa"/>
          </w:tblCellMar>
        </w:tblPrEx>
        <w:trPr>
          <w:trHeight w:val="374" w:hRule="atLeast"/>
          <w:jc w:val="center"/>
        </w:trPr>
        <w:tc>
          <w:tcPr>
            <w:tcW w:w="1551" w:type="dxa"/>
            <w:tcBorders>
              <w:top w:val="single" w:color="000000" w:sz="4" w:space="0"/>
              <w:left w:val="single" w:color="000000" w:sz="4" w:space="0"/>
              <w:bottom w:val="single" w:color="000000" w:sz="4" w:space="0"/>
              <w:right w:val="single" w:color="000000" w:sz="4" w:space="0"/>
            </w:tcBorders>
            <w:noWrap w:val="0"/>
            <w:vAlign w:val="center"/>
          </w:tcPr>
          <w:p w14:paraId="0DDA77BA">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p>
        </w:tc>
        <w:tc>
          <w:tcPr>
            <w:tcW w:w="3060" w:type="dxa"/>
            <w:tcBorders>
              <w:top w:val="single" w:color="000000" w:sz="4" w:space="0"/>
              <w:left w:val="nil"/>
              <w:bottom w:val="single" w:color="000000" w:sz="4" w:space="0"/>
              <w:right w:val="single" w:color="000000" w:sz="4" w:space="0"/>
            </w:tcBorders>
            <w:noWrap w:val="0"/>
            <w:vAlign w:val="center"/>
          </w:tcPr>
          <w:p w14:paraId="70CF85C7">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Ⅰ级伤残</w:t>
            </w:r>
          </w:p>
        </w:tc>
        <w:tc>
          <w:tcPr>
            <w:tcW w:w="2629" w:type="dxa"/>
            <w:tcBorders>
              <w:top w:val="single" w:color="000000" w:sz="4" w:space="0"/>
              <w:left w:val="nil"/>
              <w:bottom w:val="single" w:color="000000" w:sz="4" w:space="0"/>
              <w:right w:val="single" w:color="000000" w:sz="4" w:space="0"/>
            </w:tcBorders>
            <w:noWrap w:val="0"/>
            <w:vAlign w:val="center"/>
          </w:tcPr>
          <w:p w14:paraId="20E4CE53">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r>
      <w:tr w14:paraId="69FF5F03">
        <w:tblPrEx>
          <w:tblCellMar>
            <w:top w:w="0" w:type="dxa"/>
            <w:left w:w="108" w:type="dxa"/>
            <w:bottom w:w="0" w:type="dxa"/>
            <w:right w:w="108" w:type="dxa"/>
          </w:tblCellMar>
        </w:tblPrEx>
        <w:trPr>
          <w:trHeight w:val="374" w:hRule="atLeast"/>
          <w:jc w:val="center"/>
        </w:trPr>
        <w:tc>
          <w:tcPr>
            <w:tcW w:w="1551" w:type="dxa"/>
            <w:tcBorders>
              <w:top w:val="single" w:color="000000" w:sz="4" w:space="0"/>
              <w:left w:val="single" w:color="000000" w:sz="4" w:space="0"/>
              <w:bottom w:val="single" w:color="000000" w:sz="4" w:space="0"/>
              <w:right w:val="single" w:color="000000" w:sz="4" w:space="0"/>
            </w:tcBorders>
            <w:noWrap w:val="0"/>
            <w:vAlign w:val="center"/>
          </w:tcPr>
          <w:p w14:paraId="3FE2C012">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p>
        </w:tc>
        <w:tc>
          <w:tcPr>
            <w:tcW w:w="3060" w:type="dxa"/>
            <w:tcBorders>
              <w:top w:val="single" w:color="000000" w:sz="4" w:space="0"/>
              <w:left w:val="nil"/>
              <w:bottom w:val="single" w:color="000000" w:sz="4" w:space="0"/>
              <w:right w:val="single" w:color="000000" w:sz="4" w:space="0"/>
            </w:tcBorders>
            <w:noWrap w:val="0"/>
            <w:vAlign w:val="center"/>
          </w:tcPr>
          <w:p w14:paraId="6FB38F37">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Ⅱ级伤残</w:t>
            </w:r>
          </w:p>
        </w:tc>
        <w:tc>
          <w:tcPr>
            <w:tcW w:w="2629" w:type="dxa"/>
            <w:tcBorders>
              <w:top w:val="single" w:color="000000" w:sz="4" w:space="0"/>
              <w:left w:val="nil"/>
              <w:bottom w:val="single" w:color="000000" w:sz="4" w:space="0"/>
              <w:right w:val="single" w:color="000000" w:sz="4" w:space="0"/>
            </w:tcBorders>
            <w:noWrap w:val="0"/>
            <w:vAlign w:val="center"/>
          </w:tcPr>
          <w:p w14:paraId="7844FA2D">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90％</w:t>
            </w:r>
          </w:p>
        </w:tc>
      </w:tr>
      <w:tr w14:paraId="754307C7">
        <w:tblPrEx>
          <w:tblCellMar>
            <w:top w:w="0" w:type="dxa"/>
            <w:left w:w="108" w:type="dxa"/>
            <w:bottom w:w="0" w:type="dxa"/>
            <w:right w:w="108" w:type="dxa"/>
          </w:tblCellMar>
        </w:tblPrEx>
        <w:trPr>
          <w:trHeight w:val="374" w:hRule="atLeast"/>
          <w:jc w:val="center"/>
        </w:trPr>
        <w:tc>
          <w:tcPr>
            <w:tcW w:w="1551" w:type="dxa"/>
            <w:tcBorders>
              <w:top w:val="single" w:color="000000" w:sz="4" w:space="0"/>
              <w:left w:val="single" w:color="000000" w:sz="4" w:space="0"/>
              <w:bottom w:val="single" w:color="000000" w:sz="4" w:space="0"/>
              <w:right w:val="single" w:color="000000" w:sz="4" w:space="0"/>
            </w:tcBorders>
            <w:noWrap w:val="0"/>
            <w:vAlign w:val="center"/>
          </w:tcPr>
          <w:p w14:paraId="5B64FAD5">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p>
        </w:tc>
        <w:tc>
          <w:tcPr>
            <w:tcW w:w="3060" w:type="dxa"/>
            <w:tcBorders>
              <w:top w:val="single" w:color="000000" w:sz="4" w:space="0"/>
              <w:left w:val="nil"/>
              <w:bottom w:val="single" w:color="000000" w:sz="4" w:space="0"/>
              <w:right w:val="single" w:color="000000" w:sz="4" w:space="0"/>
            </w:tcBorders>
            <w:noWrap w:val="0"/>
            <w:vAlign w:val="center"/>
          </w:tcPr>
          <w:p w14:paraId="6478FA31">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Ⅲ级伤残</w:t>
            </w:r>
          </w:p>
        </w:tc>
        <w:tc>
          <w:tcPr>
            <w:tcW w:w="2629" w:type="dxa"/>
            <w:tcBorders>
              <w:top w:val="single" w:color="000000" w:sz="4" w:space="0"/>
              <w:left w:val="nil"/>
              <w:bottom w:val="single" w:color="000000" w:sz="4" w:space="0"/>
              <w:right w:val="single" w:color="000000" w:sz="4" w:space="0"/>
            </w:tcBorders>
            <w:noWrap w:val="0"/>
            <w:vAlign w:val="center"/>
          </w:tcPr>
          <w:p w14:paraId="1B63859C">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80％</w:t>
            </w:r>
          </w:p>
        </w:tc>
      </w:tr>
      <w:tr w14:paraId="6E114415">
        <w:tblPrEx>
          <w:tblCellMar>
            <w:top w:w="0" w:type="dxa"/>
            <w:left w:w="108" w:type="dxa"/>
            <w:bottom w:w="0" w:type="dxa"/>
            <w:right w:w="108" w:type="dxa"/>
          </w:tblCellMar>
        </w:tblPrEx>
        <w:trPr>
          <w:trHeight w:val="374" w:hRule="atLeast"/>
          <w:jc w:val="center"/>
        </w:trPr>
        <w:tc>
          <w:tcPr>
            <w:tcW w:w="1551" w:type="dxa"/>
            <w:tcBorders>
              <w:top w:val="single" w:color="000000" w:sz="4" w:space="0"/>
              <w:left w:val="single" w:color="000000" w:sz="4" w:space="0"/>
              <w:bottom w:val="single" w:color="000000" w:sz="4" w:space="0"/>
              <w:right w:val="single" w:color="000000" w:sz="4" w:space="0"/>
            </w:tcBorders>
            <w:noWrap w:val="0"/>
            <w:vAlign w:val="center"/>
          </w:tcPr>
          <w:p w14:paraId="0A4507AB">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w:t>
            </w:r>
          </w:p>
        </w:tc>
        <w:tc>
          <w:tcPr>
            <w:tcW w:w="3060" w:type="dxa"/>
            <w:tcBorders>
              <w:top w:val="single" w:color="000000" w:sz="4" w:space="0"/>
              <w:left w:val="nil"/>
              <w:bottom w:val="single" w:color="000000" w:sz="4" w:space="0"/>
              <w:right w:val="single" w:color="000000" w:sz="4" w:space="0"/>
            </w:tcBorders>
            <w:noWrap w:val="0"/>
            <w:vAlign w:val="center"/>
          </w:tcPr>
          <w:p w14:paraId="444FE978">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Ⅳ级伤残</w:t>
            </w:r>
          </w:p>
        </w:tc>
        <w:tc>
          <w:tcPr>
            <w:tcW w:w="2629" w:type="dxa"/>
            <w:tcBorders>
              <w:top w:val="single" w:color="000000" w:sz="4" w:space="0"/>
              <w:left w:val="nil"/>
              <w:bottom w:val="single" w:color="000000" w:sz="4" w:space="0"/>
              <w:right w:val="single" w:color="000000" w:sz="4" w:space="0"/>
            </w:tcBorders>
            <w:noWrap w:val="0"/>
            <w:vAlign w:val="center"/>
          </w:tcPr>
          <w:p w14:paraId="42059ABA">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70％</w:t>
            </w:r>
          </w:p>
        </w:tc>
      </w:tr>
      <w:tr w14:paraId="2053990F">
        <w:tblPrEx>
          <w:tblCellMar>
            <w:top w:w="0" w:type="dxa"/>
            <w:left w:w="108" w:type="dxa"/>
            <w:bottom w:w="0" w:type="dxa"/>
            <w:right w:w="108" w:type="dxa"/>
          </w:tblCellMar>
        </w:tblPrEx>
        <w:trPr>
          <w:trHeight w:val="374" w:hRule="atLeast"/>
          <w:jc w:val="center"/>
        </w:trPr>
        <w:tc>
          <w:tcPr>
            <w:tcW w:w="1551" w:type="dxa"/>
            <w:tcBorders>
              <w:top w:val="single" w:color="000000" w:sz="4" w:space="0"/>
              <w:left w:val="single" w:color="000000" w:sz="4" w:space="0"/>
              <w:bottom w:val="single" w:color="000000" w:sz="4" w:space="0"/>
              <w:right w:val="single" w:color="000000" w:sz="4" w:space="0"/>
            </w:tcBorders>
            <w:noWrap w:val="0"/>
            <w:vAlign w:val="center"/>
          </w:tcPr>
          <w:p w14:paraId="37635DC6">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w:t>
            </w:r>
          </w:p>
        </w:tc>
        <w:tc>
          <w:tcPr>
            <w:tcW w:w="3060" w:type="dxa"/>
            <w:tcBorders>
              <w:top w:val="single" w:color="000000" w:sz="4" w:space="0"/>
              <w:left w:val="nil"/>
              <w:bottom w:val="single" w:color="000000" w:sz="4" w:space="0"/>
              <w:right w:val="single" w:color="000000" w:sz="4" w:space="0"/>
            </w:tcBorders>
            <w:noWrap w:val="0"/>
            <w:vAlign w:val="center"/>
          </w:tcPr>
          <w:p w14:paraId="006C0536">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Ⅴ级伤残</w:t>
            </w:r>
          </w:p>
        </w:tc>
        <w:tc>
          <w:tcPr>
            <w:tcW w:w="2629" w:type="dxa"/>
            <w:tcBorders>
              <w:top w:val="single" w:color="000000" w:sz="4" w:space="0"/>
              <w:left w:val="nil"/>
              <w:bottom w:val="single" w:color="000000" w:sz="4" w:space="0"/>
              <w:right w:val="single" w:color="000000" w:sz="4" w:space="0"/>
            </w:tcBorders>
            <w:noWrap w:val="0"/>
            <w:vAlign w:val="center"/>
          </w:tcPr>
          <w:p w14:paraId="6A8DCDF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60％</w:t>
            </w:r>
          </w:p>
        </w:tc>
      </w:tr>
      <w:tr w14:paraId="79376C35">
        <w:tblPrEx>
          <w:tblCellMar>
            <w:top w:w="0" w:type="dxa"/>
            <w:left w:w="108" w:type="dxa"/>
            <w:bottom w:w="0" w:type="dxa"/>
            <w:right w:w="108" w:type="dxa"/>
          </w:tblCellMar>
        </w:tblPrEx>
        <w:trPr>
          <w:trHeight w:val="374" w:hRule="atLeast"/>
          <w:jc w:val="center"/>
        </w:trPr>
        <w:tc>
          <w:tcPr>
            <w:tcW w:w="1551" w:type="dxa"/>
            <w:tcBorders>
              <w:top w:val="single" w:color="000000" w:sz="4" w:space="0"/>
              <w:left w:val="single" w:color="000000" w:sz="4" w:space="0"/>
              <w:bottom w:val="single" w:color="000000" w:sz="4" w:space="0"/>
              <w:right w:val="single" w:color="000000" w:sz="4" w:space="0"/>
            </w:tcBorders>
            <w:noWrap w:val="0"/>
            <w:vAlign w:val="center"/>
          </w:tcPr>
          <w:p w14:paraId="2DC90FB0">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w:t>
            </w:r>
          </w:p>
        </w:tc>
        <w:tc>
          <w:tcPr>
            <w:tcW w:w="3060" w:type="dxa"/>
            <w:tcBorders>
              <w:top w:val="single" w:color="000000" w:sz="4" w:space="0"/>
              <w:left w:val="nil"/>
              <w:bottom w:val="single" w:color="000000" w:sz="4" w:space="0"/>
              <w:right w:val="single" w:color="000000" w:sz="4" w:space="0"/>
            </w:tcBorders>
            <w:noWrap w:val="0"/>
            <w:vAlign w:val="center"/>
          </w:tcPr>
          <w:p w14:paraId="3077E6DD">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Ⅵ级伤残</w:t>
            </w:r>
          </w:p>
        </w:tc>
        <w:tc>
          <w:tcPr>
            <w:tcW w:w="2629" w:type="dxa"/>
            <w:tcBorders>
              <w:top w:val="single" w:color="000000" w:sz="4" w:space="0"/>
              <w:left w:val="nil"/>
              <w:bottom w:val="single" w:color="000000" w:sz="4" w:space="0"/>
              <w:right w:val="single" w:color="000000" w:sz="4" w:space="0"/>
            </w:tcBorders>
            <w:noWrap w:val="0"/>
            <w:vAlign w:val="center"/>
          </w:tcPr>
          <w:p w14:paraId="2A21BAAD">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w:t>
            </w:r>
          </w:p>
        </w:tc>
      </w:tr>
      <w:tr w14:paraId="5566A63B">
        <w:tblPrEx>
          <w:tblCellMar>
            <w:top w:w="0" w:type="dxa"/>
            <w:left w:w="108" w:type="dxa"/>
            <w:bottom w:w="0" w:type="dxa"/>
            <w:right w:w="108" w:type="dxa"/>
          </w:tblCellMar>
        </w:tblPrEx>
        <w:trPr>
          <w:trHeight w:val="374" w:hRule="atLeast"/>
          <w:jc w:val="center"/>
        </w:trPr>
        <w:tc>
          <w:tcPr>
            <w:tcW w:w="1551" w:type="dxa"/>
            <w:tcBorders>
              <w:top w:val="single" w:color="000000" w:sz="4" w:space="0"/>
              <w:left w:val="single" w:color="000000" w:sz="4" w:space="0"/>
              <w:bottom w:val="single" w:color="000000" w:sz="4" w:space="0"/>
              <w:right w:val="single" w:color="000000" w:sz="4" w:space="0"/>
            </w:tcBorders>
            <w:noWrap w:val="0"/>
            <w:vAlign w:val="center"/>
          </w:tcPr>
          <w:p w14:paraId="086D767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w:t>
            </w:r>
          </w:p>
        </w:tc>
        <w:tc>
          <w:tcPr>
            <w:tcW w:w="3060" w:type="dxa"/>
            <w:tcBorders>
              <w:top w:val="single" w:color="000000" w:sz="4" w:space="0"/>
              <w:left w:val="nil"/>
              <w:bottom w:val="single" w:color="000000" w:sz="4" w:space="0"/>
              <w:right w:val="single" w:color="000000" w:sz="4" w:space="0"/>
            </w:tcBorders>
            <w:noWrap w:val="0"/>
            <w:vAlign w:val="center"/>
          </w:tcPr>
          <w:p w14:paraId="3AA770D4">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Ⅶ级伤残</w:t>
            </w:r>
          </w:p>
        </w:tc>
        <w:tc>
          <w:tcPr>
            <w:tcW w:w="2629" w:type="dxa"/>
            <w:tcBorders>
              <w:top w:val="single" w:color="000000" w:sz="4" w:space="0"/>
              <w:left w:val="nil"/>
              <w:bottom w:val="single" w:color="000000" w:sz="4" w:space="0"/>
              <w:right w:val="single" w:color="000000" w:sz="4" w:space="0"/>
            </w:tcBorders>
            <w:noWrap w:val="0"/>
            <w:vAlign w:val="center"/>
          </w:tcPr>
          <w:p w14:paraId="14DA4C6B">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w:t>
            </w:r>
          </w:p>
        </w:tc>
      </w:tr>
      <w:tr w14:paraId="103EA7F6">
        <w:tblPrEx>
          <w:tblCellMar>
            <w:top w:w="0" w:type="dxa"/>
            <w:left w:w="108" w:type="dxa"/>
            <w:bottom w:w="0" w:type="dxa"/>
            <w:right w:w="108" w:type="dxa"/>
          </w:tblCellMar>
        </w:tblPrEx>
        <w:trPr>
          <w:trHeight w:val="374" w:hRule="atLeast"/>
          <w:jc w:val="center"/>
        </w:trPr>
        <w:tc>
          <w:tcPr>
            <w:tcW w:w="1551" w:type="dxa"/>
            <w:tcBorders>
              <w:top w:val="single" w:color="000000" w:sz="4" w:space="0"/>
              <w:left w:val="single" w:color="000000" w:sz="4" w:space="0"/>
              <w:bottom w:val="single" w:color="000000" w:sz="4" w:space="0"/>
              <w:right w:val="single" w:color="000000" w:sz="4" w:space="0"/>
            </w:tcBorders>
            <w:noWrap w:val="0"/>
            <w:vAlign w:val="center"/>
          </w:tcPr>
          <w:p w14:paraId="7896A6E7">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w:t>
            </w:r>
          </w:p>
        </w:tc>
        <w:tc>
          <w:tcPr>
            <w:tcW w:w="3060" w:type="dxa"/>
            <w:tcBorders>
              <w:top w:val="single" w:color="000000" w:sz="4" w:space="0"/>
              <w:left w:val="nil"/>
              <w:bottom w:val="single" w:color="000000" w:sz="4" w:space="0"/>
              <w:right w:val="single" w:color="000000" w:sz="4" w:space="0"/>
            </w:tcBorders>
            <w:noWrap w:val="0"/>
            <w:vAlign w:val="center"/>
          </w:tcPr>
          <w:p w14:paraId="49E37511">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Ⅷ级伤残</w:t>
            </w:r>
          </w:p>
        </w:tc>
        <w:tc>
          <w:tcPr>
            <w:tcW w:w="2629" w:type="dxa"/>
            <w:tcBorders>
              <w:top w:val="single" w:color="000000" w:sz="4" w:space="0"/>
              <w:left w:val="nil"/>
              <w:bottom w:val="single" w:color="000000" w:sz="4" w:space="0"/>
              <w:right w:val="single" w:color="000000" w:sz="4" w:space="0"/>
            </w:tcBorders>
            <w:noWrap w:val="0"/>
            <w:vAlign w:val="center"/>
          </w:tcPr>
          <w:p w14:paraId="196B0AB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r>
      <w:tr w14:paraId="53118EAB">
        <w:tblPrEx>
          <w:tblCellMar>
            <w:top w:w="0" w:type="dxa"/>
            <w:left w:w="108" w:type="dxa"/>
            <w:bottom w:w="0" w:type="dxa"/>
            <w:right w:w="108" w:type="dxa"/>
          </w:tblCellMar>
        </w:tblPrEx>
        <w:trPr>
          <w:trHeight w:val="374" w:hRule="atLeast"/>
          <w:jc w:val="center"/>
        </w:trPr>
        <w:tc>
          <w:tcPr>
            <w:tcW w:w="1551" w:type="dxa"/>
            <w:tcBorders>
              <w:top w:val="single" w:color="000000" w:sz="4" w:space="0"/>
              <w:left w:val="single" w:color="000000" w:sz="4" w:space="0"/>
              <w:bottom w:val="single" w:color="000000" w:sz="4" w:space="0"/>
              <w:right w:val="single" w:color="000000" w:sz="4" w:space="0"/>
            </w:tcBorders>
            <w:noWrap w:val="0"/>
            <w:vAlign w:val="center"/>
          </w:tcPr>
          <w:p w14:paraId="6F157C52">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w:t>
            </w:r>
          </w:p>
        </w:tc>
        <w:tc>
          <w:tcPr>
            <w:tcW w:w="3060" w:type="dxa"/>
            <w:tcBorders>
              <w:top w:val="single" w:color="000000" w:sz="4" w:space="0"/>
              <w:left w:val="nil"/>
              <w:bottom w:val="single" w:color="000000" w:sz="4" w:space="0"/>
              <w:right w:val="single" w:color="000000" w:sz="4" w:space="0"/>
            </w:tcBorders>
            <w:noWrap w:val="0"/>
            <w:vAlign w:val="center"/>
          </w:tcPr>
          <w:p w14:paraId="7E0E7C58">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Ⅸ级伤残</w:t>
            </w:r>
          </w:p>
        </w:tc>
        <w:tc>
          <w:tcPr>
            <w:tcW w:w="2629" w:type="dxa"/>
            <w:tcBorders>
              <w:top w:val="single" w:color="000000" w:sz="4" w:space="0"/>
              <w:left w:val="nil"/>
              <w:bottom w:val="single" w:color="000000" w:sz="4" w:space="0"/>
              <w:right w:val="single" w:color="000000" w:sz="4" w:space="0"/>
            </w:tcBorders>
            <w:noWrap w:val="0"/>
            <w:vAlign w:val="center"/>
          </w:tcPr>
          <w:p w14:paraId="2F5DD290">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r>
      <w:tr w14:paraId="4C2B4819">
        <w:tblPrEx>
          <w:tblCellMar>
            <w:top w:w="0" w:type="dxa"/>
            <w:left w:w="108" w:type="dxa"/>
            <w:bottom w:w="0" w:type="dxa"/>
            <w:right w:w="108" w:type="dxa"/>
          </w:tblCellMar>
        </w:tblPrEx>
        <w:trPr>
          <w:trHeight w:val="381" w:hRule="atLeast"/>
          <w:jc w:val="center"/>
        </w:trPr>
        <w:tc>
          <w:tcPr>
            <w:tcW w:w="1551" w:type="dxa"/>
            <w:tcBorders>
              <w:top w:val="single" w:color="000000" w:sz="4" w:space="0"/>
              <w:left w:val="single" w:color="000000" w:sz="4" w:space="0"/>
              <w:bottom w:val="single" w:color="000000" w:sz="4" w:space="0"/>
              <w:right w:val="single" w:color="000000" w:sz="4" w:space="0"/>
            </w:tcBorders>
            <w:noWrap w:val="0"/>
            <w:vAlign w:val="center"/>
          </w:tcPr>
          <w:p w14:paraId="34AF147C">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p>
        </w:tc>
        <w:tc>
          <w:tcPr>
            <w:tcW w:w="3060" w:type="dxa"/>
            <w:tcBorders>
              <w:top w:val="single" w:color="000000" w:sz="4" w:space="0"/>
              <w:left w:val="nil"/>
              <w:bottom w:val="single" w:color="000000" w:sz="4" w:space="0"/>
              <w:right w:val="single" w:color="000000" w:sz="4" w:space="0"/>
            </w:tcBorders>
            <w:noWrap w:val="0"/>
            <w:vAlign w:val="center"/>
          </w:tcPr>
          <w:p w14:paraId="5B8288BB">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Ⅹ级伤残</w:t>
            </w:r>
          </w:p>
        </w:tc>
        <w:tc>
          <w:tcPr>
            <w:tcW w:w="2629" w:type="dxa"/>
            <w:tcBorders>
              <w:top w:val="single" w:color="000000" w:sz="4" w:space="0"/>
              <w:left w:val="nil"/>
              <w:bottom w:val="single" w:color="000000" w:sz="4" w:space="0"/>
              <w:right w:val="single" w:color="000000" w:sz="4" w:space="0"/>
            </w:tcBorders>
            <w:noWrap w:val="0"/>
            <w:vAlign w:val="center"/>
          </w:tcPr>
          <w:p w14:paraId="3FC6D0BD">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r>
    </w:tbl>
    <w:p w14:paraId="0266F415">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医疗费用的赔偿，如果受害人的损失能够从重复保险以外的其他途径获得全额或部分医疗费用及其他相关费用赔偿的，则本保险按照学生的全部损失金额乘以被保险人承担的责任比例进行赔偿，不扣减其他途径已赔付金额。但学生从本保险合同及其他途径获得的医疗费用及其他相关费用赔偿总和不得超过其医疗费用及其他相关费用损失金额。</w:t>
      </w:r>
    </w:p>
    <w:p w14:paraId="0A665CA7">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险人对每次事故每名学生医疗费用赔偿金额在每次事故每人医疗费用责任限额内赔偿。保险人对每次事故每名学生精神损害抚慰金在每次事故每人精神损害抚慰金责任限额内赔偿。保险人对每次事故每名学生的赔偿金额总和不超过每次事故每人责任限额，且在每次事故责任限额以内计算赔偿。保险人对每次事故各项损失的赔偿金额之和不超过每次事故责任限额。保险人对多次事故各项损失的赔偿金额之和不超过累计责任限额。</w:t>
      </w:r>
    </w:p>
    <w:p w14:paraId="60AD14AA">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生保险事故后，保险人所承担的本保险合同第五条项下的每名学生施救费用按被保险人应当承担的责任比例在保险标的损失赔偿金额以外另行计算，最高不超过每次事故每人施救费用责任限额。被保险人可以从本保险合同第二十九条项下列明的赔偿项目中获得的赔偿金额不属于施救费用的赔偿范围。</w:t>
      </w:r>
    </w:p>
    <w:p w14:paraId="7CC23227">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生保险事故后，保险人所承担的法律费用在保险合同列明的每次事故法律费用责任限额内根据实际发生的费用金额进行赔偿。保险人对多次事故法律费用的赔偿金额之和不超过累计法律费用责任限额。每次事故法律费用责任限额及累计法律费用责任限额均在累计责任限额以外计算。</w:t>
      </w:r>
    </w:p>
    <w:p w14:paraId="2FD23D43">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发生保险事故时，如存在重复保险，则本保险人按照本保险合同的责任限额与所有有关保险合同项下的责任限额总和的比例承担赔偿责任。</w:t>
      </w:r>
    </w:p>
    <w:p w14:paraId="4EA19FDD">
      <w:pPr>
        <w:widowControl/>
        <w:numPr>
          <w:ilvl w:val="0"/>
          <w:numId w:val="4"/>
        </w:num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生保险责任范围内的损失，应由有关责任方负责赔偿的，保险人自向被保险人赔偿保险金之日起，在赔偿金额范围内代位行使被保险人对有关责任方请求赔偿的权利，被保险人应当向保险人提供必要的文件和所知道的有关情况。</w:t>
      </w:r>
    </w:p>
    <w:p w14:paraId="57FD9DB6">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被保险人已经从有关责任方取得赔偿的，保险人赔偿保险金时，可以相应扣减被保险人已从有关责任方取得的赔偿金额。</w:t>
      </w:r>
    </w:p>
    <w:p w14:paraId="4386F781">
      <w:pPr>
        <w:widowControl/>
        <w:numPr>
          <w:ilvl w:val="0"/>
          <w:numId w:val="4"/>
        </w:numPr>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被保险人向保险人请求赔偿保险金的诉讼时效期间为二年，自其知道或者应当知道保险事故发生之日起计算。</w:t>
      </w:r>
    </w:p>
    <w:p w14:paraId="2936325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争议处理</w:t>
      </w:r>
    </w:p>
    <w:p w14:paraId="43F7B406">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因履行本保险合同发生的争议，由当事人协商解决。当事人协商不成的，提交保险单载明的仲裁机构仲裁；保险单未载明仲裁机构或争议发生后未达成仲裁协议的，依法向中华人民共和国人民法院起诉。</w:t>
      </w:r>
    </w:p>
    <w:p w14:paraId="03C29971">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本保险合同的争议处理适用中华人民共和国法律。</w:t>
      </w:r>
    </w:p>
    <w:p w14:paraId="526F7755">
      <w:pPr>
        <w:widowControl/>
        <w:spacing w:line="36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其他</w:t>
      </w:r>
      <w:r>
        <w:rPr>
          <w:rFonts w:hint="eastAsia" w:ascii="宋体" w:hAnsi="宋体" w:eastAsia="宋体" w:cs="宋体"/>
          <w:b/>
          <w:bCs w:val="0"/>
          <w:color w:val="auto"/>
          <w:kern w:val="0"/>
          <w:sz w:val="24"/>
          <w:szCs w:val="24"/>
          <w:highlight w:val="none"/>
        </w:rPr>
        <w:t>事项</w:t>
      </w:r>
    </w:p>
    <w:p w14:paraId="0284F205">
      <w:pPr>
        <w:widowControl/>
        <w:numPr>
          <w:ilvl w:val="0"/>
          <w:numId w:val="4"/>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除本保险合同约定外，本保险合同成立后，保险人不得解除本保险合同。</w:t>
      </w:r>
    </w:p>
    <w:p w14:paraId="2A80329B">
      <w:pPr>
        <w:widowControl/>
        <w:numPr>
          <w:ilvl w:val="0"/>
          <w:numId w:val="4"/>
        </w:numPr>
        <w:spacing w:line="360" w:lineRule="auto"/>
        <w:ind w:firstLine="480" w:firstLineChars="200"/>
        <w:rPr>
          <w:rFonts w:hint="eastAsia" w:ascii="宋体" w:hAnsi="宋体" w:eastAsia="宋体" w:cs="宋体"/>
          <w:bCs w:val="0"/>
          <w:color w:val="auto"/>
          <w:sz w:val="24"/>
          <w:szCs w:val="24"/>
          <w:highlight w:val="none"/>
        </w:rPr>
      </w:pPr>
      <w:r>
        <w:rPr>
          <w:rFonts w:hint="eastAsia" w:ascii="宋体" w:hAnsi="宋体" w:eastAsia="宋体" w:cs="宋体"/>
          <w:color w:val="auto"/>
          <w:sz w:val="24"/>
          <w:szCs w:val="24"/>
          <w:highlight w:val="none"/>
        </w:rPr>
        <w:t>保险责任开始前，投保人或保险人要求解除保险合同的，保险人应当退还全部保险费。保险责任开始后，投保人要求解除保险合同的，自通知保险人之日起，保险合同解除，保险人应向投保人退还未满期保险费。</w:t>
      </w:r>
    </w:p>
    <w:p w14:paraId="204AB3B9">
      <w:pPr>
        <w:tabs>
          <w:tab w:val="left" w:pos="993"/>
        </w:tabs>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定义</w:t>
      </w:r>
    </w:p>
    <w:p w14:paraId="0363BDA2">
      <w:pPr>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学生：</w:t>
      </w:r>
      <w:r>
        <w:rPr>
          <w:rFonts w:hint="eastAsia" w:ascii="宋体" w:hAnsi="宋体" w:eastAsia="宋体" w:cs="宋体"/>
          <w:color w:val="auto"/>
          <w:sz w:val="24"/>
          <w:szCs w:val="24"/>
          <w:highlight w:val="none"/>
        </w:rPr>
        <w:t>指在本保险合同中载明的，在被保险人处注册就读的受教育者。</w:t>
      </w:r>
    </w:p>
    <w:p w14:paraId="675E3B35">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中华人民共和国法律：</w:t>
      </w:r>
      <w:r>
        <w:rPr>
          <w:rFonts w:hint="eastAsia" w:ascii="宋体" w:hAnsi="宋体" w:eastAsia="宋体" w:cs="宋体"/>
          <w:color w:val="auto"/>
          <w:sz w:val="24"/>
          <w:szCs w:val="24"/>
          <w:highlight w:val="none"/>
        </w:rPr>
        <w:t>指法律、行政法规、地方性法规、自治条例和单行条例、司法解释等，但不包括港、澳、台地区法律。</w:t>
      </w:r>
    </w:p>
    <w:p w14:paraId="3F6808E1">
      <w:pPr>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研学旅行：</w:t>
      </w:r>
      <w:r>
        <w:rPr>
          <w:rFonts w:hint="eastAsia" w:ascii="宋体" w:hAnsi="宋体" w:eastAsia="宋体" w:cs="宋体"/>
          <w:color w:val="auto"/>
          <w:sz w:val="24"/>
          <w:szCs w:val="24"/>
          <w:highlight w:val="none"/>
        </w:rPr>
        <w:t>指学校有计划地组织安排，通过集体旅行、集中食宿方式开展的研究学习和旅行体验相结合的校外教育活动。</w:t>
      </w:r>
    </w:p>
    <w:p w14:paraId="343949EB">
      <w:pPr>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自然灾害：</w:t>
      </w:r>
      <w:r>
        <w:rPr>
          <w:rFonts w:hint="eastAsia" w:ascii="宋体" w:hAnsi="宋体" w:eastAsia="宋体" w:cs="宋体"/>
          <w:color w:val="auto"/>
          <w:sz w:val="24"/>
          <w:szCs w:val="24"/>
          <w:highlight w:val="none"/>
        </w:rPr>
        <w:t>指雷击、暴雨、地震、洪水、暴风、龙卷风、冰雹、台风、飓风、沙尘暴、暴雪、冰凌、突发性滑坡、崩塌、泥石流、地面突然下陷下沉及其他人力不可抗拒的破坏力强大的自然现象。</w:t>
      </w:r>
    </w:p>
    <w:p w14:paraId="7B49292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其中，暴风：根据气象部门制定的风力级表规定，暴风是指风速在28.3米/秒以上，即相当于风力等级表中的11级以上的风力。</w:t>
      </w:r>
    </w:p>
    <w:p w14:paraId="7B3422E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暴雨：是指每小时降雨量达到16毫米以上，或连续12小时降雨量达到30毫米以上，或连续24小时降雨量达到50毫米以上。</w:t>
      </w:r>
    </w:p>
    <w:p w14:paraId="7722BD46">
      <w:pPr>
        <w:spacing w:line="360" w:lineRule="auto"/>
        <w:ind w:firstLine="482" w:firstLineChars="200"/>
        <w:rPr>
          <w:rFonts w:hint="eastAsia" w:ascii="宋体" w:hAnsi="宋体" w:eastAsia="宋体" w:cs="宋体"/>
          <w:bCs w:val="0"/>
          <w:color w:val="auto"/>
          <w:sz w:val="24"/>
          <w:szCs w:val="24"/>
          <w:highlight w:val="none"/>
        </w:rPr>
      </w:pPr>
      <w:r>
        <w:rPr>
          <w:rFonts w:hint="eastAsia" w:ascii="宋体" w:hAnsi="宋体" w:eastAsia="宋体" w:cs="宋体"/>
          <w:b/>
          <w:color w:val="auto"/>
          <w:sz w:val="24"/>
          <w:szCs w:val="24"/>
          <w:highlight w:val="none"/>
        </w:rPr>
        <w:t>特异体质：</w:t>
      </w:r>
      <w:r>
        <w:rPr>
          <w:rFonts w:hint="eastAsia" w:ascii="宋体" w:hAnsi="宋体" w:eastAsia="宋体" w:cs="宋体"/>
          <w:bCs w:val="0"/>
          <w:color w:val="auto"/>
          <w:sz w:val="24"/>
          <w:szCs w:val="24"/>
          <w:highlight w:val="none"/>
        </w:rPr>
        <w:t>指体质状况不同于常人，例如对药物、食物、油漆、花粉过敏等。通常分为：过敏体质,指有的人对药物反应高于一般人,其中一部分是由遗传因素所致,称为特异体质；另一部分则是由免疫系统参与而形成的差异,称为变态反应。</w:t>
      </w:r>
    </w:p>
    <w:p w14:paraId="2A5B5DBF">
      <w:pPr>
        <w:spacing w:line="360" w:lineRule="auto"/>
        <w:ind w:firstLine="482" w:firstLineChars="200"/>
        <w:rPr>
          <w:rFonts w:hint="eastAsia" w:ascii="宋体" w:hAnsi="宋体" w:eastAsia="宋体" w:cs="宋体"/>
          <w:bCs w:val="0"/>
          <w:color w:val="auto"/>
          <w:sz w:val="24"/>
          <w:szCs w:val="24"/>
          <w:highlight w:val="none"/>
        </w:rPr>
      </w:pPr>
      <w:r>
        <w:rPr>
          <w:rFonts w:hint="eastAsia" w:ascii="宋体" w:hAnsi="宋体" w:eastAsia="宋体" w:cs="宋体"/>
          <w:b/>
          <w:color w:val="auto"/>
          <w:sz w:val="24"/>
          <w:szCs w:val="24"/>
          <w:highlight w:val="none"/>
        </w:rPr>
        <w:t>特定疾病：</w:t>
      </w:r>
      <w:r>
        <w:rPr>
          <w:rFonts w:hint="eastAsia" w:ascii="宋体" w:hAnsi="宋体" w:eastAsia="宋体" w:cs="宋体"/>
          <w:bCs w:val="0"/>
          <w:color w:val="auto"/>
          <w:sz w:val="24"/>
          <w:szCs w:val="24"/>
          <w:highlight w:val="none"/>
        </w:rPr>
        <w:t>指非危及生命的恶性病变，包括先天心脏病、脑血管疾病、肺结核、哮喘、肺炎、肾炎、轻微脑中风、精神病、癫痫、血液系统疾病等。</w:t>
      </w:r>
    </w:p>
    <w:p w14:paraId="6CAF2EBC">
      <w:pPr>
        <w:spacing w:line="360" w:lineRule="auto"/>
        <w:ind w:firstLine="482" w:firstLineChars="200"/>
        <w:rPr>
          <w:rFonts w:hint="eastAsia" w:ascii="宋体" w:hAnsi="宋体" w:eastAsia="宋体" w:cs="宋体"/>
          <w:bCs w:val="0"/>
          <w:color w:val="auto"/>
          <w:sz w:val="24"/>
          <w:szCs w:val="24"/>
          <w:highlight w:val="none"/>
        </w:rPr>
      </w:pPr>
      <w:r>
        <w:rPr>
          <w:rFonts w:hint="eastAsia" w:ascii="宋体" w:hAnsi="宋体" w:eastAsia="宋体" w:cs="宋体"/>
          <w:b/>
          <w:color w:val="auto"/>
          <w:sz w:val="24"/>
          <w:szCs w:val="24"/>
          <w:highlight w:val="none"/>
        </w:rPr>
        <w:t>异常心理状态：</w:t>
      </w:r>
      <w:r>
        <w:rPr>
          <w:rFonts w:hint="eastAsia" w:ascii="宋体" w:hAnsi="宋体" w:eastAsia="宋体" w:cs="宋体"/>
          <w:bCs w:val="0"/>
          <w:color w:val="auto"/>
          <w:sz w:val="24"/>
          <w:szCs w:val="24"/>
          <w:highlight w:val="none"/>
        </w:rPr>
        <w:t>指在大脑生理生化功能障碍和人与客观现实关系失调的基础上产生的对客观现实的歪曲的反映，如因学习困难、失恋、违纪等问题导致的异常言行。</w:t>
      </w:r>
    </w:p>
    <w:p w14:paraId="048A4A2C">
      <w:pPr>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性侵害：</w:t>
      </w:r>
      <w:r>
        <w:rPr>
          <w:rFonts w:hint="eastAsia" w:ascii="宋体" w:hAnsi="宋体" w:eastAsia="宋体" w:cs="宋体"/>
          <w:color w:val="auto"/>
          <w:sz w:val="24"/>
          <w:szCs w:val="24"/>
          <w:highlight w:val="none"/>
        </w:rPr>
        <w:t>指第三者以权威、暴力、金钱或甜言蜜语，引诱、胁迫、欺骗未成年人与其发生性活动，性活动包括：猥亵、乱伦、强暴、性交易、媒介卖淫等。</w:t>
      </w:r>
    </w:p>
    <w:p w14:paraId="7FCB7EEF">
      <w:pPr>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实习：</w:t>
      </w:r>
      <w:r>
        <w:rPr>
          <w:rFonts w:hint="eastAsia" w:ascii="宋体" w:hAnsi="宋体" w:eastAsia="宋体" w:cs="宋体"/>
          <w:color w:val="auto"/>
          <w:sz w:val="24"/>
          <w:szCs w:val="24"/>
          <w:highlight w:val="none"/>
        </w:rPr>
        <w:t>指被保险人按照专业培养目标要求和教学计划的安排，组织学生到企业等用人单位实训、学习，安排学生实际动手操作、参与企业技术创新和工程开发一种社会实践活动。</w:t>
      </w:r>
    </w:p>
    <w:p w14:paraId="3B22439B">
      <w:pPr>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每次事故：</w:t>
      </w:r>
      <w:r>
        <w:rPr>
          <w:rFonts w:hint="eastAsia" w:ascii="宋体" w:hAnsi="宋体" w:eastAsia="宋体" w:cs="宋体"/>
          <w:color w:val="auto"/>
          <w:sz w:val="24"/>
          <w:szCs w:val="24"/>
          <w:highlight w:val="none"/>
        </w:rPr>
        <w:t>指一次意外事故或者同一突发性事件引起的一系列意外事故。因同一意外事故造成多人人身伤亡或财产损失，导致多人同时或先后向被保险人索赔的，视为一次事故，在本保险合同中简称为每次事故。</w:t>
      </w:r>
    </w:p>
    <w:p w14:paraId="48A3F832">
      <w:pPr>
        <w:widowControl/>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赔偿处理机构：</w:t>
      </w:r>
      <w:r>
        <w:rPr>
          <w:rFonts w:hint="eastAsia" w:ascii="宋体" w:hAnsi="宋体" w:eastAsia="宋体" w:cs="宋体"/>
          <w:color w:val="auto"/>
          <w:sz w:val="24"/>
          <w:szCs w:val="24"/>
          <w:highlight w:val="none"/>
        </w:rPr>
        <w:t>指专门为校（园）方责任保险设立的事故处理和纠纷调解机构。</w:t>
      </w:r>
    </w:p>
    <w:p w14:paraId="7BC2763A">
      <w:pPr>
        <w:widowControl/>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未满期保险费</w:t>
      </w:r>
      <w:r>
        <w:rPr>
          <w:rFonts w:hint="eastAsia" w:ascii="宋体" w:hAnsi="宋体" w:eastAsia="宋体" w:cs="宋体"/>
          <w:color w:val="auto"/>
          <w:sz w:val="24"/>
          <w:szCs w:val="24"/>
          <w:highlight w:val="none"/>
        </w:rPr>
        <w:t>：</w:t>
      </w:r>
    </w:p>
    <w:p w14:paraId="1AE27458">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指保险人应退还的剩余保险期限的保险费，未满期保险费按照以下公式计算：</w:t>
      </w:r>
    </w:p>
    <w:p w14:paraId="440FCF99">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未满期保险费=保险费×（合同解除之日与保险期限截止日期间天数/保险期限天数）×（累计责任限额－累计赔偿金额）/累计责任限额</w:t>
      </w:r>
    </w:p>
    <w:p w14:paraId="788573AB">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累计赔偿金额=已决赔款金额+未决赔款金额</w:t>
      </w:r>
    </w:p>
    <w:p w14:paraId="6087B5DC">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未决赔款是指保险人认可的赔偿处理机构确定的案件估损金额。如投保人对未决赔款金额有异议，则保险人在未决案件赔偿结案后再向投保人退还未满期保险费。</w:t>
      </w:r>
    </w:p>
    <w:p w14:paraId="0CEAF468">
      <w:pPr>
        <w:spacing w:line="360" w:lineRule="auto"/>
        <w:jc w:val="cente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br w:type="page"/>
      </w:r>
      <w:r>
        <w:rPr>
          <w:rFonts w:hint="eastAsia" w:ascii="宋体" w:hAnsi="宋体" w:eastAsia="宋体" w:cs="宋体"/>
          <w:b/>
          <w:bCs/>
          <w:color w:val="auto"/>
          <w:sz w:val="24"/>
          <w:szCs w:val="24"/>
          <w:highlight w:val="none"/>
        </w:rPr>
        <w:t>校（园）方责任保险扩展条款</w:t>
      </w:r>
    </w:p>
    <w:p w14:paraId="21A1E55A">
      <w:pPr>
        <w:spacing w:line="360" w:lineRule="auto"/>
        <w:ind w:firstLine="480" w:firstLineChars="200"/>
        <w:jc w:val="left"/>
        <w:rPr>
          <w:rFonts w:hint="eastAsia" w:ascii="宋体" w:hAnsi="宋体" w:eastAsia="宋体" w:cs="宋体"/>
          <w:bCs w:val="0"/>
          <w:color w:val="auto"/>
          <w:sz w:val="24"/>
          <w:szCs w:val="24"/>
          <w:highlight w:val="none"/>
        </w:rPr>
      </w:pPr>
      <w:r>
        <w:rPr>
          <w:rFonts w:hint="eastAsia" w:ascii="宋体" w:hAnsi="宋体" w:eastAsia="宋体" w:cs="宋体"/>
          <w:bCs/>
          <w:color w:val="auto"/>
          <w:sz w:val="24"/>
          <w:szCs w:val="24"/>
          <w:highlight w:val="none"/>
        </w:rPr>
        <w:t>（注：扩展条款不需要投保人另行缴费，投保人投保基本险即获得下述所有扩展条款保险保障。）</w:t>
      </w:r>
    </w:p>
    <w:p w14:paraId="0BC2203B">
      <w:pPr>
        <w:widowControl/>
        <w:spacing w:before="0" w:beforeLines="0" w:beforeAutospacing="0" w:after="0" w:afterLines="0" w:afterAutospacing="0" w:line="360" w:lineRule="auto"/>
        <w:ind w:firstLine="482" w:firstLineChars="200"/>
        <w:jc w:val="left"/>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一、</w:t>
      </w:r>
      <w:r>
        <w:rPr>
          <w:rFonts w:hint="eastAsia" w:ascii="宋体" w:hAnsi="宋体" w:eastAsia="宋体" w:cs="宋体"/>
          <w:b/>
          <w:bCs/>
          <w:color w:val="auto"/>
          <w:kern w:val="0"/>
          <w:sz w:val="24"/>
          <w:szCs w:val="24"/>
          <w:highlight w:val="none"/>
          <w:lang w:val="en-US" w:eastAsia="zh-CN" w:bidi="ar-SA"/>
        </w:rPr>
        <w:t>扩展</w:t>
      </w:r>
      <w:r>
        <w:rPr>
          <w:rFonts w:hint="eastAsia" w:ascii="宋体" w:hAnsi="宋体" w:eastAsia="宋体" w:cs="宋体"/>
          <w:b/>
          <w:bCs w:val="0"/>
          <w:color w:val="auto"/>
          <w:kern w:val="2"/>
          <w:sz w:val="24"/>
          <w:szCs w:val="24"/>
          <w:highlight w:val="none"/>
          <w:lang w:val="en-US" w:eastAsia="zh-CN" w:bidi="ar-SA"/>
        </w:rPr>
        <w:t>财产损失保险条款</w:t>
      </w:r>
    </w:p>
    <w:p w14:paraId="6F2211B0">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保险责任</w:t>
      </w:r>
    </w:p>
    <w:p w14:paraId="11BEEA66">
      <w:pPr>
        <w:widowControl/>
        <w:spacing w:line="360" w:lineRule="auto"/>
        <w:ind w:firstLine="482" w:firstLineChars="200"/>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第一条 </w:t>
      </w:r>
      <w:r>
        <w:rPr>
          <w:rFonts w:hint="eastAsia" w:ascii="宋体" w:hAnsi="宋体" w:eastAsia="宋体" w:cs="宋体"/>
          <w:bCs/>
          <w:color w:val="auto"/>
          <w:sz w:val="24"/>
          <w:szCs w:val="24"/>
          <w:highlight w:val="none"/>
        </w:rPr>
        <w:t>在保险期间内，在被保险人的在校活动中或由被保险人统一组织或安排的活动过程中发生意外事故导致学生遭受财产损失，依法应由被保险人承担的经济赔偿责任，保险人按照本保险合同的约定负责赔偿。</w:t>
      </w:r>
    </w:p>
    <w:p w14:paraId="7CBF3BA5">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责任免除</w:t>
      </w:r>
    </w:p>
    <w:p w14:paraId="55AE7A89">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第二条 下列损失、费用和责任，保险人不负责赔偿：</w:t>
      </w:r>
    </w:p>
    <w:p w14:paraId="34B5F1C8">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（一）金银、首饰、珠宝、文物、软件、数据、现金、信用卡、票据、单证、有价证券、文件、帐册、技术资料及其他不易鉴定价值的财产；</w:t>
      </w:r>
    </w:p>
    <w:p w14:paraId="789F8023">
      <w:pPr>
        <w:widowControl/>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（二）任何间接损失。</w:t>
      </w:r>
    </w:p>
    <w:p w14:paraId="121EC081">
      <w:pPr>
        <w:widowControl/>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责任限额与免赔额</w:t>
      </w:r>
    </w:p>
    <w:p w14:paraId="288C7F22">
      <w:pPr>
        <w:widowControl/>
        <w:spacing w:line="360" w:lineRule="auto"/>
        <w:ind w:firstLine="482" w:firstLineChars="200"/>
        <w:rPr>
          <w:rFonts w:hint="eastAsia" w:ascii="宋体" w:hAnsi="宋体" w:eastAsia="宋体" w:cs="宋体"/>
          <w:bCs w:val="0"/>
          <w:color w:val="auto"/>
          <w:kern w:val="0"/>
          <w:sz w:val="24"/>
          <w:szCs w:val="24"/>
          <w:highlight w:val="none"/>
        </w:rPr>
      </w:pPr>
      <w:r>
        <w:rPr>
          <w:rFonts w:hint="eastAsia" w:ascii="宋体" w:hAnsi="宋体" w:eastAsia="宋体" w:cs="宋体"/>
          <w:b/>
          <w:bCs/>
          <w:color w:val="auto"/>
          <w:sz w:val="24"/>
          <w:szCs w:val="24"/>
          <w:highlight w:val="none"/>
        </w:rPr>
        <w:t xml:space="preserve">第三条 </w:t>
      </w:r>
      <w:r>
        <w:rPr>
          <w:rFonts w:hint="eastAsia" w:ascii="宋体" w:hAnsi="宋体" w:eastAsia="宋体" w:cs="宋体"/>
          <w:bCs/>
          <w:color w:val="auto"/>
          <w:sz w:val="24"/>
          <w:szCs w:val="24"/>
          <w:highlight w:val="none"/>
        </w:rPr>
        <w:t>本保险合同所指责任限额为每次事故每人财产损失责任限额</w:t>
      </w:r>
      <w:r>
        <w:rPr>
          <w:rFonts w:hint="eastAsia" w:ascii="宋体" w:hAnsi="宋体" w:eastAsia="宋体" w:cs="宋体"/>
          <w:bCs/>
          <w:color w:val="auto"/>
          <w:kern w:val="0"/>
          <w:sz w:val="24"/>
          <w:szCs w:val="24"/>
          <w:highlight w:val="none"/>
        </w:rPr>
        <w:t>。</w:t>
      </w:r>
      <w:r>
        <w:rPr>
          <w:rFonts w:hint="eastAsia" w:ascii="宋体" w:hAnsi="宋体" w:eastAsia="宋体" w:cs="宋体"/>
          <w:bCs/>
          <w:color w:val="auto"/>
          <w:sz w:val="24"/>
          <w:szCs w:val="24"/>
          <w:highlight w:val="none"/>
        </w:rPr>
        <w:t>每次事故每人财产损失责任限额包含在基本险每次事故每人责任限额里面。</w:t>
      </w:r>
    </w:p>
    <w:p w14:paraId="12DDE7DF">
      <w:pPr>
        <w:widowControl/>
        <w:spacing w:line="360" w:lineRule="auto"/>
        <w:ind w:firstLine="482" w:firstLineChars="200"/>
        <w:rPr>
          <w:rFonts w:hint="eastAsia" w:ascii="宋体" w:hAnsi="宋体" w:eastAsia="宋体" w:cs="宋体"/>
          <w:b/>
          <w:bCs/>
          <w:color w:val="auto"/>
          <w:kern w:val="0"/>
          <w:sz w:val="24"/>
          <w:szCs w:val="24"/>
          <w:highlight w:val="none"/>
        </w:rPr>
      </w:pPr>
      <w:r>
        <w:rPr>
          <w:rFonts w:hint="eastAsia" w:ascii="宋体" w:hAnsi="宋体" w:eastAsia="宋体" w:cs="宋体"/>
          <w:b/>
          <w:bCs/>
          <w:color w:val="auto"/>
          <w:sz w:val="24"/>
          <w:szCs w:val="24"/>
          <w:highlight w:val="none"/>
        </w:rPr>
        <w:t xml:space="preserve">第四条 </w:t>
      </w:r>
      <w:r>
        <w:rPr>
          <w:rFonts w:hint="eastAsia" w:ascii="宋体" w:hAnsi="宋体" w:eastAsia="宋体" w:cs="宋体"/>
          <w:bCs w:val="0"/>
          <w:color w:val="auto"/>
          <w:kern w:val="0"/>
          <w:sz w:val="24"/>
          <w:szCs w:val="24"/>
          <w:highlight w:val="none"/>
        </w:rPr>
        <w:t>免赔额由投保人与保险人在签订保险合协商确定，并在保险单中载明。</w:t>
      </w:r>
    </w:p>
    <w:p w14:paraId="4B50F21F">
      <w:pPr>
        <w:widowControl/>
        <w:spacing w:before="0" w:beforeLines="0" w:beforeAutospacing="0" w:after="0" w:afterLines="0" w:afterAutospacing="0" w:line="360" w:lineRule="auto"/>
        <w:ind w:firstLine="482" w:firstLineChars="200"/>
        <w:jc w:val="left"/>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二、</w:t>
      </w:r>
      <w:r>
        <w:rPr>
          <w:rFonts w:hint="eastAsia" w:ascii="宋体" w:hAnsi="宋体" w:eastAsia="宋体" w:cs="宋体"/>
          <w:b/>
          <w:bCs/>
          <w:color w:val="auto"/>
          <w:kern w:val="0"/>
          <w:sz w:val="24"/>
          <w:szCs w:val="24"/>
          <w:highlight w:val="none"/>
          <w:lang w:val="en-US" w:eastAsia="zh-CN" w:bidi="ar-SA"/>
        </w:rPr>
        <w:t>扩展</w:t>
      </w:r>
      <w:r>
        <w:rPr>
          <w:rFonts w:hint="eastAsia" w:ascii="宋体" w:hAnsi="宋体" w:eastAsia="宋体" w:cs="宋体"/>
          <w:b/>
          <w:bCs w:val="0"/>
          <w:color w:val="auto"/>
          <w:kern w:val="2"/>
          <w:sz w:val="24"/>
          <w:szCs w:val="24"/>
          <w:highlight w:val="none"/>
          <w:lang w:val="en-US" w:eastAsia="zh-CN" w:bidi="ar-SA"/>
        </w:rPr>
        <w:t>交流生保险条款</w:t>
      </w:r>
    </w:p>
    <w:p w14:paraId="6358FE9D">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保险期间内，在被保险人的在校活动中或由被保险人统一组织或安排的活动过程中，因发生基本险约定的保险事故造成至被保险人进行校际交流活动的外校生遭受人身损害，依法应由被保险人承担的经济赔偿责任，保险人按照保险合同的约定负责赔偿。</w:t>
      </w:r>
    </w:p>
    <w:p w14:paraId="6CD20C8D">
      <w:pPr>
        <w:widowControl/>
        <w:spacing w:before="0" w:beforeLines="0" w:beforeAutospacing="0" w:after="0" w:afterLines="0" w:afterAutospacing="0" w:line="360" w:lineRule="auto"/>
        <w:ind w:firstLine="482" w:firstLineChars="200"/>
        <w:jc w:val="left"/>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三、</w:t>
      </w:r>
      <w:r>
        <w:rPr>
          <w:rFonts w:hint="eastAsia" w:ascii="宋体" w:hAnsi="宋体" w:eastAsia="宋体" w:cs="宋体"/>
          <w:b/>
          <w:bCs/>
          <w:color w:val="auto"/>
          <w:kern w:val="0"/>
          <w:sz w:val="24"/>
          <w:szCs w:val="24"/>
          <w:highlight w:val="none"/>
          <w:lang w:val="en-US" w:eastAsia="zh-CN" w:bidi="ar-SA"/>
        </w:rPr>
        <w:t>扩展</w:t>
      </w:r>
      <w:r>
        <w:rPr>
          <w:rFonts w:hint="eastAsia" w:ascii="宋体" w:hAnsi="宋体" w:eastAsia="宋体" w:cs="宋体"/>
          <w:b/>
          <w:bCs w:val="0"/>
          <w:color w:val="auto"/>
          <w:kern w:val="2"/>
          <w:sz w:val="24"/>
          <w:szCs w:val="24"/>
          <w:highlight w:val="none"/>
          <w:lang w:val="en-US" w:eastAsia="zh-CN" w:bidi="ar-SA"/>
        </w:rPr>
        <w:t>自然灾害及不可抗力保险条款</w:t>
      </w:r>
    </w:p>
    <w:p w14:paraId="2A7F9A01">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在保险期间内，在被保险人的在校活动中或由被保险人统一组织或安排的活动过程中，因发生</w:t>
      </w:r>
      <w:r>
        <w:rPr>
          <w:rFonts w:hint="eastAsia" w:ascii="宋体" w:hAnsi="宋体" w:eastAsia="宋体" w:cs="宋体"/>
          <w:bCs/>
          <w:color w:val="auto"/>
          <w:kern w:val="0"/>
          <w:sz w:val="24"/>
          <w:szCs w:val="24"/>
          <w:highlight w:val="none"/>
        </w:rPr>
        <w:t>暴风、暴雨、崖崩、雷击、洪水、龙卷风、飑线、台风(热带风暴)、海啸、泥石流、突发性滑坡、冰雹灾害等自然灾害及不可抗力</w:t>
      </w:r>
      <w:r>
        <w:rPr>
          <w:rFonts w:hint="eastAsia" w:ascii="宋体" w:hAnsi="宋体" w:eastAsia="宋体" w:cs="宋体"/>
          <w:bCs/>
          <w:color w:val="auto"/>
          <w:sz w:val="24"/>
          <w:szCs w:val="24"/>
          <w:highlight w:val="none"/>
        </w:rPr>
        <w:t>造成学生遭受人身损害，依法应由被保险人承担的经济赔偿责任，保险人按照保险合同的约定负责赔偿。</w:t>
      </w:r>
    </w:p>
    <w:p w14:paraId="3C08999E">
      <w:pPr>
        <w:widowControl/>
        <w:spacing w:before="0" w:beforeLines="0" w:beforeAutospacing="0" w:after="0" w:afterLines="0" w:afterAutospacing="0" w:line="360" w:lineRule="auto"/>
        <w:ind w:firstLine="482" w:firstLineChars="200"/>
        <w:jc w:val="left"/>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四、</w:t>
      </w:r>
      <w:r>
        <w:rPr>
          <w:rFonts w:hint="eastAsia" w:ascii="宋体" w:hAnsi="宋体" w:eastAsia="宋体" w:cs="宋体"/>
          <w:b/>
          <w:bCs/>
          <w:color w:val="auto"/>
          <w:kern w:val="0"/>
          <w:sz w:val="24"/>
          <w:szCs w:val="24"/>
          <w:highlight w:val="none"/>
          <w:lang w:val="en-US" w:eastAsia="zh-CN" w:bidi="ar-SA"/>
        </w:rPr>
        <w:t>扩展</w:t>
      </w:r>
      <w:r>
        <w:rPr>
          <w:rFonts w:hint="eastAsia" w:ascii="宋体" w:hAnsi="宋体" w:eastAsia="宋体" w:cs="宋体"/>
          <w:b/>
          <w:bCs w:val="0"/>
          <w:color w:val="auto"/>
          <w:kern w:val="2"/>
          <w:sz w:val="24"/>
          <w:szCs w:val="24"/>
          <w:highlight w:val="none"/>
          <w:lang w:val="en-US" w:eastAsia="zh-CN" w:bidi="ar-SA"/>
        </w:rPr>
        <w:t>集体活动保险条款</w:t>
      </w:r>
    </w:p>
    <w:p w14:paraId="23C121CB">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保险期间内，在被保险人统一组织的校外社会实践活动以及军训、校运会、文艺演出、体育竞赛等集体活动中发生意外事故造成学生遭受人身损害，依法应由被保险人承担的经济赔偿责任，保险人按照保险合同的约定负责赔偿。</w:t>
      </w:r>
    </w:p>
    <w:p w14:paraId="7EE1051D">
      <w:pPr>
        <w:widowControl/>
        <w:spacing w:before="0" w:beforeLines="0" w:beforeAutospacing="0" w:after="0" w:afterLines="0" w:afterAutospacing="0" w:line="360" w:lineRule="auto"/>
        <w:ind w:firstLine="482" w:firstLineChars="200"/>
        <w:jc w:val="left"/>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五、扩展新增学生人数变动保险条款</w:t>
      </w:r>
    </w:p>
    <w:p w14:paraId="432A4863">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对于在投保年度参保学校的新增学生，自该生完成注册手续之日起，自动纳入本保险保障范围。若新增学生人数不超过保单投保人数的</w:t>
      </w:r>
      <w:r>
        <w:rPr>
          <w:rFonts w:hint="eastAsia" w:ascii="宋体" w:hAnsi="宋体" w:eastAsia="宋体" w:cs="宋体"/>
          <w:bCs/>
          <w:color w:val="auto"/>
          <w:sz w:val="24"/>
          <w:szCs w:val="24"/>
          <w:highlight w:val="none"/>
          <w:u w:val="single"/>
        </w:rPr>
        <w:t xml:space="preserve"> 5 </w:t>
      </w:r>
      <w:r>
        <w:rPr>
          <w:rFonts w:hint="eastAsia" w:ascii="宋体" w:hAnsi="宋体" w:eastAsia="宋体" w:cs="宋体"/>
          <w:bCs/>
          <w:color w:val="auto"/>
          <w:sz w:val="24"/>
          <w:szCs w:val="24"/>
          <w:highlight w:val="none"/>
        </w:rPr>
        <w:t>%（含），保险人免于收取增加的保险费；若新增学生人数超过保单投保人数的</w:t>
      </w:r>
      <w:r>
        <w:rPr>
          <w:rFonts w:hint="eastAsia" w:ascii="宋体" w:hAnsi="宋体" w:eastAsia="宋体" w:cs="宋体"/>
          <w:bCs/>
          <w:color w:val="auto"/>
          <w:sz w:val="24"/>
          <w:szCs w:val="24"/>
          <w:highlight w:val="none"/>
          <w:u w:val="single"/>
        </w:rPr>
        <w:t xml:space="preserve"> 5 </w:t>
      </w:r>
      <w:r>
        <w:rPr>
          <w:rFonts w:hint="eastAsia" w:ascii="宋体" w:hAnsi="宋体" w:eastAsia="宋体" w:cs="宋体"/>
          <w:bCs/>
          <w:color w:val="auto"/>
          <w:sz w:val="24"/>
          <w:szCs w:val="24"/>
          <w:highlight w:val="none"/>
        </w:rPr>
        <w:t>%，保险人按实际新增人数收取新增保险费。</w:t>
      </w:r>
    </w:p>
    <w:p w14:paraId="5CC2F12D">
      <w:pPr>
        <w:widowControl/>
        <w:spacing w:before="0" w:beforeLines="0" w:beforeAutospacing="0" w:after="0" w:afterLines="0" w:afterAutospacing="0" w:line="360" w:lineRule="auto"/>
        <w:ind w:firstLine="482" w:firstLineChars="200"/>
        <w:jc w:val="left"/>
        <w:rPr>
          <w:rFonts w:hint="eastAsia" w:ascii="宋体" w:hAnsi="宋体" w:eastAsia="宋体" w:cs="宋体"/>
          <w:b/>
          <w:bCs w:val="0"/>
          <w:color w:val="auto"/>
          <w:kern w:val="2"/>
          <w:sz w:val="24"/>
          <w:szCs w:val="24"/>
          <w:highlight w:val="none"/>
          <w:lang w:val="en-US" w:eastAsia="zh-CN" w:bidi="ar-SA"/>
        </w:rPr>
      </w:pPr>
    </w:p>
    <w:p w14:paraId="2BDABDF5">
      <w:pPr>
        <w:widowControl/>
        <w:spacing w:before="0" w:beforeLines="0" w:beforeAutospacing="0" w:after="0" w:afterLines="0" w:afterAutospacing="0" w:line="360" w:lineRule="auto"/>
        <w:ind w:firstLine="482" w:firstLineChars="200"/>
        <w:jc w:val="left"/>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六、扩展学生第三者责任保险条款</w:t>
      </w:r>
    </w:p>
    <w:p w14:paraId="39576CE2">
      <w:pPr>
        <w:widowControl/>
        <w:spacing w:after="200" w:afterLines="0" w:line="360" w:lineRule="auto"/>
        <w:ind w:left="0" w:firstLine="480" w:firstLineChars="200"/>
        <w:contextualSpacing/>
        <w:jc w:val="lef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在保险期间内，在被保险人的在校活动中或由被保险人统一组织或安排的活动过程中，由于学生的过失造成第三者的人身损害，依法应由被保险人承担的经济赔偿责任，保险人依照本保险合同的约定在每次事故每人第三者责任限额内负责赔偿。</w:t>
      </w:r>
    </w:p>
    <w:p w14:paraId="55510D31">
      <w:pPr>
        <w:widowControl/>
        <w:spacing w:before="0" w:beforeLines="0" w:beforeAutospacing="0" w:after="0" w:afterLines="0" w:afterAutospacing="0" w:line="360" w:lineRule="auto"/>
        <w:ind w:firstLine="482" w:firstLineChars="200"/>
        <w:jc w:val="left"/>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七、扩展恶劣天气保险条款</w:t>
      </w:r>
    </w:p>
    <w:p w14:paraId="2CFF0667">
      <w:pPr>
        <w:widowControl/>
        <w:spacing w:after="200" w:afterLines="0" w:line="360" w:lineRule="auto"/>
        <w:ind w:left="0" w:firstLine="480" w:firstLineChars="200"/>
        <w:contextualSpacing/>
        <w:jc w:val="left"/>
        <w:rPr>
          <w:rFonts w:hint="eastAsia" w:ascii="宋体" w:hAnsi="宋体" w:eastAsia="宋体" w:cs="宋体"/>
          <w:bCs w:val="0"/>
          <w:color w:val="auto"/>
          <w:kern w:val="0"/>
          <w:sz w:val="24"/>
          <w:szCs w:val="24"/>
          <w:highlight w:val="none"/>
          <w:lang w:val="en-US" w:eastAsia="zh-CN" w:bidi="ar-SA"/>
        </w:rPr>
      </w:pPr>
      <w:r>
        <w:rPr>
          <w:rFonts w:hint="eastAsia" w:ascii="宋体" w:hAnsi="宋体" w:eastAsia="宋体" w:cs="宋体"/>
          <w:bCs w:val="0"/>
          <w:color w:val="auto"/>
          <w:kern w:val="0"/>
          <w:sz w:val="24"/>
          <w:szCs w:val="24"/>
          <w:highlight w:val="none"/>
          <w:lang w:val="en-US" w:eastAsia="zh-CN" w:bidi="ar-SA"/>
        </w:rPr>
        <w:t>在保险期间内，被保险人接到相关气象部门认定的恶劣天气造成的学生必须停课的通知后，学生因停课从校园返回住所途中发生意外事故导致其遭受人身损害，依法应由被保险人承担的经济赔偿责任，保险人按照保险合同的约定负责赔偿。</w:t>
      </w:r>
    </w:p>
    <w:p w14:paraId="7CBBDF1F">
      <w:pPr>
        <w:widowControl/>
        <w:spacing w:before="0" w:beforeLines="0" w:beforeAutospacing="0" w:after="0" w:afterLines="0" w:afterAutospacing="0" w:line="360" w:lineRule="auto"/>
        <w:ind w:firstLine="482" w:firstLineChars="200"/>
        <w:jc w:val="left"/>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八、扩展境外保险条款</w:t>
      </w:r>
    </w:p>
    <w:p w14:paraId="282AE5F8">
      <w:pPr>
        <w:widowControl/>
        <w:spacing w:after="200" w:afterLines="0" w:line="360" w:lineRule="auto"/>
        <w:ind w:left="0" w:firstLine="480" w:firstLineChars="200"/>
        <w:contextualSpacing/>
        <w:jc w:val="left"/>
        <w:rPr>
          <w:rFonts w:hint="eastAsia" w:ascii="宋体" w:hAnsi="宋体" w:eastAsia="宋体" w:cs="宋体"/>
          <w:bCs w:val="0"/>
          <w:color w:val="auto"/>
          <w:kern w:val="0"/>
          <w:sz w:val="24"/>
          <w:szCs w:val="24"/>
          <w:highlight w:val="none"/>
          <w:lang w:val="en-US" w:eastAsia="zh-CN" w:bidi="ar-SA"/>
        </w:rPr>
      </w:pPr>
      <w:r>
        <w:rPr>
          <w:rFonts w:hint="eastAsia" w:ascii="宋体" w:hAnsi="宋体" w:eastAsia="宋体" w:cs="宋体"/>
          <w:bCs w:val="0"/>
          <w:color w:val="auto"/>
          <w:kern w:val="0"/>
          <w:sz w:val="24"/>
          <w:szCs w:val="24"/>
          <w:highlight w:val="none"/>
          <w:lang w:val="en-US" w:eastAsia="zh-CN" w:bidi="ar-SA"/>
        </w:rPr>
        <w:t>在保险期间内，由被保险人统一组织或安排的出境活动中（包括港、澳、台地区）中，发生意外事故导致学生遭受人身损害，依法应由被保险人承担的经济赔偿责任，保险人按照保险合同的约定负责赔偿。</w:t>
      </w:r>
    </w:p>
    <w:p w14:paraId="6CF7213F">
      <w:pPr>
        <w:widowControl/>
        <w:spacing w:before="0" w:beforeLines="0" w:beforeAutospacing="0" w:after="0" w:afterLines="0" w:afterAutospacing="0" w:line="360" w:lineRule="auto"/>
        <w:ind w:firstLine="482" w:firstLineChars="200"/>
        <w:jc w:val="left"/>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九、扩展校车保险条款</w:t>
      </w:r>
    </w:p>
    <w:p w14:paraId="4692D4A3">
      <w:pPr>
        <w:widowControl/>
        <w:spacing w:after="200" w:afterLines="0" w:line="360" w:lineRule="auto"/>
        <w:ind w:left="0" w:firstLine="480" w:firstLineChars="200"/>
        <w:contextualSpacing/>
        <w:jc w:val="left"/>
        <w:rPr>
          <w:rFonts w:hint="eastAsia" w:ascii="宋体" w:hAnsi="宋体" w:eastAsia="宋体" w:cs="宋体"/>
          <w:bCs w:val="0"/>
          <w:color w:val="auto"/>
          <w:kern w:val="0"/>
          <w:sz w:val="24"/>
          <w:szCs w:val="24"/>
          <w:highlight w:val="none"/>
          <w:lang w:val="en-US" w:eastAsia="zh-CN" w:bidi="ar-SA"/>
        </w:rPr>
      </w:pPr>
      <w:r>
        <w:rPr>
          <w:rFonts w:hint="eastAsia" w:ascii="宋体" w:hAnsi="宋体" w:eastAsia="宋体" w:cs="宋体"/>
          <w:bCs w:val="0"/>
          <w:color w:val="auto"/>
          <w:kern w:val="0"/>
          <w:sz w:val="24"/>
          <w:szCs w:val="24"/>
          <w:highlight w:val="none"/>
          <w:lang w:val="en-US" w:eastAsia="zh-CN" w:bidi="ar-SA"/>
        </w:rPr>
        <w:t>在保险期间内，被保险人提供的校车服务过程中（包括学生在校车运行途中或上下校车过程中）发生意外事故导致学生遭受人身损害，依法应由被保险人承担的经济赔偿责任，保险人按照保险合同的约定负责赔偿。</w:t>
      </w:r>
    </w:p>
    <w:p w14:paraId="2CAEAE41">
      <w:pPr>
        <w:widowControl/>
        <w:spacing w:before="0" w:beforeLines="0" w:beforeAutospacing="0" w:after="0" w:afterLines="0" w:afterAutospacing="0" w:line="360" w:lineRule="auto"/>
        <w:ind w:firstLine="482" w:firstLineChars="200"/>
        <w:jc w:val="left"/>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十、扩展住宿场所保险条款</w:t>
      </w:r>
    </w:p>
    <w:p w14:paraId="5B113575">
      <w:pPr>
        <w:widowControl/>
        <w:spacing w:after="200" w:afterLines="0" w:line="360" w:lineRule="auto"/>
        <w:ind w:left="0" w:firstLine="480" w:firstLineChars="200"/>
        <w:contextualSpacing/>
        <w:jc w:val="left"/>
        <w:rPr>
          <w:rFonts w:hint="eastAsia" w:ascii="宋体" w:hAnsi="宋体" w:eastAsia="宋体" w:cs="宋体"/>
          <w:bCs w:val="0"/>
          <w:color w:val="auto"/>
          <w:kern w:val="0"/>
          <w:sz w:val="24"/>
          <w:szCs w:val="24"/>
          <w:highlight w:val="none"/>
          <w:lang w:val="en-US" w:eastAsia="zh-CN" w:bidi="ar-SA"/>
        </w:rPr>
      </w:pPr>
      <w:r>
        <w:rPr>
          <w:rFonts w:hint="eastAsia" w:ascii="宋体" w:hAnsi="宋体" w:eastAsia="宋体" w:cs="宋体"/>
          <w:bCs w:val="0"/>
          <w:color w:val="auto"/>
          <w:kern w:val="0"/>
          <w:sz w:val="24"/>
          <w:szCs w:val="24"/>
          <w:highlight w:val="none"/>
          <w:lang w:val="en-US" w:eastAsia="zh-CN" w:bidi="ar-SA"/>
        </w:rPr>
        <w:t>在保险期间内，被保险人管理、提供、认可的负有管理责任的住宿场所发生意外事故导致学生遭受人身损害，依法应由被保险人承担的经济赔偿责任，保险人按照保险合同的约定负责赔偿。</w:t>
      </w:r>
    </w:p>
    <w:p w14:paraId="4772EB05">
      <w:pPr>
        <w:widowControl/>
        <w:spacing w:before="0" w:beforeLines="0" w:beforeAutospacing="0" w:after="0" w:afterLines="0" w:afterAutospacing="0" w:line="360" w:lineRule="auto"/>
        <w:ind w:firstLine="482" w:firstLineChars="200"/>
        <w:jc w:val="left"/>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十一、扩展罢工、暴乱、民众骚乱或恶意破坏保险条款</w:t>
      </w:r>
    </w:p>
    <w:p w14:paraId="408AE7A1">
      <w:pPr>
        <w:widowControl/>
        <w:spacing w:after="200" w:afterLines="0" w:line="360" w:lineRule="auto"/>
        <w:ind w:left="0" w:firstLine="480" w:firstLineChars="200"/>
        <w:contextualSpacing/>
        <w:jc w:val="left"/>
        <w:rPr>
          <w:rFonts w:hint="eastAsia" w:ascii="宋体" w:hAnsi="宋体" w:eastAsia="宋体" w:cs="宋体"/>
          <w:bCs w:val="0"/>
          <w:color w:val="auto"/>
          <w:kern w:val="0"/>
          <w:sz w:val="24"/>
          <w:szCs w:val="24"/>
          <w:highlight w:val="none"/>
          <w:lang w:val="en-US" w:eastAsia="zh-CN" w:bidi="ar-SA"/>
        </w:rPr>
      </w:pPr>
      <w:r>
        <w:rPr>
          <w:rFonts w:hint="eastAsia" w:ascii="宋体" w:hAnsi="宋体" w:eastAsia="宋体" w:cs="宋体"/>
          <w:bCs w:val="0"/>
          <w:color w:val="auto"/>
          <w:kern w:val="0"/>
          <w:sz w:val="24"/>
          <w:szCs w:val="24"/>
          <w:highlight w:val="none"/>
          <w:lang w:val="en-US" w:eastAsia="zh-CN" w:bidi="ar-SA"/>
        </w:rPr>
        <w:t>在保险期间内，在被保险人的在校活动中或由被保险人统一组织或安排的活动过程中，发生罢工、暴乱、民众骚乱或恶意破坏引起的意外事故导致学生遭受人身损害，依法应由被保险人承担的经济赔偿责任，保险人按照保险合同的约定负责赔偿。</w:t>
      </w:r>
    </w:p>
    <w:p w14:paraId="32AFCC4B">
      <w:pPr>
        <w:widowControl/>
        <w:spacing w:before="0" w:beforeLines="0" w:beforeAutospacing="0" w:after="0" w:afterLines="0" w:afterAutospacing="0" w:line="360" w:lineRule="auto"/>
        <w:ind w:firstLine="482" w:firstLineChars="200"/>
        <w:jc w:val="left"/>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十二、扩展性侵害保险条款</w:t>
      </w:r>
    </w:p>
    <w:p w14:paraId="1930186A">
      <w:pPr>
        <w:widowControl/>
        <w:spacing w:after="200" w:afterLines="0" w:line="360" w:lineRule="auto"/>
        <w:ind w:left="0" w:firstLine="480" w:firstLineChars="200"/>
        <w:contextualSpacing/>
        <w:jc w:val="left"/>
        <w:rPr>
          <w:rFonts w:hint="eastAsia" w:ascii="宋体" w:hAnsi="宋体" w:eastAsia="宋体" w:cs="宋体"/>
          <w:bCs w:val="0"/>
          <w:color w:val="auto"/>
          <w:kern w:val="0"/>
          <w:sz w:val="24"/>
          <w:szCs w:val="24"/>
          <w:highlight w:val="none"/>
          <w:lang w:val="en-US" w:eastAsia="zh-CN" w:bidi="ar-SA"/>
        </w:rPr>
      </w:pPr>
      <w:r>
        <w:rPr>
          <w:rFonts w:hint="eastAsia" w:ascii="宋体" w:hAnsi="宋体" w:eastAsia="宋体" w:cs="宋体"/>
          <w:bCs w:val="0"/>
          <w:color w:val="auto"/>
          <w:kern w:val="0"/>
          <w:sz w:val="24"/>
          <w:szCs w:val="24"/>
          <w:highlight w:val="none"/>
          <w:lang w:val="en-US" w:eastAsia="zh-CN" w:bidi="ar-SA"/>
        </w:rPr>
        <w:t>在保险期间内，在被保险人的管理范围内，学生遭受第三者性侵害依法应由被保险人承担的经济赔偿责任，保险人按照保险合同的约定负责赔偿。</w:t>
      </w:r>
    </w:p>
    <w:p w14:paraId="3A08A21B">
      <w:pPr>
        <w:widowControl/>
        <w:spacing w:before="0" w:beforeLines="0" w:beforeAutospacing="0" w:after="0" w:afterLines="0" w:afterAutospacing="0" w:line="360" w:lineRule="auto"/>
        <w:ind w:firstLine="482" w:firstLineChars="200"/>
        <w:jc w:val="left"/>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十三、扩展学业中断保险条款</w:t>
      </w:r>
    </w:p>
    <w:p w14:paraId="3D7DBBEF">
      <w:pPr>
        <w:widowControl/>
        <w:spacing w:after="200" w:afterLines="0" w:line="360" w:lineRule="auto"/>
        <w:ind w:left="0"/>
        <w:contextualSpacing/>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保险责任</w:t>
      </w:r>
    </w:p>
    <w:p w14:paraId="246337CC">
      <w:pPr>
        <w:widowControl/>
        <w:spacing w:after="200" w:afterLines="0" w:line="360" w:lineRule="auto"/>
        <w:ind w:left="0" w:firstLine="482" w:firstLineChars="200"/>
        <w:contextualSpacing/>
        <w:jc w:val="left"/>
        <w:rPr>
          <w:rFonts w:hint="eastAsia" w:ascii="宋体" w:hAnsi="宋体" w:eastAsia="宋体" w:cs="宋体"/>
          <w:bCs w:val="0"/>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 xml:space="preserve">第一条 </w:t>
      </w:r>
      <w:r>
        <w:rPr>
          <w:rFonts w:hint="eastAsia" w:ascii="宋体" w:hAnsi="宋体" w:eastAsia="宋体" w:cs="宋体"/>
          <w:bCs w:val="0"/>
          <w:color w:val="auto"/>
          <w:kern w:val="0"/>
          <w:sz w:val="24"/>
          <w:szCs w:val="24"/>
          <w:highlight w:val="none"/>
          <w:lang w:val="en-US" w:eastAsia="zh-CN" w:bidi="ar-SA"/>
        </w:rPr>
        <w:t>在保险期间内，发生基本险保险责任范围的事故导致学生因身体原因不能到校学习遭受学业中断损失，被保险人给予学生的学业中断损失补偿金，保险人按照保险合同的约定负责赔偿。</w:t>
      </w:r>
    </w:p>
    <w:p w14:paraId="28EB06C8">
      <w:pPr>
        <w:widowControl/>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责任限额与免赔额</w:t>
      </w:r>
    </w:p>
    <w:p w14:paraId="576B7D40">
      <w:pPr>
        <w:widowControl/>
        <w:spacing w:line="360" w:lineRule="auto"/>
        <w:ind w:firstLine="482" w:firstLineChars="200"/>
        <w:rPr>
          <w:rFonts w:hint="eastAsia" w:ascii="宋体" w:hAnsi="宋体" w:eastAsia="宋体" w:cs="宋体"/>
          <w:bCs w:val="0"/>
          <w:color w:val="auto"/>
          <w:kern w:val="0"/>
          <w:sz w:val="24"/>
          <w:szCs w:val="24"/>
          <w:highlight w:val="none"/>
        </w:rPr>
      </w:pPr>
      <w:r>
        <w:rPr>
          <w:rFonts w:hint="eastAsia" w:ascii="宋体" w:hAnsi="宋体" w:eastAsia="宋体" w:cs="宋体"/>
          <w:b/>
          <w:bCs/>
          <w:color w:val="auto"/>
          <w:sz w:val="24"/>
          <w:szCs w:val="24"/>
          <w:highlight w:val="none"/>
        </w:rPr>
        <w:t xml:space="preserve">第二条 </w:t>
      </w:r>
      <w:r>
        <w:rPr>
          <w:rFonts w:hint="eastAsia" w:ascii="宋体" w:hAnsi="宋体" w:eastAsia="宋体" w:cs="宋体"/>
          <w:bCs/>
          <w:color w:val="auto"/>
          <w:sz w:val="24"/>
          <w:szCs w:val="24"/>
          <w:highlight w:val="none"/>
        </w:rPr>
        <w:t>本保险合同所指责任限额为每次事故每人学业中断损失责任限额</w:t>
      </w:r>
      <w:r>
        <w:rPr>
          <w:rFonts w:hint="eastAsia" w:ascii="宋体" w:hAnsi="宋体" w:eastAsia="宋体" w:cs="宋体"/>
          <w:bCs/>
          <w:color w:val="auto"/>
          <w:kern w:val="0"/>
          <w:sz w:val="24"/>
          <w:szCs w:val="24"/>
          <w:highlight w:val="none"/>
        </w:rPr>
        <w:t>，</w:t>
      </w:r>
      <w:r>
        <w:rPr>
          <w:rFonts w:hint="eastAsia" w:ascii="宋体" w:hAnsi="宋体" w:eastAsia="宋体" w:cs="宋体"/>
          <w:bCs/>
          <w:color w:val="auto"/>
          <w:sz w:val="24"/>
          <w:szCs w:val="24"/>
          <w:highlight w:val="none"/>
        </w:rPr>
        <w:t>每次事故每人学业中断损失责任限额包含在基本险每次事故每人责任限额里面。</w:t>
      </w:r>
    </w:p>
    <w:p w14:paraId="7E0AA807">
      <w:pPr>
        <w:widowControl/>
        <w:spacing w:line="360" w:lineRule="auto"/>
        <w:ind w:firstLine="482" w:firstLineChars="200"/>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第三条 </w:t>
      </w:r>
      <w:r>
        <w:rPr>
          <w:rFonts w:hint="eastAsia" w:ascii="宋体" w:hAnsi="宋体" w:eastAsia="宋体" w:cs="宋体"/>
          <w:bCs w:val="0"/>
          <w:color w:val="auto"/>
          <w:kern w:val="0"/>
          <w:sz w:val="24"/>
          <w:szCs w:val="24"/>
          <w:highlight w:val="none"/>
        </w:rPr>
        <w:t>免赔额由投保人与保险人在签订保险合协商确定，并在保险单中载</w:t>
      </w:r>
      <w:r>
        <w:rPr>
          <w:rFonts w:hint="eastAsia" w:ascii="宋体" w:hAnsi="宋体" w:eastAsia="宋体" w:cs="宋体"/>
          <w:bCs/>
          <w:color w:val="auto"/>
          <w:sz w:val="24"/>
          <w:szCs w:val="24"/>
          <w:highlight w:val="none"/>
        </w:rPr>
        <w:t>明。</w:t>
      </w:r>
    </w:p>
    <w:p w14:paraId="748368A2">
      <w:pPr>
        <w:widowControl/>
        <w:spacing w:after="200" w:afterLines="0" w:line="360" w:lineRule="auto"/>
        <w:ind w:left="720"/>
        <w:contextualSpacing/>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赔偿处理</w:t>
      </w:r>
    </w:p>
    <w:p w14:paraId="7E1EF586">
      <w:pPr>
        <w:widowControl/>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第四条 </w:t>
      </w:r>
      <w:r>
        <w:rPr>
          <w:rFonts w:hint="eastAsia" w:ascii="宋体" w:hAnsi="宋体" w:eastAsia="宋体" w:cs="宋体"/>
          <w:bCs/>
          <w:color w:val="auto"/>
          <w:sz w:val="24"/>
          <w:szCs w:val="24"/>
          <w:highlight w:val="none"/>
        </w:rPr>
        <w:t>保险人对每次事故每名学生的赔偿按照保险单载明的每日学业中断损失补偿金乘以实际学业中断天数后确定的金额进行赔偿，最高不超过每次事故每人学业中断损失责任限额。</w:t>
      </w:r>
    </w:p>
    <w:p w14:paraId="38A8AF1A">
      <w:pPr>
        <w:widowControl/>
        <w:spacing w:before="100" w:beforeLines="0" w:beforeAutospacing="1" w:after="100" w:afterLines="0" w:afterAutospacing="1" w:line="360" w:lineRule="auto"/>
        <w:ind w:firstLine="482" w:firstLineChars="200"/>
        <w:jc w:val="left"/>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十四、错误和遗漏条款</w:t>
      </w:r>
    </w:p>
    <w:p w14:paraId="65D89638">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兹经双方同意，本保险项下的赔偿责任不因被保险人非故意地延迟、错误或遗漏向保险人申报有关变更或其他有关信息而被拒负，一旦被保险人明白其疏忽或遗漏应在合理的时间内尽快向保险人申报，并根据保险人要求支付自风险增加之日起的适当的附加保险费。</w:t>
      </w:r>
    </w:p>
    <w:p w14:paraId="64B97455">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不正确的、有缺陷的或错误的评估不可视为非故意的错误与遗漏。</w:t>
      </w:r>
    </w:p>
    <w:p w14:paraId="00519794">
      <w:pPr>
        <w:widowControl/>
        <w:spacing w:before="100" w:beforeLines="0" w:beforeAutospacing="1" w:after="100" w:afterLines="0" w:afterAutospacing="1" w:line="360" w:lineRule="auto"/>
        <w:ind w:firstLine="482" w:firstLineChars="200"/>
        <w:jc w:val="left"/>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十五、违反条件条款</w:t>
      </w:r>
    </w:p>
    <w:p w14:paraId="4364826E">
      <w:pPr>
        <w:widowControl/>
        <w:spacing w:after="200" w:afterLines="0" w:line="360" w:lineRule="auto"/>
        <w:ind w:left="0" w:firstLine="480" w:firstLineChars="200"/>
        <w:contextualSpacing/>
        <w:jc w:val="left"/>
        <w:rPr>
          <w:rFonts w:hint="eastAsia" w:ascii="宋体" w:hAnsi="宋体" w:eastAsia="宋体" w:cs="宋体"/>
          <w:bCs w:val="0"/>
          <w:color w:val="auto"/>
          <w:kern w:val="0"/>
          <w:sz w:val="24"/>
          <w:szCs w:val="24"/>
          <w:highlight w:val="none"/>
          <w:lang w:val="en-US" w:eastAsia="zh-CN" w:bidi="ar-SA"/>
        </w:rPr>
      </w:pPr>
      <w:r>
        <w:rPr>
          <w:rFonts w:hint="eastAsia" w:ascii="宋体" w:hAnsi="宋体" w:eastAsia="宋体" w:cs="宋体"/>
          <w:bCs w:val="0"/>
          <w:color w:val="auto"/>
          <w:kern w:val="0"/>
          <w:sz w:val="24"/>
          <w:szCs w:val="24"/>
          <w:highlight w:val="none"/>
          <w:lang w:val="en-US" w:eastAsia="zh-CN" w:bidi="ar-SA"/>
        </w:rPr>
        <w:t>兹经双方同意，本保险条件和保证分别适用于每一承保风险和每一危险单位，而非共同适用于所有承保风险和危险单位。如因被保险人疏忽或过失，则对该条件和保证的违反不影响本保险单整体效力；被保险人对某些条件和保证的违反仅使该违反所适用风险涉及的那一部分危险单位的保障失效，不影响其他保障的有效性。</w:t>
      </w:r>
    </w:p>
    <w:p w14:paraId="61F1C13B">
      <w:pPr>
        <w:widowControl/>
        <w:spacing w:before="100" w:beforeLines="0" w:beforeAutospacing="1" w:after="100" w:afterLines="0" w:afterAutospacing="1" w:line="360" w:lineRule="auto"/>
        <w:ind w:firstLine="0" w:firstLineChars="0"/>
        <w:jc w:val="center"/>
        <w:outlineLvl w:val="9"/>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Cs w:val="0"/>
          <w:color w:val="auto"/>
          <w:kern w:val="0"/>
          <w:sz w:val="24"/>
          <w:szCs w:val="24"/>
          <w:highlight w:val="none"/>
          <w:lang w:val="en-US" w:eastAsia="zh-CN" w:bidi="ar-SA"/>
        </w:rPr>
        <w:br w:type="page"/>
      </w:r>
      <w:r>
        <w:rPr>
          <w:rFonts w:hint="eastAsia" w:ascii="宋体" w:hAnsi="宋体" w:eastAsia="宋体" w:cs="宋体"/>
          <w:b/>
          <w:bCs w:val="0"/>
          <w:color w:val="auto"/>
          <w:kern w:val="0"/>
          <w:sz w:val="24"/>
          <w:szCs w:val="24"/>
          <w:highlight w:val="none"/>
          <w:lang w:val="en-US" w:eastAsia="zh-CN" w:bidi="ar-SA"/>
        </w:rPr>
        <w:t>附加校（园）方无过失责任保险条款</w:t>
      </w:r>
    </w:p>
    <w:p w14:paraId="55490CD3">
      <w:pPr>
        <w:keepNext w:val="0"/>
        <w:keepLines w:val="0"/>
        <w:pageBreakBefore w:val="0"/>
        <w:widowControl w:val="0"/>
        <w:tabs>
          <w:tab w:val="left" w:pos="2177"/>
        </w:tabs>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总则</w:t>
      </w:r>
    </w:p>
    <w:p w14:paraId="32F423C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rPr>
        <w:t>第一条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在投保</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山东省</w:t>
      </w:r>
      <w:r>
        <w:rPr>
          <w:rFonts w:hint="eastAsia" w:ascii="宋体" w:hAnsi="宋体" w:eastAsia="宋体" w:cs="宋体"/>
          <w:b w:val="0"/>
          <w:bCs w:val="0"/>
          <w:color w:val="auto"/>
          <w:kern w:val="2"/>
          <w:sz w:val="24"/>
          <w:szCs w:val="24"/>
          <w:highlight w:val="none"/>
          <w:lang w:val="en-US" w:eastAsia="zh-CN"/>
        </w:rPr>
        <w:t>校（园）方责任保险</w:t>
      </w:r>
      <w:r>
        <w:rPr>
          <w:rFonts w:hint="eastAsia" w:ascii="宋体" w:hAnsi="宋体" w:eastAsia="宋体" w:cs="宋体"/>
          <w:b w:val="0"/>
          <w:bCs w:val="0"/>
          <w:color w:val="auto"/>
          <w:sz w:val="24"/>
          <w:szCs w:val="24"/>
          <w:highlight w:val="none"/>
        </w:rPr>
        <w:t>》</w:t>
      </w:r>
      <w:r>
        <w:rPr>
          <w:rFonts w:hint="eastAsia" w:ascii="宋体" w:hAnsi="宋体" w:eastAsia="宋体" w:cs="宋体"/>
          <w:bCs/>
          <w:color w:val="auto"/>
          <w:sz w:val="24"/>
          <w:szCs w:val="24"/>
          <w:highlight w:val="none"/>
        </w:rPr>
        <w:t>（以下简称基本险）的基础上，投保人可以投保</w:t>
      </w:r>
      <w:r>
        <w:rPr>
          <w:rFonts w:hint="eastAsia" w:ascii="宋体" w:hAnsi="宋体" w:eastAsia="宋体" w:cs="宋体"/>
          <w:bCs/>
          <w:color w:val="auto"/>
          <w:sz w:val="24"/>
          <w:szCs w:val="24"/>
          <w:highlight w:val="none"/>
          <w:lang w:val="en-US" w:eastAsia="zh-CN"/>
        </w:rPr>
        <w:t>本</w:t>
      </w:r>
      <w:r>
        <w:rPr>
          <w:rFonts w:hint="eastAsia" w:ascii="宋体" w:hAnsi="宋体" w:eastAsia="宋体" w:cs="宋体"/>
          <w:bCs/>
          <w:color w:val="auto"/>
          <w:sz w:val="24"/>
          <w:szCs w:val="24"/>
          <w:highlight w:val="none"/>
        </w:rPr>
        <w:t>附加险。基本险合同效力终止，附加险合同效力亦同时终止；基本险合同无效，附加险合同亦无效。</w:t>
      </w:r>
    </w:p>
    <w:p w14:paraId="60E6CBB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第二条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附加险合同未约定事项，以基本险合同为准；基本险合同与附加险合同相抵触之处，以附加险合同为准。凡涉及附加险合同的约定，均应采用书面形式。</w:t>
      </w:r>
    </w:p>
    <w:p w14:paraId="08D5DBF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保险责任</w:t>
      </w:r>
    </w:p>
    <w:p w14:paraId="2B63C473">
      <w:pPr>
        <w:keepNext w:val="0"/>
        <w:keepLines w:val="0"/>
        <w:pageBreakBefore w:val="0"/>
        <w:widowControl w:val="0"/>
        <w:tabs>
          <w:tab w:val="left" w:pos="2177"/>
        </w:tabs>
        <w:kinsoku/>
        <w:wordWrap/>
        <w:overflowPunct/>
        <w:topLinePunct w:val="0"/>
        <w:autoSpaceDE/>
        <w:autoSpaceDN/>
        <w:bidi w:val="0"/>
        <w:adjustRightInd/>
        <w:snapToGrid/>
        <w:spacing w:line="360" w:lineRule="auto"/>
        <w:ind w:left="0" w:leftChars="0" w:right="0" w:rightChars="0" w:firstLine="482"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kern w:val="2"/>
          <w:sz w:val="24"/>
          <w:szCs w:val="24"/>
          <w:highlight w:val="none"/>
        </w:rPr>
        <w:t>第</w:t>
      </w:r>
      <w:r>
        <w:rPr>
          <w:rFonts w:hint="eastAsia" w:ascii="宋体" w:hAnsi="宋体" w:eastAsia="宋体" w:cs="宋体"/>
          <w:b/>
          <w:bCs/>
          <w:color w:val="auto"/>
          <w:kern w:val="2"/>
          <w:sz w:val="24"/>
          <w:szCs w:val="24"/>
          <w:highlight w:val="none"/>
          <w:lang w:val="en-US" w:eastAsia="zh-CN"/>
        </w:rPr>
        <w:t>三</w:t>
      </w:r>
      <w:r>
        <w:rPr>
          <w:rFonts w:hint="eastAsia" w:ascii="宋体" w:hAnsi="宋体" w:eastAsia="宋体" w:cs="宋体"/>
          <w:b/>
          <w:bCs/>
          <w:color w:val="auto"/>
          <w:sz w:val="24"/>
          <w:szCs w:val="24"/>
          <w:highlight w:val="none"/>
        </w:rPr>
        <w:t>条</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Cs/>
          <w:color w:val="auto"/>
          <w:sz w:val="24"/>
          <w:szCs w:val="24"/>
          <w:highlight w:val="none"/>
        </w:rPr>
        <w:t>在保险期间内，在</w:t>
      </w:r>
      <w:r>
        <w:rPr>
          <w:rFonts w:hint="eastAsia" w:ascii="宋体" w:hAnsi="宋体" w:eastAsia="宋体" w:cs="宋体"/>
          <w:bCs/>
          <w:color w:val="auto"/>
          <w:sz w:val="24"/>
          <w:szCs w:val="24"/>
          <w:highlight w:val="none"/>
          <w:lang w:eastAsia="zh-CN"/>
        </w:rPr>
        <w:t>被保险人</w:t>
      </w:r>
      <w:r>
        <w:rPr>
          <w:rFonts w:hint="eastAsia" w:ascii="宋体" w:hAnsi="宋体" w:eastAsia="宋体" w:cs="宋体"/>
          <w:bCs/>
          <w:color w:val="auto"/>
          <w:sz w:val="24"/>
          <w:szCs w:val="24"/>
          <w:highlight w:val="none"/>
        </w:rPr>
        <w:t>管理范围内</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包括</w:t>
      </w:r>
      <w:r>
        <w:rPr>
          <w:rFonts w:hint="eastAsia" w:ascii="宋体" w:hAnsi="宋体" w:eastAsia="宋体" w:cs="宋体"/>
          <w:bCs/>
          <w:color w:val="auto"/>
          <w:sz w:val="24"/>
          <w:szCs w:val="24"/>
          <w:highlight w:val="none"/>
        </w:rPr>
        <w:t>在被保险人的在校活动中或由被保险人统一组织或安排的活动过程中</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发生下列情形导致学生</w:t>
      </w:r>
      <w:r>
        <w:rPr>
          <w:rFonts w:hint="eastAsia" w:ascii="宋体" w:hAnsi="宋体" w:eastAsia="宋体" w:cs="宋体"/>
          <w:bCs/>
          <w:color w:val="auto"/>
          <w:sz w:val="24"/>
          <w:szCs w:val="24"/>
          <w:highlight w:val="none"/>
          <w:lang w:val="en-US" w:eastAsia="zh-CN"/>
        </w:rPr>
        <w:t>遭受</w:t>
      </w:r>
      <w:r>
        <w:rPr>
          <w:rFonts w:hint="eastAsia" w:ascii="宋体" w:hAnsi="宋体" w:eastAsia="宋体" w:cs="宋体"/>
          <w:bCs/>
          <w:color w:val="auto"/>
          <w:sz w:val="24"/>
          <w:szCs w:val="24"/>
          <w:highlight w:val="none"/>
          <w:lang w:eastAsia="zh-CN"/>
        </w:rPr>
        <w:t>人身损害</w:t>
      </w:r>
      <w:r>
        <w:rPr>
          <w:rFonts w:hint="eastAsia" w:ascii="宋体" w:hAnsi="宋体" w:eastAsia="宋体" w:cs="宋体"/>
          <w:bCs/>
          <w:color w:val="auto"/>
          <w:sz w:val="24"/>
          <w:szCs w:val="24"/>
          <w:highlight w:val="none"/>
        </w:rPr>
        <w:t>，尽管被保险人已履行相应职责，行为并无不当，但</w:t>
      </w:r>
      <w:r>
        <w:rPr>
          <w:rFonts w:hint="eastAsia" w:ascii="宋体" w:hAnsi="宋体" w:eastAsia="宋体" w:cs="宋体"/>
          <w:bCs/>
          <w:color w:val="auto"/>
          <w:sz w:val="24"/>
          <w:szCs w:val="24"/>
          <w:highlight w:val="none"/>
          <w:lang w:val="en-US" w:eastAsia="zh-CN"/>
        </w:rPr>
        <w:t>经</w:t>
      </w:r>
      <w:r>
        <w:rPr>
          <w:rFonts w:hint="eastAsia" w:ascii="宋体" w:hAnsi="宋体" w:eastAsia="宋体" w:cs="宋体"/>
          <w:bCs/>
          <w:color w:val="auto"/>
          <w:kern w:val="0"/>
          <w:sz w:val="24"/>
          <w:szCs w:val="24"/>
          <w:highlight w:val="none"/>
          <w:lang w:val="en-US" w:eastAsia="zh-CN" w:bidi="ar-SA"/>
        </w:rPr>
        <w:t>法院判决、调解或仲裁机构裁决、调解</w:t>
      </w:r>
      <w:r>
        <w:rPr>
          <w:rFonts w:hint="eastAsia" w:ascii="宋体" w:hAnsi="宋体" w:eastAsia="宋体" w:cs="宋体"/>
          <w:bCs/>
          <w:color w:val="auto"/>
          <w:kern w:val="2"/>
          <w:sz w:val="24"/>
          <w:szCs w:val="24"/>
          <w:highlight w:val="none"/>
          <w:lang w:val="en-US" w:eastAsia="zh-CN" w:bidi="ar-SA"/>
        </w:rPr>
        <w:t>或</w:t>
      </w:r>
      <w:r>
        <w:rPr>
          <w:rFonts w:hint="eastAsia" w:ascii="宋体" w:hAnsi="宋体" w:eastAsia="宋体" w:cs="宋体"/>
          <w:bCs/>
          <w:color w:val="auto"/>
          <w:sz w:val="24"/>
          <w:szCs w:val="24"/>
          <w:highlight w:val="none"/>
          <w:lang w:val="en-US" w:eastAsia="zh-CN"/>
        </w:rPr>
        <w:t>保险人认可的赔偿处理机构决定</w:t>
      </w:r>
      <w:r>
        <w:rPr>
          <w:rFonts w:hint="eastAsia" w:ascii="宋体" w:hAnsi="宋体" w:eastAsia="宋体" w:cs="宋体"/>
          <w:bCs/>
          <w:color w:val="auto"/>
          <w:kern w:val="0"/>
          <w:sz w:val="24"/>
          <w:szCs w:val="24"/>
          <w:highlight w:val="none"/>
          <w:lang w:val="en-US" w:eastAsia="zh-CN" w:bidi="ar-SA"/>
        </w:rPr>
        <w:t>被保险人需对受伤害学生给予经济补偿或</w:t>
      </w:r>
      <w:r>
        <w:rPr>
          <w:rFonts w:hint="eastAsia" w:ascii="宋体" w:hAnsi="宋体" w:eastAsia="宋体" w:cs="宋体"/>
          <w:bCs/>
          <w:color w:val="auto"/>
          <w:sz w:val="24"/>
          <w:szCs w:val="24"/>
          <w:highlight w:val="none"/>
        </w:rPr>
        <w:t>被保险人依法根据实际情况对学生给予经济补偿</w:t>
      </w:r>
      <w:r>
        <w:rPr>
          <w:rFonts w:hint="eastAsia" w:ascii="宋体" w:hAnsi="宋体" w:eastAsia="宋体" w:cs="宋体"/>
          <w:bCs/>
          <w:color w:val="auto"/>
          <w:sz w:val="24"/>
          <w:szCs w:val="24"/>
          <w:highlight w:val="none"/>
          <w:lang w:val="en-US" w:eastAsia="zh-CN"/>
        </w:rPr>
        <w:t>时</w:t>
      </w:r>
      <w:r>
        <w:rPr>
          <w:rFonts w:hint="eastAsia" w:ascii="宋体" w:hAnsi="宋体" w:eastAsia="宋体" w:cs="宋体"/>
          <w:bCs/>
          <w:color w:val="auto"/>
          <w:sz w:val="24"/>
          <w:szCs w:val="24"/>
          <w:highlight w:val="none"/>
        </w:rPr>
        <w:t>，保险人依照本保险合同约定负责赔偿</w:t>
      </w:r>
      <w:r>
        <w:rPr>
          <w:rFonts w:hint="eastAsia" w:ascii="宋体" w:hAnsi="宋体" w:eastAsia="宋体" w:cs="宋体"/>
          <w:bCs/>
          <w:color w:val="auto"/>
          <w:sz w:val="24"/>
          <w:szCs w:val="24"/>
          <w:highlight w:val="none"/>
          <w:lang w:eastAsia="zh-CN"/>
        </w:rPr>
        <w:t>：</w:t>
      </w:r>
    </w:p>
    <w:p w14:paraId="693432F9">
      <w:pPr>
        <w:keepNext w:val="0"/>
        <w:keepLines w:val="0"/>
        <w:pageBreakBefore w:val="0"/>
        <w:widowControl w:val="0"/>
        <w:suppressLineNumbers w:val="0"/>
        <w:tabs>
          <w:tab w:val="left" w:pos="2177"/>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（一）地震、雷击、台风、洪水等不可抗的自然因素；</w:t>
      </w:r>
    </w:p>
    <w:p w14:paraId="15278531">
      <w:pPr>
        <w:keepNext w:val="0"/>
        <w:keepLines w:val="0"/>
        <w:pageBreakBefore w:val="0"/>
        <w:widowControl w:val="0"/>
        <w:suppressLineNumbers w:val="0"/>
        <w:tabs>
          <w:tab w:val="left" w:pos="2177"/>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（二）来自被保险人外部的突发性、偶发性侵害；</w:t>
      </w:r>
    </w:p>
    <w:p w14:paraId="407DB9A0">
      <w:pPr>
        <w:keepNext w:val="0"/>
        <w:keepLines w:val="0"/>
        <w:pageBreakBefore w:val="0"/>
        <w:widowControl w:val="0"/>
        <w:suppressLineNumbers w:val="0"/>
        <w:tabs>
          <w:tab w:val="left" w:pos="2177"/>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（三）学生自身原因造成的；</w:t>
      </w:r>
    </w:p>
    <w:p w14:paraId="476F0AB3">
      <w:pPr>
        <w:keepNext w:val="0"/>
        <w:keepLines w:val="0"/>
        <w:pageBreakBefore w:val="0"/>
        <w:widowControl w:val="0"/>
        <w:suppressLineNumbers w:val="0"/>
        <w:tabs>
          <w:tab w:val="left" w:pos="2177"/>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（四）</w:t>
      </w:r>
      <w:r>
        <w:rPr>
          <w:rFonts w:hint="eastAsia" w:ascii="宋体" w:hAnsi="宋体" w:eastAsia="宋体" w:cs="宋体"/>
          <w:bCs/>
          <w:color w:val="auto"/>
          <w:kern w:val="0"/>
          <w:sz w:val="24"/>
          <w:szCs w:val="24"/>
          <w:highlight w:val="none"/>
          <w:u w:val="none"/>
        </w:rPr>
        <w:t>学生特异体质、特定疾病或者异常心理状态</w:t>
      </w:r>
      <w:r>
        <w:rPr>
          <w:rFonts w:hint="eastAsia" w:ascii="宋体" w:hAnsi="宋体" w:eastAsia="宋体" w:cs="宋体"/>
          <w:b w:val="0"/>
          <w:bCs/>
          <w:i w:val="0"/>
          <w:caps w:val="0"/>
          <w:color w:val="auto"/>
          <w:spacing w:val="0"/>
          <w:kern w:val="0"/>
          <w:sz w:val="24"/>
          <w:szCs w:val="24"/>
          <w:highlight w:val="none"/>
          <w:u w:val="none"/>
          <w:shd w:val="clear" w:color="auto" w:fill="auto"/>
        </w:rPr>
        <w:t>，</w:t>
      </w:r>
      <w:r>
        <w:rPr>
          <w:rFonts w:hint="eastAsia" w:ascii="宋体" w:hAnsi="宋体" w:eastAsia="宋体" w:cs="宋体"/>
          <w:bCs/>
          <w:color w:val="auto"/>
          <w:kern w:val="0"/>
          <w:sz w:val="24"/>
          <w:szCs w:val="24"/>
          <w:highlight w:val="none"/>
          <w:u w:val="none"/>
          <w:lang w:val="en-US" w:eastAsia="zh-CN" w:bidi="ar-SA"/>
        </w:rPr>
        <w:t>被保险人</w:t>
      </w:r>
      <w:r>
        <w:rPr>
          <w:rFonts w:hint="eastAsia" w:ascii="宋体" w:hAnsi="宋体" w:eastAsia="宋体" w:cs="宋体"/>
          <w:b w:val="0"/>
          <w:bCs/>
          <w:i w:val="0"/>
          <w:caps w:val="0"/>
          <w:color w:val="auto"/>
          <w:spacing w:val="0"/>
          <w:kern w:val="0"/>
          <w:sz w:val="24"/>
          <w:szCs w:val="24"/>
          <w:highlight w:val="none"/>
          <w:u w:val="none"/>
          <w:shd w:val="clear" w:color="auto" w:fill="auto"/>
        </w:rPr>
        <w:t>不知道或者难于知道的</w:t>
      </w:r>
      <w:r>
        <w:rPr>
          <w:rFonts w:hint="eastAsia" w:ascii="宋体" w:hAnsi="宋体" w:eastAsia="宋体" w:cs="宋体"/>
          <w:bCs/>
          <w:color w:val="auto"/>
          <w:kern w:val="0"/>
          <w:sz w:val="24"/>
          <w:szCs w:val="24"/>
          <w:highlight w:val="none"/>
          <w:u w:val="none"/>
          <w:lang w:val="en-US" w:eastAsia="zh-CN" w:bidi="ar-SA"/>
        </w:rPr>
        <w:t>；</w:t>
      </w:r>
    </w:p>
    <w:p w14:paraId="6C3789EA">
      <w:pPr>
        <w:keepNext w:val="0"/>
        <w:keepLines w:val="0"/>
        <w:pageBreakBefore w:val="0"/>
        <w:widowControl w:val="0"/>
        <w:suppressLineNumbers w:val="0"/>
        <w:tabs>
          <w:tab w:val="left" w:pos="2177"/>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bCs/>
          <w:color w:val="auto"/>
          <w:kern w:val="0"/>
          <w:sz w:val="24"/>
          <w:szCs w:val="24"/>
          <w:highlight w:val="none"/>
          <w:u w:val="none"/>
          <w:lang w:val="en-US" w:eastAsia="zh-CN" w:bidi="ar-SA"/>
        </w:rPr>
      </w:pPr>
      <w:r>
        <w:rPr>
          <w:rFonts w:hint="eastAsia" w:ascii="宋体" w:hAnsi="宋体" w:eastAsia="宋体" w:cs="宋体"/>
          <w:bCs/>
          <w:color w:val="auto"/>
          <w:kern w:val="0"/>
          <w:sz w:val="24"/>
          <w:szCs w:val="24"/>
          <w:highlight w:val="none"/>
          <w:u w:val="none"/>
          <w:lang w:val="en-US" w:eastAsia="zh-CN" w:bidi="ar-SA"/>
        </w:rPr>
        <w:t>（五）学生自杀、自伤；</w:t>
      </w:r>
    </w:p>
    <w:p w14:paraId="44FF2E78">
      <w:pPr>
        <w:keepNext w:val="0"/>
        <w:keepLines w:val="0"/>
        <w:pageBreakBefore w:val="0"/>
        <w:widowControl w:val="0"/>
        <w:tabs>
          <w:tab w:val="left" w:pos="2177"/>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bCs/>
          <w:color w:val="auto"/>
          <w:kern w:val="0"/>
          <w:sz w:val="24"/>
          <w:szCs w:val="24"/>
          <w:highlight w:val="none"/>
          <w:u w:val="none"/>
          <w:lang w:val="en-US" w:eastAsia="zh-CN"/>
        </w:rPr>
      </w:pPr>
      <w:r>
        <w:rPr>
          <w:rFonts w:hint="eastAsia" w:ascii="宋体" w:hAnsi="宋体" w:eastAsia="宋体" w:cs="宋体"/>
          <w:bCs/>
          <w:color w:val="auto"/>
          <w:kern w:val="0"/>
          <w:sz w:val="24"/>
          <w:szCs w:val="24"/>
          <w:highlight w:val="none"/>
          <w:u w:val="none"/>
          <w:lang w:val="en-US" w:eastAsia="zh-CN"/>
        </w:rPr>
        <w:t>（六）</w:t>
      </w:r>
      <w:r>
        <w:rPr>
          <w:rFonts w:hint="eastAsia" w:ascii="宋体" w:hAnsi="宋体" w:eastAsia="宋体" w:cs="宋体"/>
          <w:bCs/>
          <w:color w:val="auto"/>
          <w:sz w:val="24"/>
          <w:szCs w:val="24"/>
          <w:highlight w:val="none"/>
          <w:u w:val="none"/>
          <w:lang w:val="en-US" w:eastAsia="zh-CN"/>
        </w:rPr>
        <w:t>学生遭受第三者性侵害</w:t>
      </w:r>
      <w:r>
        <w:rPr>
          <w:rFonts w:hint="eastAsia" w:ascii="宋体" w:hAnsi="宋体" w:eastAsia="宋体" w:cs="宋体"/>
          <w:b w:val="0"/>
          <w:bCs/>
          <w:i w:val="0"/>
          <w:caps w:val="0"/>
          <w:color w:val="auto"/>
          <w:spacing w:val="0"/>
          <w:sz w:val="24"/>
          <w:szCs w:val="24"/>
          <w:highlight w:val="none"/>
          <w:u w:val="none"/>
          <w:shd w:val="clear" w:color="auto" w:fill="FFFFFF"/>
          <w:lang w:eastAsia="zh-CN"/>
        </w:rPr>
        <w:t>；</w:t>
      </w:r>
    </w:p>
    <w:p w14:paraId="75267835">
      <w:pPr>
        <w:keepNext w:val="0"/>
        <w:keepLines w:val="0"/>
        <w:pageBreakBefore w:val="0"/>
        <w:widowControl w:val="0"/>
        <w:tabs>
          <w:tab w:val="left" w:pos="2177"/>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bCs/>
          <w:color w:val="auto"/>
          <w:kern w:val="0"/>
          <w:sz w:val="24"/>
          <w:szCs w:val="24"/>
          <w:highlight w:val="none"/>
        </w:rPr>
      </w:pPr>
      <w:r>
        <w:rPr>
          <w:rFonts w:hint="eastAsia" w:ascii="宋体" w:hAnsi="宋体" w:eastAsia="宋体" w:cs="宋体"/>
          <w:b w:val="0"/>
          <w:bCs/>
          <w:i w:val="0"/>
          <w:caps w:val="0"/>
          <w:color w:val="auto"/>
          <w:spacing w:val="0"/>
          <w:kern w:val="0"/>
          <w:sz w:val="24"/>
          <w:szCs w:val="24"/>
          <w:highlight w:val="none"/>
          <w:lang w:val="en-US" w:eastAsia="zh-CN" w:bidi="ar-SA"/>
        </w:rPr>
        <w:t>（七）学生行为具有危险性，</w:t>
      </w:r>
      <w:r>
        <w:rPr>
          <w:rFonts w:hint="eastAsia" w:ascii="宋体" w:hAnsi="宋体" w:eastAsia="宋体" w:cs="宋体"/>
          <w:bCs/>
          <w:color w:val="auto"/>
          <w:kern w:val="0"/>
          <w:sz w:val="24"/>
          <w:szCs w:val="24"/>
          <w:highlight w:val="none"/>
          <w:lang w:val="en-US" w:eastAsia="zh-CN" w:bidi="ar-SA"/>
        </w:rPr>
        <w:t>被保险人</w:t>
      </w:r>
      <w:r>
        <w:rPr>
          <w:rFonts w:hint="eastAsia" w:ascii="宋体" w:hAnsi="宋体" w:eastAsia="宋体" w:cs="宋体"/>
          <w:b w:val="0"/>
          <w:bCs/>
          <w:i w:val="0"/>
          <w:caps w:val="0"/>
          <w:color w:val="auto"/>
          <w:spacing w:val="0"/>
          <w:kern w:val="0"/>
          <w:sz w:val="24"/>
          <w:szCs w:val="24"/>
          <w:highlight w:val="none"/>
          <w:lang w:val="en-US" w:eastAsia="zh-CN" w:bidi="ar-SA"/>
        </w:rPr>
        <w:t>已尽告诫、制止等义务但学生拒不改正后发生的意外事故；</w:t>
      </w:r>
    </w:p>
    <w:p w14:paraId="4562A530">
      <w:pPr>
        <w:keepNext w:val="0"/>
        <w:keepLines w:val="0"/>
        <w:pageBreakBefore w:val="0"/>
        <w:widowControl w:val="0"/>
        <w:tabs>
          <w:tab w:val="left" w:pos="2177"/>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w:t>
      </w:r>
      <w:r>
        <w:rPr>
          <w:rFonts w:hint="eastAsia" w:ascii="宋体" w:hAnsi="宋体" w:eastAsia="宋体" w:cs="宋体"/>
          <w:bCs/>
          <w:color w:val="auto"/>
          <w:kern w:val="0"/>
          <w:sz w:val="24"/>
          <w:szCs w:val="24"/>
          <w:highlight w:val="none"/>
          <w:lang w:val="en-US" w:eastAsia="zh-CN"/>
        </w:rPr>
        <w:t>八</w:t>
      </w:r>
      <w:r>
        <w:rPr>
          <w:rFonts w:hint="eastAsia" w:ascii="宋体" w:hAnsi="宋体" w:eastAsia="宋体" w:cs="宋体"/>
          <w:bCs/>
          <w:color w:val="auto"/>
          <w:kern w:val="0"/>
          <w:sz w:val="24"/>
          <w:szCs w:val="24"/>
          <w:highlight w:val="none"/>
        </w:rPr>
        <w:t>）放学后、节假日或者假期等被保险人工作时间以外，学生自行滞留学校或者自行到校</w:t>
      </w:r>
      <w:r>
        <w:rPr>
          <w:rFonts w:hint="eastAsia" w:ascii="宋体" w:hAnsi="宋体" w:eastAsia="宋体" w:cs="宋体"/>
          <w:bCs/>
          <w:color w:val="auto"/>
          <w:kern w:val="0"/>
          <w:sz w:val="24"/>
          <w:szCs w:val="24"/>
          <w:highlight w:val="none"/>
          <w:lang w:val="en-US" w:eastAsia="zh-CN"/>
        </w:rPr>
        <w:t>期间发生的意外事故</w:t>
      </w:r>
      <w:r>
        <w:rPr>
          <w:rFonts w:hint="eastAsia" w:ascii="宋体" w:hAnsi="宋体" w:eastAsia="宋体" w:cs="宋体"/>
          <w:bCs/>
          <w:color w:val="auto"/>
          <w:kern w:val="0"/>
          <w:sz w:val="24"/>
          <w:szCs w:val="24"/>
          <w:highlight w:val="none"/>
        </w:rPr>
        <w:t>；</w:t>
      </w:r>
    </w:p>
    <w:p w14:paraId="783B7289">
      <w:pPr>
        <w:keepNext w:val="0"/>
        <w:keepLines w:val="0"/>
        <w:pageBreakBefore w:val="0"/>
        <w:widowControl w:val="0"/>
        <w:tabs>
          <w:tab w:val="left" w:pos="2177"/>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lang w:val="en-US" w:eastAsia="zh-CN"/>
        </w:rPr>
        <w:t>九</w:t>
      </w:r>
      <w:r>
        <w:rPr>
          <w:rFonts w:hint="eastAsia" w:ascii="宋体" w:hAnsi="宋体" w:eastAsia="宋体" w:cs="宋体"/>
          <w:bCs/>
          <w:color w:val="auto"/>
          <w:kern w:val="0"/>
          <w:sz w:val="24"/>
          <w:szCs w:val="24"/>
          <w:highlight w:val="none"/>
          <w:lang w:eastAsia="zh-CN"/>
        </w:rPr>
        <w:t>）首次被诊断为患有重性精神疾病的；</w:t>
      </w:r>
    </w:p>
    <w:p w14:paraId="500C247A">
      <w:pPr>
        <w:keepNext w:val="0"/>
        <w:keepLines w:val="0"/>
        <w:pageBreakBefore w:val="0"/>
        <w:widowControl w:val="0"/>
        <w:suppressLineNumbers w:val="0"/>
        <w:tabs>
          <w:tab w:val="left" w:pos="2177"/>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（十）其他意外因素造成的。</w:t>
      </w:r>
    </w:p>
    <w:p w14:paraId="5061A688">
      <w:pPr>
        <w:keepNext w:val="0"/>
        <w:keepLines w:val="0"/>
        <w:pageBreakBefore w:val="0"/>
        <w:widowControl w:val="0"/>
        <w:tabs>
          <w:tab w:val="left" w:pos="2177"/>
        </w:tabs>
        <w:kinsoku/>
        <w:wordWrap/>
        <w:overflowPunct/>
        <w:topLinePunct w:val="0"/>
        <w:autoSpaceDE/>
        <w:autoSpaceDN/>
        <w:bidi w:val="0"/>
        <w:adjustRightInd/>
        <w:snapToGrid/>
        <w:spacing w:line="360" w:lineRule="auto"/>
        <w:ind w:left="0" w:leftChars="0" w:right="0" w:rightChars="0" w:firstLine="482"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kern w:val="2"/>
          <w:sz w:val="24"/>
          <w:szCs w:val="24"/>
          <w:highlight w:val="none"/>
        </w:rPr>
        <w:t>第</w:t>
      </w:r>
      <w:r>
        <w:rPr>
          <w:rFonts w:hint="eastAsia" w:ascii="宋体" w:hAnsi="宋体" w:eastAsia="宋体" w:cs="宋体"/>
          <w:b/>
          <w:bCs/>
          <w:color w:val="auto"/>
          <w:kern w:val="2"/>
          <w:sz w:val="24"/>
          <w:szCs w:val="24"/>
          <w:highlight w:val="none"/>
          <w:lang w:val="en-US" w:eastAsia="zh-CN"/>
        </w:rPr>
        <w:t>四</w:t>
      </w:r>
      <w:r>
        <w:rPr>
          <w:rFonts w:hint="eastAsia" w:ascii="宋体" w:hAnsi="宋体" w:eastAsia="宋体" w:cs="宋体"/>
          <w:b/>
          <w:bCs/>
          <w:color w:val="auto"/>
          <w:sz w:val="24"/>
          <w:szCs w:val="24"/>
          <w:highlight w:val="none"/>
        </w:rPr>
        <w:t>条</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Cs/>
          <w:color w:val="auto"/>
          <w:sz w:val="24"/>
          <w:szCs w:val="24"/>
          <w:highlight w:val="none"/>
        </w:rPr>
        <w:t>在保险期间内，在</w:t>
      </w:r>
      <w:r>
        <w:rPr>
          <w:rFonts w:hint="eastAsia" w:ascii="宋体" w:hAnsi="宋体" w:eastAsia="宋体" w:cs="宋体"/>
          <w:bCs/>
          <w:color w:val="auto"/>
          <w:sz w:val="24"/>
          <w:szCs w:val="24"/>
          <w:highlight w:val="none"/>
          <w:lang w:eastAsia="zh-CN"/>
        </w:rPr>
        <w:t>被保险人</w:t>
      </w:r>
      <w:r>
        <w:rPr>
          <w:rFonts w:hint="eastAsia" w:ascii="宋体" w:hAnsi="宋体" w:eastAsia="宋体" w:cs="宋体"/>
          <w:bCs/>
          <w:color w:val="auto"/>
          <w:sz w:val="24"/>
          <w:szCs w:val="24"/>
          <w:highlight w:val="none"/>
        </w:rPr>
        <w:t>管理范围</w:t>
      </w:r>
      <w:r>
        <w:rPr>
          <w:rFonts w:hint="eastAsia" w:ascii="宋体" w:hAnsi="宋体" w:eastAsia="宋体" w:cs="宋体"/>
          <w:bCs/>
          <w:color w:val="auto"/>
          <w:sz w:val="24"/>
          <w:szCs w:val="24"/>
          <w:highlight w:val="none"/>
          <w:lang w:val="en-US" w:eastAsia="zh-CN"/>
        </w:rPr>
        <w:t>外</w:t>
      </w:r>
      <w:r>
        <w:rPr>
          <w:rFonts w:hint="eastAsia" w:ascii="宋体" w:hAnsi="宋体" w:eastAsia="宋体" w:cs="宋体"/>
          <w:bCs/>
          <w:color w:val="auto"/>
          <w:sz w:val="24"/>
          <w:szCs w:val="24"/>
          <w:highlight w:val="none"/>
        </w:rPr>
        <w:t>发生下列情形导致学生</w:t>
      </w:r>
      <w:r>
        <w:rPr>
          <w:rFonts w:hint="eastAsia" w:ascii="宋体" w:hAnsi="宋体" w:eastAsia="宋体" w:cs="宋体"/>
          <w:bCs/>
          <w:color w:val="auto"/>
          <w:sz w:val="24"/>
          <w:szCs w:val="24"/>
          <w:highlight w:val="none"/>
          <w:lang w:val="en-US" w:eastAsia="zh-CN"/>
        </w:rPr>
        <w:t>遭受</w:t>
      </w:r>
      <w:r>
        <w:rPr>
          <w:rFonts w:hint="eastAsia" w:ascii="宋体" w:hAnsi="宋体" w:eastAsia="宋体" w:cs="宋体"/>
          <w:bCs/>
          <w:color w:val="auto"/>
          <w:sz w:val="24"/>
          <w:szCs w:val="24"/>
          <w:highlight w:val="none"/>
          <w:lang w:eastAsia="zh-CN"/>
        </w:rPr>
        <w:t>人身损害</w:t>
      </w:r>
      <w:r>
        <w:rPr>
          <w:rFonts w:hint="eastAsia" w:ascii="宋体" w:hAnsi="宋体" w:eastAsia="宋体" w:cs="宋体"/>
          <w:bCs/>
          <w:color w:val="auto"/>
          <w:sz w:val="24"/>
          <w:szCs w:val="24"/>
          <w:highlight w:val="none"/>
        </w:rPr>
        <w:t>，尽管被保险人已履行相应职责，行为并无不当，但</w:t>
      </w:r>
      <w:r>
        <w:rPr>
          <w:rFonts w:hint="eastAsia" w:ascii="宋体" w:hAnsi="宋体" w:eastAsia="宋体" w:cs="宋体"/>
          <w:bCs/>
          <w:color w:val="auto"/>
          <w:sz w:val="24"/>
          <w:szCs w:val="24"/>
          <w:highlight w:val="none"/>
          <w:lang w:val="en-US" w:eastAsia="zh-CN"/>
        </w:rPr>
        <w:t>经</w:t>
      </w:r>
      <w:r>
        <w:rPr>
          <w:rFonts w:hint="eastAsia" w:ascii="宋体" w:hAnsi="宋体" w:eastAsia="宋体" w:cs="宋体"/>
          <w:bCs/>
          <w:color w:val="auto"/>
          <w:kern w:val="0"/>
          <w:sz w:val="24"/>
          <w:szCs w:val="24"/>
          <w:highlight w:val="none"/>
          <w:lang w:val="en-US" w:eastAsia="zh-CN" w:bidi="ar-SA"/>
        </w:rPr>
        <w:t>法院判决、调解或仲裁机构裁决</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调解</w:t>
      </w:r>
      <w:r>
        <w:rPr>
          <w:rFonts w:hint="eastAsia" w:ascii="宋体" w:hAnsi="宋体" w:eastAsia="宋体" w:cs="宋体"/>
          <w:bCs/>
          <w:color w:val="auto"/>
          <w:kern w:val="2"/>
          <w:sz w:val="24"/>
          <w:szCs w:val="24"/>
          <w:highlight w:val="none"/>
          <w:lang w:val="en-US" w:eastAsia="zh-CN" w:bidi="ar-SA"/>
        </w:rPr>
        <w:t>或</w:t>
      </w:r>
      <w:r>
        <w:rPr>
          <w:rFonts w:hint="eastAsia" w:ascii="宋体" w:hAnsi="宋体" w:eastAsia="宋体" w:cs="宋体"/>
          <w:bCs/>
          <w:color w:val="auto"/>
          <w:sz w:val="24"/>
          <w:szCs w:val="24"/>
          <w:highlight w:val="none"/>
          <w:lang w:val="en-US" w:eastAsia="zh-CN"/>
        </w:rPr>
        <w:t>保险人认可的赔偿处理机构决定</w:t>
      </w:r>
      <w:r>
        <w:rPr>
          <w:rFonts w:hint="eastAsia" w:ascii="宋体" w:hAnsi="宋体" w:eastAsia="宋体" w:cs="宋体"/>
          <w:bCs/>
          <w:color w:val="auto"/>
          <w:kern w:val="0"/>
          <w:sz w:val="24"/>
          <w:szCs w:val="24"/>
          <w:highlight w:val="none"/>
          <w:lang w:val="en-US" w:eastAsia="zh-CN" w:bidi="ar-SA"/>
        </w:rPr>
        <w:t>被保险人需对受伤害学生给予经济补偿或</w:t>
      </w:r>
      <w:r>
        <w:rPr>
          <w:rFonts w:hint="eastAsia" w:ascii="宋体" w:hAnsi="宋体" w:eastAsia="宋体" w:cs="宋体"/>
          <w:bCs/>
          <w:color w:val="auto"/>
          <w:sz w:val="24"/>
          <w:szCs w:val="24"/>
          <w:highlight w:val="none"/>
        </w:rPr>
        <w:t>被保险人依法根据实际情况对学生给予经济补偿</w:t>
      </w:r>
      <w:r>
        <w:rPr>
          <w:rFonts w:hint="eastAsia" w:ascii="宋体" w:hAnsi="宋体" w:eastAsia="宋体" w:cs="宋体"/>
          <w:bCs/>
          <w:color w:val="auto"/>
          <w:sz w:val="24"/>
          <w:szCs w:val="24"/>
          <w:highlight w:val="none"/>
          <w:lang w:val="en-US" w:eastAsia="zh-CN"/>
        </w:rPr>
        <w:t>时</w:t>
      </w:r>
      <w:r>
        <w:rPr>
          <w:rFonts w:hint="eastAsia" w:ascii="宋体" w:hAnsi="宋体" w:eastAsia="宋体" w:cs="宋体"/>
          <w:bCs/>
          <w:color w:val="auto"/>
          <w:sz w:val="24"/>
          <w:szCs w:val="24"/>
          <w:highlight w:val="none"/>
        </w:rPr>
        <w:t>，保险人依照本保险合同约定负责赔偿</w:t>
      </w:r>
      <w:r>
        <w:rPr>
          <w:rFonts w:hint="eastAsia" w:ascii="宋体" w:hAnsi="宋体" w:eastAsia="宋体" w:cs="宋体"/>
          <w:bCs/>
          <w:color w:val="auto"/>
          <w:sz w:val="24"/>
          <w:szCs w:val="24"/>
          <w:highlight w:val="none"/>
          <w:lang w:eastAsia="zh-CN"/>
        </w:rPr>
        <w:t>：</w:t>
      </w:r>
    </w:p>
    <w:p w14:paraId="6D21E7AA">
      <w:pPr>
        <w:keepNext w:val="0"/>
        <w:keepLines w:val="0"/>
        <w:pageBreakBefore w:val="0"/>
        <w:widowControl w:val="0"/>
        <w:tabs>
          <w:tab w:val="left" w:pos="2177"/>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bidi="ar-SA"/>
        </w:rPr>
        <w:t>（一）</w:t>
      </w:r>
      <w:r>
        <w:rPr>
          <w:rFonts w:hint="eastAsia" w:ascii="宋体" w:hAnsi="宋体" w:eastAsia="宋体" w:cs="宋体"/>
          <w:bCs/>
          <w:color w:val="auto"/>
          <w:kern w:val="0"/>
          <w:sz w:val="24"/>
          <w:szCs w:val="24"/>
          <w:highlight w:val="none"/>
        </w:rPr>
        <w:t>学生在</w:t>
      </w:r>
      <w:r>
        <w:rPr>
          <w:rFonts w:hint="eastAsia" w:ascii="宋体" w:hAnsi="宋体" w:eastAsia="宋体" w:cs="宋体"/>
          <w:bCs/>
          <w:color w:val="auto"/>
          <w:kern w:val="0"/>
          <w:sz w:val="24"/>
          <w:szCs w:val="24"/>
          <w:highlight w:val="none"/>
          <w:lang w:val="en-US" w:eastAsia="zh-CN"/>
        </w:rPr>
        <w:t>被保险人学校</w:t>
      </w:r>
      <w:r>
        <w:rPr>
          <w:rFonts w:hint="eastAsia" w:ascii="宋体" w:hAnsi="宋体" w:eastAsia="宋体" w:cs="宋体"/>
          <w:bCs/>
          <w:color w:val="auto"/>
          <w:kern w:val="0"/>
          <w:sz w:val="24"/>
          <w:szCs w:val="24"/>
          <w:highlight w:val="none"/>
          <w:lang w:eastAsia="zh-CN"/>
        </w:rPr>
        <w:t>周边</w:t>
      </w:r>
      <w:r>
        <w:rPr>
          <w:rFonts w:hint="eastAsia" w:ascii="宋体" w:hAnsi="宋体" w:eastAsia="宋体" w:cs="宋体"/>
          <w:bCs/>
          <w:color w:val="auto"/>
          <w:kern w:val="0"/>
          <w:sz w:val="24"/>
          <w:szCs w:val="24"/>
          <w:highlight w:val="none"/>
          <w:lang w:val="en-US" w:eastAsia="zh-CN"/>
        </w:rPr>
        <w:t>100米范围内发生意外事故或遭受暴力伤害的；</w:t>
      </w:r>
    </w:p>
    <w:p w14:paraId="2AC311CA">
      <w:pPr>
        <w:keepNext w:val="0"/>
        <w:keepLines w:val="0"/>
        <w:pageBreakBefore w:val="0"/>
        <w:widowControl w:val="0"/>
        <w:tabs>
          <w:tab w:val="left" w:pos="2177"/>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（二）学生自行上学、放学、返校、离校途中发生的交通事故；</w:t>
      </w:r>
    </w:p>
    <w:p w14:paraId="02AD95C1">
      <w:pPr>
        <w:keepNext w:val="0"/>
        <w:keepLines w:val="0"/>
        <w:pageBreakBefore w:val="0"/>
        <w:widowControl w:val="0"/>
        <w:tabs>
          <w:tab w:val="left" w:pos="2177"/>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（三）学生自行上学、放学、返校、离校途中溺水死亡。</w:t>
      </w:r>
    </w:p>
    <w:p w14:paraId="75234F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责任限额与免赔额</w:t>
      </w:r>
    </w:p>
    <w:p w14:paraId="039F7D8D">
      <w:pPr>
        <w:spacing w:line="360" w:lineRule="auto"/>
        <w:ind w:firstLine="482" w:firstLineChars="200"/>
        <w:jc w:val="lef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 xml:space="preserve">条 </w:t>
      </w:r>
      <w:r>
        <w:rPr>
          <w:rFonts w:hint="eastAsia" w:ascii="宋体" w:hAnsi="宋体" w:eastAsia="宋体" w:cs="宋体"/>
          <w:b w:val="0"/>
          <w:bCs w:val="0"/>
          <w:color w:val="auto"/>
          <w:kern w:val="0"/>
          <w:sz w:val="24"/>
          <w:szCs w:val="24"/>
          <w:highlight w:val="none"/>
        </w:rPr>
        <w:t>本</w:t>
      </w:r>
      <w:r>
        <w:rPr>
          <w:rFonts w:hint="eastAsia" w:ascii="宋体" w:hAnsi="宋体" w:eastAsia="宋体" w:cs="宋体"/>
          <w:b w:val="0"/>
          <w:bCs w:val="0"/>
          <w:color w:val="auto"/>
          <w:kern w:val="0"/>
          <w:sz w:val="24"/>
          <w:szCs w:val="24"/>
          <w:highlight w:val="none"/>
          <w:lang w:val="en-US" w:eastAsia="zh-CN"/>
        </w:rPr>
        <w:t>附加</w:t>
      </w:r>
      <w:r>
        <w:rPr>
          <w:rFonts w:hint="eastAsia" w:ascii="宋体" w:hAnsi="宋体" w:eastAsia="宋体" w:cs="宋体"/>
          <w:b w:val="0"/>
          <w:bCs w:val="0"/>
          <w:color w:val="auto"/>
          <w:kern w:val="0"/>
          <w:sz w:val="24"/>
          <w:szCs w:val="24"/>
          <w:highlight w:val="none"/>
        </w:rPr>
        <w:t>保险合同的责任限额</w:t>
      </w:r>
      <w:r>
        <w:rPr>
          <w:rFonts w:hint="eastAsia" w:ascii="宋体" w:hAnsi="宋体" w:eastAsia="宋体" w:cs="宋体"/>
          <w:bCs/>
          <w:color w:val="auto"/>
          <w:sz w:val="24"/>
          <w:szCs w:val="24"/>
          <w:highlight w:val="none"/>
        </w:rPr>
        <w:t>包括累计责任限额、每次事故责任限额、每次事故每人责任限额、每次事故每人医疗费用责任限额。</w:t>
      </w:r>
    </w:p>
    <w:p w14:paraId="2EF8A59E">
      <w:pPr>
        <w:widowControl w:val="0"/>
        <w:numPr>
          <w:ilvl w:val="0"/>
          <w:numId w:val="0"/>
        </w:numPr>
        <w:wordWrap/>
        <w:adjustRightInd/>
        <w:spacing w:before="0" w:beforeLines="0" w:after="0" w:afterLines="0" w:line="360" w:lineRule="auto"/>
        <w:ind w:left="0" w:leftChars="0" w:right="0" w:firstLine="482" w:firstLineChars="200"/>
        <w:jc w:val="left"/>
        <w:textAlignment w:val="auto"/>
        <w:outlineLvl w:val="9"/>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 xml:space="preserve">第六条 </w:t>
      </w:r>
      <w:r>
        <w:rPr>
          <w:rFonts w:hint="eastAsia" w:ascii="宋体" w:hAnsi="宋体" w:eastAsia="宋体" w:cs="宋体"/>
          <w:b w:val="0"/>
          <w:bCs w:val="0"/>
          <w:color w:val="auto"/>
          <w:kern w:val="2"/>
          <w:sz w:val="24"/>
          <w:szCs w:val="24"/>
          <w:highlight w:val="none"/>
        </w:rPr>
        <w:t>免赔额由投保人与保险人在签订保险合</w:t>
      </w:r>
      <w:r>
        <w:rPr>
          <w:rFonts w:hint="eastAsia" w:ascii="宋体" w:hAnsi="宋体" w:eastAsia="宋体" w:cs="宋体"/>
          <w:b w:val="0"/>
          <w:bCs w:val="0"/>
          <w:color w:val="auto"/>
          <w:kern w:val="2"/>
          <w:sz w:val="24"/>
          <w:szCs w:val="24"/>
          <w:highlight w:val="none"/>
          <w:lang w:val="en-US" w:eastAsia="zh-CN"/>
        </w:rPr>
        <w:t>协商</w:t>
      </w:r>
      <w:r>
        <w:rPr>
          <w:rFonts w:hint="eastAsia" w:ascii="宋体" w:hAnsi="宋体" w:eastAsia="宋体" w:cs="宋体"/>
          <w:b w:val="0"/>
          <w:bCs w:val="0"/>
          <w:color w:val="auto"/>
          <w:kern w:val="2"/>
          <w:sz w:val="24"/>
          <w:szCs w:val="24"/>
          <w:highlight w:val="none"/>
        </w:rPr>
        <w:t>确定，并在保险单中载明。</w:t>
      </w:r>
    </w:p>
    <w:p w14:paraId="31C75EB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赔偿处理</w:t>
      </w:r>
    </w:p>
    <w:p w14:paraId="45CC6421">
      <w:pPr>
        <w:widowControl w:val="0"/>
        <w:numPr>
          <w:ilvl w:val="0"/>
          <w:numId w:val="0"/>
        </w:numPr>
        <w:wordWrap/>
        <w:adjustRightInd/>
        <w:spacing w:before="0" w:beforeLines="0" w:after="0" w:afterLines="0" w:line="360" w:lineRule="auto"/>
        <w:ind w:left="0" w:leftChars="0" w:right="0" w:firstLine="482" w:firstLineChars="200"/>
        <w:jc w:val="left"/>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条</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Cs/>
          <w:color w:val="auto"/>
          <w:sz w:val="24"/>
          <w:szCs w:val="24"/>
          <w:highlight w:val="none"/>
          <w:lang w:val="en-US" w:eastAsia="zh-CN"/>
        </w:rPr>
        <w:t>发生本附加保险条款第三条第五款的事故，保险人对</w:t>
      </w:r>
      <w:r>
        <w:rPr>
          <w:rFonts w:hint="eastAsia" w:ascii="宋体" w:hAnsi="宋体" w:eastAsia="宋体" w:cs="宋体"/>
          <w:bCs/>
          <w:color w:val="auto"/>
          <w:sz w:val="24"/>
          <w:szCs w:val="24"/>
          <w:highlight w:val="none"/>
        </w:rPr>
        <w:t>每次事故每</w:t>
      </w:r>
      <w:r>
        <w:rPr>
          <w:rFonts w:hint="eastAsia" w:ascii="宋体" w:hAnsi="宋体" w:eastAsia="宋体" w:cs="宋体"/>
          <w:bCs/>
          <w:color w:val="auto"/>
          <w:sz w:val="24"/>
          <w:szCs w:val="24"/>
          <w:highlight w:val="none"/>
          <w:lang w:val="en-US" w:eastAsia="zh-CN"/>
        </w:rPr>
        <w:t>名学生</w:t>
      </w:r>
      <w:r>
        <w:rPr>
          <w:rFonts w:hint="eastAsia" w:ascii="宋体" w:hAnsi="宋体" w:eastAsia="宋体" w:cs="宋体"/>
          <w:bCs/>
          <w:color w:val="auto"/>
          <w:sz w:val="24"/>
          <w:szCs w:val="24"/>
          <w:highlight w:val="none"/>
        </w:rPr>
        <w:t>的赔偿金额总和</w:t>
      </w:r>
      <w:r>
        <w:rPr>
          <w:rFonts w:hint="eastAsia" w:ascii="宋体" w:hAnsi="宋体" w:eastAsia="宋体" w:cs="宋体"/>
          <w:bCs/>
          <w:color w:val="auto"/>
          <w:sz w:val="24"/>
          <w:szCs w:val="24"/>
          <w:highlight w:val="none"/>
          <w:lang w:val="en-US" w:eastAsia="zh-CN"/>
        </w:rPr>
        <w:t>不超过</w:t>
      </w:r>
      <w:r>
        <w:rPr>
          <w:rFonts w:hint="eastAsia" w:ascii="宋体" w:hAnsi="宋体" w:eastAsia="宋体" w:cs="宋体"/>
          <w:bCs/>
          <w:color w:val="auto"/>
          <w:sz w:val="24"/>
          <w:szCs w:val="24"/>
          <w:highlight w:val="none"/>
        </w:rPr>
        <w:t>每次事故每人责任限额</w:t>
      </w:r>
      <w:r>
        <w:rPr>
          <w:rFonts w:hint="eastAsia" w:ascii="宋体" w:hAnsi="宋体" w:eastAsia="宋体" w:cs="宋体"/>
          <w:bCs/>
          <w:color w:val="auto"/>
          <w:sz w:val="24"/>
          <w:szCs w:val="24"/>
          <w:highlight w:val="none"/>
          <w:lang w:val="en-US" w:eastAsia="zh-CN"/>
        </w:rPr>
        <w:t>的4</w:t>
      </w:r>
      <w:r>
        <w:rPr>
          <w:rFonts w:hint="eastAsia" w:ascii="宋体" w:hAnsi="宋体" w:eastAsia="宋体" w:cs="宋体"/>
          <w:bCs/>
          <w:color w:val="auto"/>
          <w:sz w:val="24"/>
          <w:szCs w:val="24"/>
          <w:highlight w:val="none"/>
          <w:u w:val="none"/>
          <w:lang w:val="en-US" w:eastAsia="zh-CN"/>
        </w:rPr>
        <w:t>0%。</w:t>
      </w:r>
      <w:r>
        <w:rPr>
          <w:rFonts w:hint="eastAsia" w:ascii="宋体" w:hAnsi="宋体" w:eastAsia="宋体" w:cs="宋体"/>
          <w:bCs/>
          <w:color w:val="auto"/>
          <w:sz w:val="24"/>
          <w:szCs w:val="24"/>
          <w:highlight w:val="none"/>
          <w:lang w:val="en-US" w:eastAsia="zh-CN"/>
        </w:rPr>
        <w:t>发生本附加保险条款第四条第二款及第三款的事故，保险人对</w:t>
      </w:r>
      <w:r>
        <w:rPr>
          <w:rFonts w:hint="eastAsia" w:ascii="宋体" w:hAnsi="宋体" w:eastAsia="宋体" w:cs="宋体"/>
          <w:bCs/>
          <w:color w:val="auto"/>
          <w:sz w:val="24"/>
          <w:szCs w:val="24"/>
          <w:highlight w:val="none"/>
        </w:rPr>
        <w:t>每次事故每</w:t>
      </w:r>
      <w:r>
        <w:rPr>
          <w:rFonts w:hint="eastAsia" w:ascii="宋体" w:hAnsi="宋体" w:eastAsia="宋体" w:cs="宋体"/>
          <w:bCs/>
          <w:color w:val="auto"/>
          <w:sz w:val="24"/>
          <w:szCs w:val="24"/>
          <w:highlight w:val="none"/>
          <w:lang w:val="en-US" w:eastAsia="zh-CN"/>
        </w:rPr>
        <w:t>名学生</w:t>
      </w:r>
      <w:r>
        <w:rPr>
          <w:rFonts w:hint="eastAsia" w:ascii="宋体" w:hAnsi="宋体" w:eastAsia="宋体" w:cs="宋体"/>
          <w:bCs/>
          <w:color w:val="auto"/>
          <w:sz w:val="24"/>
          <w:szCs w:val="24"/>
          <w:highlight w:val="none"/>
        </w:rPr>
        <w:t>的赔偿金额总和</w:t>
      </w:r>
      <w:r>
        <w:rPr>
          <w:rFonts w:hint="eastAsia" w:ascii="宋体" w:hAnsi="宋体" w:eastAsia="宋体" w:cs="宋体"/>
          <w:bCs/>
          <w:color w:val="auto"/>
          <w:sz w:val="24"/>
          <w:szCs w:val="24"/>
          <w:highlight w:val="none"/>
          <w:lang w:val="en-US" w:eastAsia="zh-CN"/>
        </w:rPr>
        <w:t>不超过</w:t>
      </w:r>
      <w:r>
        <w:rPr>
          <w:rFonts w:hint="eastAsia" w:ascii="宋体" w:hAnsi="宋体" w:eastAsia="宋体" w:cs="宋体"/>
          <w:bCs/>
          <w:color w:val="auto"/>
          <w:sz w:val="24"/>
          <w:szCs w:val="24"/>
          <w:highlight w:val="none"/>
        </w:rPr>
        <w:t>每次事故每人责任限额</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u w:val="none"/>
          <w:lang w:val="en-US" w:eastAsia="zh-CN"/>
        </w:rPr>
        <w:t>20%。</w:t>
      </w:r>
    </w:p>
    <w:p w14:paraId="483DA3BC">
      <w:pPr>
        <w:widowControl w:val="0"/>
        <w:numPr>
          <w:ilvl w:val="0"/>
          <w:numId w:val="0"/>
        </w:numPr>
        <w:wordWrap/>
        <w:adjustRightInd/>
        <w:spacing w:before="0" w:beforeLines="0" w:after="0" w:afterLines="0" w:line="360" w:lineRule="auto"/>
        <w:ind w:left="0" w:leftChars="0" w:right="0" w:firstLine="482"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rPr>
        <w:t>第八条</w:t>
      </w:r>
      <w:r>
        <w:rPr>
          <w:rFonts w:hint="eastAsia" w:ascii="宋体" w:hAnsi="宋体" w:eastAsia="宋体" w:cs="宋体"/>
          <w:bCs/>
          <w:color w:val="auto"/>
          <w:sz w:val="24"/>
          <w:szCs w:val="24"/>
          <w:highlight w:val="none"/>
          <w:lang w:val="en-US" w:eastAsia="zh-CN"/>
        </w:rPr>
        <w:t xml:space="preserve"> 除合同另有约定外，</w:t>
      </w:r>
      <w:r>
        <w:rPr>
          <w:rFonts w:hint="eastAsia" w:ascii="宋体" w:hAnsi="宋体" w:eastAsia="宋体" w:cs="宋体"/>
          <w:bCs/>
          <w:color w:val="auto"/>
          <w:sz w:val="24"/>
          <w:szCs w:val="24"/>
          <w:highlight w:val="none"/>
        </w:rPr>
        <w:t>保险人对每次事故每</w:t>
      </w:r>
      <w:r>
        <w:rPr>
          <w:rFonts w:hint="eastAsia" w:ascii="宋体" w:hAnsi="宋体" w:eastAsia="宋体" w:cs="宋体"/>
          <w:bCs/>
          <w:color w:val="auto"/>
          <w:sz w:val="24"/>
          <w:szCs w:val="24"/>
          <w:highlight w:val="none"/>
          <w:lang w:val="en-US" w:eastAsia="zh-CN"/>
        </w:rPr>
        <w:t>名学生</w:t>
      </w:r>
      <w:r>
        <w:rPr>
          <w:rFonts w:hint="eastAsia" w:ascii="宋体" w:hAnsi="宋体" w:eastAsia="宋体" w:cs="宋体"/>
          <w:bCs/>
          <w:color w:val="auto"/>
          <w:sz w:val="24"/>
          <w:szCs w:val="24"/>
          <w:highlight w:val="none"/>
        </w:rPr>
        <w:t>医疗费用赔偿金额在每次事故每人医疗费用责任限额内赔偿。保险人对每次事故每</w:t>
      </w:r>
      <w:r>
        <w:rPr>
          <w:rFonts w:hint="eastAsia" w:ascii="宋体" w:hAnsi="宋体" w:eastAsia="宋体" w:cs="宋体"/>
          <w:bCs/>
          <w:color w:val="auto"/>
          <w:sz w:val="24"/>
          <w:szCs w:val="24"/>
          <w:highlight w:val="none"/>
          <w:lang w:val="en-US" w:eastAsia="zh-CN"/>
        </w:rPr>
        <w:t>名学生</w:t>
      </w:r>
      <w:r>
        <w:rPr>
          <w:rFonts w:hint="eastAsia" w:ascii="宋体" w:hAnsi="宋体" w:eastAsia="宋体" w:cs="宋体"/>
          <w:bCs/>
          <w:color w:val="auto"/>
          <w:sz w:val="24"/>
          <w:szCs w:val="24"/>
          <w:highlight w:val="none"/>
        </w:rPr>
        <w:t>的赔偿金额总和不超过每次事故每人责任限额，且在每次事故责任限额以内计算赔偿。保险人对每次事故各项损失的赔偿金额之和不超过每次事故责任限额。保险人对</w:t>
      </w:r>
      <w:r>
        <w:rPr>
          <w:rFonts w:hint="eastAsia" w:ascii="宋体" w:hAnsi="宋体" w:eastAsia="宋体" w:cs="宋体"/>
          <w:bCs/>
          <w:color w:val="auto"/>
          <w:sz w:val="24"/>
          <w:szCs w:val="24"/>
          <w:highlight w:val="none"/>
          <w:lang w:val="en-US" w:eastAsia="zh-CN"/>
        </w:rPr>
        <w:t>多次</w:t>
      </w:r>
      <w:r>
        <w:rPr>
          <w:rFonts w:hint="eastAsia" w:ascii="宋体" w:hAnsi="宋体" w:eastAsia="宋体" w:cs="宋体"/>
          <w:bCs/>
          <w:color w:val="auto"/>
          <w:sz w:val="24"/>
          <w:szCs w:val="24"/>
          <w:highlight w:val="none"/>
        </w:rPr>
        <w:t>事故各项损失的赔偿金额之和不超过</w:t>
      </w:r>
      <w:r>
        <w:rPr>
          <w:rFonts w:hint="eastAsia" w:ascii="宋体" w:hAnsi="宋体" w:eastAsia="宋体" w:cs="宋体"/>
          <w:bCs/>
          <w:color w:val="auto"/>
          <w:sz w:val="24"/>
          <w:szCs w:val="24"/>
          <w:highlight w:val="none"/>
          <w:lang w:val="en-US" w:eastAsia="zh-CN"/>
        </w:rPr>
        <w:t>累计</w:t>
      </w:r>
      <w:r>
        <w:rPr>
          <w:rFonts w:hint="eastAsia" w:ascii="宋体" w:hAnsi="宋体" w:eastAsia="宋体" w:cs="宋体"/>
          <w:bCs/>
          <w:color w:val="auto"/>
          <w:sz w:val="24"/>
          <w:szCs w:val="24"/>
          <w:highlight w:val="none"/>
        </w:rPr>
        <w:t>责任限额。</w:t>
      </w:r>
    </w:p>
    <w:p w14:paraId="4CA315F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释义</w:t>
      </w:r>
    </w:p>
    <w:p w14:paraId="19B82961">
      <w:pPr>
        <w:spacing w:line="360" w:lineRule="auto"/>
        <w:ind w:firstLine="482" w:firstLineChars="200"/>
        <w:jc w:val="left"/>
        <w:rPr>
          <w:rFonts w:hint="eastAsia" w:ascii="宋体" w:hAnsi="宋体" w:eastAsia="宋体" w:cs="宋体"/>
          <w:bCs/>
          <w:color w:val="auto"/>
          <w:sz w:val="24"/>
          <w:szCs w:val="24"/>
          <w:highlight w:val="none"/>
        </w:rPr>
      </w:pPr>
      <w:r>
        <w:rPr>
          <w:rFonts w:hint="eastAsia" w:ascii="宋体" w:hAnsi="宋体" w:eastAsia="宋体" w:cs="宋体"/>
          <w:b/>
          <w:bCs/>
          <w:color w:val="auto"/>
          <w:kern w:val="0"/>
          <w:sz w:val="24"/>
          <w:szCs w:val="24"/>
          <w:highlight w:val="none"/>
          <w:lang w:val="en-US" w:eastAsia="zh-CN" w:bidi="ar-SA"/>
        </w:rPr>
        <w:t>突发性、偶发性侵害</w:t>
      </w:r>
      <w:r>
        <w:rPr>
          <w:rFonts w:hint="eastAsia" w:ascii="宋体" w:hAnsi="宋体" w:eastAsia="宋体" w:cs="宋体"/>
          <w:b/>
          <w:bCs/>
          <w:color w:val="auto"/>
          <w:sz w:val="24"/>
          <w:szCs w:val="24"/>
          <w:highlight w:val="none"/>
        </w:rPr>
        <w:t>：</w:t>
      </w:r>
      <w:r>
        <w:rPr>
          <w:rFonts w:hint="eastAsia" w:ascii="宋体" w:hAnsi="宋体" w:eastAsia="宋体" w:cs="宋体"/>
          <w:bCs/>
          <w:color w:val="auto"/>
          <w:sz w:val="24"/>
          <w:szCs w:val="24"/>
          <w:highlight w:val="none"/>
        </w:rPr>
        <w:t>来自校外的车辆、外来人员或</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侵害主体在本保险单列明的承保区域范围内实施的突发性、不可预见的伤害事件。</w:t>
      </w:r>
    </w:p>
    <w:p w14:paraId="48E9191A">
      <w:pPr>
        <w:spacing w:line="360" w:lineRule="auto"/>
        <w:ind w:firstLine="482" w:firstLineChars="200"/>
        <w:jc w:val="lef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学生自身原因</w:t>
      </w:r>
      <w:r>
        <w:rPr>
          <w:rFonts w:hint="eastAsia" w:ascii="宋体" w:hAnsi="宋体" w:eastAsia="宋体" w:cs="宋体"/>
          <w:bCs/>
          <w:color w:val="auto"/>
          <w:sz w:val="24"/>
          <w:szCs w:val="24"/>
          <w:highlight w:val="none"/>
        </w:rPr>
        <w:t>：学生由于疏忽大意或过失行为造成自身的人身损害。</w:t>
      </w:r>
    </w:p>
    <w:p w14:paraId="50FCF59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rPr>
      </w:pPr>
    </w:p>
    <w:p w14:paraId="61A631F8">
      <w:pPr>
        <w:pStyle w:val="52"/>
        <w:rPr>
          <w:color w:val="000000" w:themeColor="text1"/>
          <w14:textFill>
            <w14:solidFill>
              <w14:schemeClr w14:val="tx1"/>
            </w14:solidFill>
          </w14:textFill>
        </w:rPr>
        <w:sectPr>
          <w:headerReference r:id="rId6" w:type="default"/>
          <w:footerReference r:id="rId7" w:type="default"/>
          <w:footerReference r:id="rId8" w:type="even"/>
          <w:pgSz w:w="11906" w:h="16838"/>
          <w:pgMar w:top="1440" w:right="1457" w:bottom="1440" w:left="1457" w:header="851" w:footer="992" w:gutter="0"/>
          <w:pgNumType w:fmt="decimal" w:start="1"/>
          <w:cols w:space="720" w:num="1"/>
          <w:docGrid w:linePitch="312" w:charSpace="0"/>
        </w:sectPr>
      </w:pPr>
    </w:p>
    <w:p w14:paraId="31C6F13E">
      <w:pPr>
        <w:pStyle w:val="2"/>
        <w:keepNext w:val="0"/>
        <w:keepLines w:val="0"/>
        <w:pageBreakBefore w:val="0"/>
        <w:widowControl w:val="0"/>
        <w:kinsoku/>
        <w:wordWrap/>
        <w:overflowPunct/>
        <w:topLinePunct w:val="0"/>
        <w:autoSpaceDE/>
        <w:autoSpaceDN/>
        <w:bidi w:val="0"/>
        <w:adjustRightInd/>
        <w:snapToGrid w:val="0"/>
        <w:spacing w:before="0" w:after="0" w:line="360" w:lineRule="auto"/>
        <w:jc w:val="center"/>
        <w:textAlignment w:val="auto"/>
        <w:rPr>
          <w:rFonts w:hint="eastAsia" w:ascii="宋体" w:hAnsi="宋体" w:eastAsia="宋体" w:cs="宋体"/>
          <w:color w:val="000000" w:themeColor="text1"/>
          <w:kern w:val="2"/>
          <w:sz w:val="32"/>
          <w:highlight w:val="none"/>
          <w14:textFill>
            <w14:solidFill>
              <w14:schemeClr w14:val="tx1"/>
            </w14:solidFill>
          </w14:textFill>
        </w:rPr>
      </w:pPr>
      <w:r>
        <w:rPr>
          <w:rFonts w:hint="eastAsia" w:ascii="宋体" w:hAnsi="宋体" w:eastAsia="宋体" w:cs="宋体"/>
          <w:color w:val="000000" w:themeColor="text1"/>
          <w:kern w:val="2"/>
          <w:sz w:val="32"/>
          <w:highlight w:val="none"/>
          <w14:textFill>
            <w14:solidFill>
              <w14:schemeClr w14:val="tx1"/>
            </w14:solidFill>
          </w14:textFill>
        </w:rPr>
        <w:t>山东大学采购商务条款响应一览表</w:t>
      </w:r>
    </w:p>
    <w:tbl>
      <w:tblPr>
        <w:tblStyle w:val="74"/>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585"/>
        <w:gridCol w:w="1933"/>
        <w:gridCol w:w="5763"/>
      </w:tblGrid>
      <w:tr w14:paraId="6F8E55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4" w:type="pct"/>
            <w:tcBorders>
              <w:top w:val="single" w:color="auto" w:sz="4" w:space="0"/>
              <w:left w:val="single" w:color="auto" w:sz="4" w:space="0"/>
              <w:bottom w:val="single" w:color="auto" w:sz="4" w:space="0"/>
              <w:right w:val="single" w:color="auto" w:sz="4" w:space="0"/>
            </w:tcBorders>
            <w:noWrap w:val="0"/>
            <w:vAlign w:val="center"/>
          </w:tcPr>
          <w:p w14:paraId="4A02071E">
            <w:pPr>
              <w:jc w:val="center"/>
              <w:rPr>
                <w:rFonts w:hint="eastAsia" w:ascii="宋体" w:hAnsi="宋体" w:eastAsia="宋体" w:cs="宋体"/>
                <w:b/>
                <w:bCs/>
                <w:sz w:val="24"/>
                <w:szCs w:val="24"/>
              </w:rPr>
            </w:pPr>
            <w:r>
              <w:rPr>
                <w:rFonts w:hint="eastAsia" w:ascii="宋体" w:hAnsi="宋体" w:eastAsia="宋体" w:cs="宋体"/>
                <w:b/>
                <w:bCs/>
                <w:sz w:val="24"/>
                <w:szCs w:val="24"/>
              </w:rPr>
              <w:t>项目序号</w:t>
            </w:r>
          </w:p>
        </w:tc>
        <w:tc>
          <w:tcPr>
            <w:tcW w:w="1041" w:type="pct"/>
            <w:tcBorders>
              <w:top w:val="single" w:color="auto" w:sz="4" w:space="0"/>
              <w:left w:val="single" w:color="auto" w:sz="4" w:space="0"/>
              <w:bottom w:val="single" w:color="auto" w:sz="4" w:space="0"/>
              <w:right w:val="single" w:color="auto" w:sz="4" w:space="0"/>
            </w:tcBorders>
            <w:noWrap w:val="0"/>
            <w:vAlign w:val="center"/>
          </w:tcPr>
          <w:p w14:paraId="296EDA2C">
            <w:pPr>
              <w:jc w:val="center"/>
              <w:rPr>
                <w:rFonts w:hint="eastAsia" w:ascii="宋体" w:hAnsi="宋体" w:eastAsia="宋体" w:cs="宋体"/>
                <w:b/>
                <w:bCs/>
                <w:sz w:val="24"/>
                <w:szCs w:val="24"/>
              </w:rPr>
            </w:pPr>
            <w:r>
              <w:rPr>
                <w:rFonts w:hint="eastAsia" w:ascii="宋体" w:hAnsi="宋体" w:eastAsia="宋体" w:cs="宋体"/>
                <w:b/>
                <w:bCs/>
                <w:sz w:val="24"/>
                <w:szCs w:val="24"/>
              </w:rPr>
              <w:t>项目名称</w:t>
            </w:r>
          </w:p>
        </w:tc>
        <w:tc>
          <w:tcPr>
            <w:tcW w:w="3104" w:type="pct"/>
            <w:tcBorders>
              <w:top w:val="single" w:color="auto" w:sz="4" w:space="0"/>
              <w:left w:val="single" w:color="auto" w:sz="4" w:space="0"/>
              <w:bottom w:val="single" w:color="auto" w:sz="4" w:space="0"/>
              <w:right w:val="single" w:color="auto" w:sz="4" w:space="0"/>
            </w:tcBorders>
            <w:noWrap w:val="0"/>
            <w:vAlign w:val="center"/>
          </w:tcPr>
          <w:p w14:paraId="7494AADE">
            <w:pPr>
              <w:jc w:val="center"/>
              <w:rPr>
                <w:rFonts w:hint="eastAsia" w:ascii="宋体" w:hAnsi="宋体" w:eastAsia="宋体" w:cs="宋体"/>
                <w:b/>
                <w:bCs/>
                <w:sz w:val="24"/>
                <w:szCs w:val="24"/>
              </w:rPr>
            </w:pPr>
            <w:r>
              <w:rPr>
                <w:rFonts w:hint="eastAsia" w:ascii="宋体" w:hAnsi="宋体" w:eastAsia="宋体" w:cs="宋体"/>
                <w:b/>
                <w:bCs/>
                <w:sz w:val="24"/>
                <w:szCs w:val="24"/>
                <w:highlight w:val="none"/>
              </w:rPr>
              <w:t>招标人要求</w:t>
            </w:r>
          </w:p>
        </w:tc>
      </w:tr>
      <w:tr w14:paraId="5B4B1B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4" w:type="pct"/>
            <w:tcBorders>
              <w:top w:val="single" w:color="auto" w:sz="4" w:space="0"/>
              <w:left w:val="single" w:color="auto" w:sz="4" w:space="0"/>
              <w:bottom w:val="single" w:color="auto" w:sz="4" w:space="0"/>
              <w:right w:val="single" w:color="auto" w:sz="4" w:space="0"/>
            </w:tcBorders>
            <w:noWrap w:val="0"/>
            <w:vAlign w:val="center"/>
          </w:tcPr>
          <w:p w14:paraId="4FBA43EC">
            <w:pPr>
              <w:jc w:val="center"/>
              <w:rPr>
                <w:rFonts w:hint="eastAsia" w:ascii="宋体" w:hAnsi="宋体" w:eastAsia="宋体" w:cs="宋体"/>
                <w:b/>
                <w:bCs/>
                <w:sz w:val="24"/>
                <w:szCs w:val="24"/>
              </w:rPr>
            </w:pPr>
            <w:r>
              <w:rPr>
                <w:rFonts w:hint="eastAsia" w:ascii="宋体" w:hAnsi="宋体" w:eastAsia="宋体" w:cs="宋体"/>
                <w:b/>
                <w:bCs/>
                <w:sz w:val="24"/>
                <w:szCs w:val="24"/>
              </w:rPr>
              <w:t>1</w:t>
            </w:r>
          </w:p>
        </w:tc>
        <w:tc>
          <w:tcPr>
            <w:tcW w:w="1041" w:type="pct"/>
            <w:tcBorders>
              <w:top w:val="single" w:color="auto" w:sz="4" w:space="0"/>
              <w:left w:val="single" w:color="auto" w:sz="4" w:space="0"/>
              <w:bottom w:val="single" w:color="auto" w:sz="4" w:space="0"/>
              <w:right w:val="single" w:color="auto" w:sz="4" w:space="0"/>
            </w:tcBorders>
            <w:noWrap w:val="0"/>
            <w:vAlign w:val="center"/>
          </w:tcPr>
          <w:p w14:paraId="21F33BAD">
            <w:pPr>
              <w:jc w:val="center"/>
              <w:rPr>
                <w:rFonts w:hint="eastAsia" w:ascii="宋体" w:hAnsi="宋体" w:eastAsia="宋体" w:cs="宋体"/>
                <w:sz w:val="24"/>
                <w:szCs w:val="24"/>
              </w:rPr>
            </w:pPr>
            <w:r>
              <w:rPr>
                <w:rFonts w:hint="eastAsia" w:ascii="宋体" w:hAnsi="宋体" w:eastAsia="宋体" w:cs="宋体"/>
                <w:sz w:val="24"/>
                <w:szCs w:val="24"/>
                <w:lang w:val="en-US" w:eastAsia="zh-CN"/>
              </w:rPr>
              <w:t>预算金额</w:t>
            </w:r>
          </w:p>
        </w:tc>
        <w:tc>
          <w:tcPr>
            <w:tcW w:w="3104" w:type="pct"/>
            <w:tcBorders>
              <w:top w:val="single" w:color="auto" w:sz="4" w:space="0"/>
              <w:left w:val="single" w:color="auto" w:sz="4" w:space="0"/>
              <w:bottom w:val="single" w:color="auto" w:sz="4" w:space="0"/>
              <w:right w:val="single" w:color="auto" w:sz="4" w:space="0"/>
            </w:tcBorders>
            <w:noWrap w:val="0"/>
            <w:vAlign w:val="center"/>
          </w:tcPr>
          <w:p w14:paraId="678B140B">
            <w:pPr>
              <w:rPr>
                <w:rFonts w:hint="eastAsia" w:ascii="宋体" w:hAnsi="宋体" w:eastAsia="宋体" w:cs="宋体"/>
                <w:sz w:val="24"/>
                <w:szCs w:val="24"/>
              </w:rPr>
            </w:pPr>
            <w:r>
              <w:rPr>
                <w:rFonts w:hint="eastAsia" w:ascii="宋体" w:hAnsi="宋体" w:eastAsia="宋体" w:cs="宋体"/>
                <w:bCs/>
                <w:color w:val="auto"/>
                <w:sz w:val="24"/>
                <w:szCs w:val="24"/>
                <w:lang w:val="en-US" w:eastAsia="zh-CN"/>
              </w:rPr>
              <w:t>人民币：最高限价10元/人/学年</w:t>
            </w:r>
            <w:r>
              <w:rPr>
                <w:rFonts w:hint="eastAsia" w:ascii="宋体" w:hAnsi="宋体" w:eastAsia="宋体" w:cs="宋体"/>
                <w:bCs/>
                <w:color w:val="auto"/>
                <w:sz w:val="24"/>
                <w:szCs w:val="24"/>
              </w:rPr>
              <w:t>。</w:t>
            </w:r>
          </w:p>
        </w:tc>
      </w:tr>
      <w:tr w14:paraId="52D174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4" w:type="pct"/>
            <w:tcBorders>
              <w:top w:val="single" w:color="auto" w:sz="4" w:space="0"/>
              <w:left w:val="single" w:color="auto" w:sz="4" w:space="0"/>
              <w:bottom w:val="single" w:color="auto" w:sz="4" w:space="0"/>
              <w:right w:val="single" w:color="auto" w:sz="4" w:space="0"/>
            </w:tcBorders>
            <w:noWrap w:val="0"/>
            <w:vAlign w:val="center"/>
          </w:tcPr>
          <w:p w14:paraId="048A5B13">
            <w:pPr>
              <w:jc w:val="center"/>
              <w:rPr>
                <w:rFonts w:hint="eastAsia" w:ascii="宋体" w:hAnsi="宋体" w:eastAsia="宋体" w:cs="宋体"/>
                <w:b/>
                <w:bCs/>
                <w:sz w:val="24"/>
                <w:szCs w:val="24"/>
              </w:rPr>
            </w:pPr>
            <w:r>
              <w:rPr>
                <w:rFonts w:hint="eastAsia" w:ascii="宋体" w:hAnsi="宋体" w:eastAsia="宋体" w:cs="宋体"/>
                <w:b/>
                <w:bCs/>
                <w:sz w:val="24"/>
                <w:szCs w:val="24"/>
              </w:rPr>
              <w:t>2</w:t>
            </w:r>
          </w:p>
        </w:tc>
        <w:tc>
          <w:tcPr>
            <w:tcW w:w="1041" w:type="pct"/>
            <w:tcBorders>
              <w:top w:val="single" w:color="auto" w:sz="4" w:space="0"/>
              <w:left w:val="single" w:color="auto" w:sz="4" w:space="0"/>
              <w:bottom w:val="single" w:color="auto" w:sz="4" w:space="0"/>
              <w:right w:val="single" w:color="auto" w:sz="4" w:space="0"/>
            </w:tcBorders>
            <w:noWrap w:val="0"/>
            <w:vAlign w:val="center"/>
          </w:tcPr>
          <w:p w14:paraId="4AA734CD">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服务期</w:t>
            </w:r>
          </w:p>
        </w:tc>
        <w:tc>
          <w:tcPr>
            <w:tcW w:w="3104" w:type="pct"/>
            <w:tcBorders>
              <w:top w:val="single" w:color="auto" w:sz="4" w:space="0"/>
              <w:left w:val="single" w:color="auto" w:sz="4" w:space="0"/>
              <w:bottom w:val="single" w:color="auto" w:sz="4" w:space="0"/>
              <w:right w:val="single" w:color="auto" w:sz="4" w:space="0"/>
            </w:tcBorders>
            <w:noWrap w:val="0"/>
            <w:vAlign w:val="center"/>
          </w:tcPr>
          <w:p w14:paraId="689EB30C">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本项目履行期限三年，服务合同一年一签（采购人在年度预算能保障的前提下，根据成交人服务质量自主决定是否与成交人续签下一年合同）。</w:t>
            </w:r>
          </w:p>
        </w:tc>
      </w:tr>
      <w:tr w14:paraId="30DDF3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4" w:type="pct"/>
            <w:tcBorders>
              <w:top w:val="single" w:color="auto" w:sz="4" w:space="0"/>
              <w:left w:val="single" w:color="auto" w:sz="4" w:space="0"/>
              <w:bottom w:val="single" w:color="auto" w:sz="4" w:space="0"/>
              <w:right w:val="single" w:color="auto" w:sz="4" w:space="0"/>
            </w:tcBorders>
            <w:noWrap w:val="0"/>
            <w:vAlign w:val="center"/>
          </w:tcPr>
          <w:p w14:paraId="32539BC4">
            <w:pPr>
              <w:jc w:val="center"/>
              <w:rPr>
                <w:rFonts w:hint="eastAsia" w:ascii="宋体" w:hAnsi="宋体" w:eastAsia="宋体" w:cs="宋体"/>
                <w:b/>
                <w:bCs/>
                <w:sz w:val="24"/>
                <w:szCs w:val="24"/>
              </w:rPr>
            </w:pPr>
            <w:r>
              <w:rPr>
                <w:rFonts w:hint="eastAsia" w:ascii="宋体" w:hAnsi="宋体" w:eastAsia="宋体" w:cs="宋体"/>
                <w:b/>
                <w:bCs/>
                <w:sz w:val="24"/>
                <w:szCs w:val="24"/>
              </w:rPr>
              <w:t>3</w:t>
            </w:r>
          </w:p>
        </w:tc>
        <w:tc>
          <w:tcPr>
            <w:tcW w:w="1041" w:type="pct"/>
            <w:tcBorders>
              <w:top w:val="single" w:color="auto" w:sz="4" w:space="0"/>
              <w:left w:val="single" w:color="auto" w:sz="4" w:space="0"/>
              <w:bottom w:val="single" w:color="auto" w:sz="4" w:space="0"/>
              <w:right w:val="single" w:color="auto" w:sz="4" w:space="0"/>
            </w:tcBorders>
            <w:noWrap w:val="0"/>
            <w:vAlign w:val="center"/>
          </w:tcPr>
          <w:p w14:paraId="12A646A8">
            <w:pPr>
              <w:jc w:val="center"/>
              <w:rPr>
                <w:rFonts w:hint="eastAsia" w:ascii="宋体" w:hAnsi="宋体" w:eastAsia="宋体" w:cs="宋体"/>
                <w:sz w:val="24"/>
                <w:szCs w:val="24"/>
              </w:rPr>
            </w:pPr>
            <w:r>
              <w:rPr>
                <w:rFonts w:hint="eastAsia" w:ascii="宋体" w:hAnsi="宋体" w:eastAsia="宋体" w:cs="宋体"/>
                <w:sz w:val="24"/>
                <w:szCs w:val="24"/>
              </w:rPr>
              <w:t>付款方式</w:t>
            </w:r>
          </w:p>
        </w:tc>
        <w:tc>
          <w:tcPr>
            <w:tcW w:w="3104" w:type="pct"/>
            <w:tcBorders>
              <w:top w:val="single" w:color="auto" w:sz="4" w:space="0"/>
              <w:left w:val="single" w:color="auto" w:sz="4" w:space="0"/>
              <w:bottom w:val="single" w:color="auto" w:sz="4" w:space="0"/>
              <w:right w:val="single" w:color="auto" w:sz="4" w:space="0"/>
            </w:tcBorders>
            <w:noWrap w:val="0"/>
            <w:vAlign w:val="center"/>
          </w:tcPr>
          <w:p w14:paraId="2F30EBE3">
            <w:pPr>
              <w:rPr>
                <w:rFonts w:hint="eastAsia" w:ascii="宋体" w:hAnsi="宋体" w:eastAsia="宋体" w:cs="宋体"/>
                <w:sz w:val="24"/>
                <w:szCs w:val="24"/>
              </w:rPr>
            </w:pPr>
            <w:r>
              <w:rPr>
                <w:rFonts w:hint="eastAsia" w:ascii="宋体" w:hAnsi="宋体" w:eastAsia="宋体" w:cs="宋体"/>
                <w:b w:val="0"/>
                <w:bCs/>
                <w:color w:val="auto"/>
                <w:kern w:val="2"/>
                <w:sz w:val="24"/>
                <w:szCs w:val="24"/>
              </w:rPr>
              <w:t>每年结算一次，待参保人数确定后付款。</w:t>
            </w:r>
          </w:p>
        </w:tc>
      </w:tr>
      <w:tr w14:paraId="7803C7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4" w:type="pct"/>
            <w:tcBorders>
              <w:top w:val="single" w:color="auto" w:sz="4" w:space="0"/>
              <w:left w:val="single" w:color="auto" w:sz="4" w:space="0"/>
              <w:bottom w:val="single" w:color="auto" w:sz="4" w:space="0"/>
              <w:right w:val="single" w:color="auto" w:sz="4" w:space="0"/>
            </w:tcBorders>
            <w:noWrap w:val="0"/>
            <w:vAlign w:val="center"/>
          </w:tcPr>
          <w:p w14:paraId="0AAC4D04">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w:t>
            </w:r>
          </w:p>
        </w:tc>
        <w:tc>
          <w:tcPr>
            <w:tcW w:w="1041" w:type="pct"/>
            <w:tcBorders>
              <w:top w:val="single" w:color="auto" w:sz="4" w:space="0"/>
              <w:left w:val="single" w:color="auto" w:sz="4" w:space="0"/>
              <w:bottom w:val="single" w:color="auto" w:sz="4" w:space="0"/>
              <w:right w:val="single" w:color="auto" w:sz="4" w:space="0"/>
            </w:tcBorders>
            <w:noWrap w:val="0"/>
            <w:vAlign w:val="center"/>
          </w:tcPr>
          <w:p w14:paraId="5AC67F55">
            <w:pPr>
              <w:jc w:val="center"/>
              <w:rPr>
                <w:rFonts w:hint="eastAsia" w:ascii="宋体" w:hAnsi="宋体" w:eastAsia="宋体" w:cs="宋体"/>
                <w:sz w:val="24"/>
                <w:szCs w:val="24"/>
              </w:rPr>
            </w:pPr>
            <w:r>
              <w:rPr>
                <w:rFonts w:hint="eastAsia" w:ascii="宋体" w:hAnsi="宋体" w:eastAsia="宋体" w:cs="宋体"/>
                <w:kern w:val="2"/>
                <w:sz w:val="24"/>
                <w:szCs w:val="24"/>
              </w:rPr>
              <w:t>验收</w:t>
            </w:r>
          </w:p>
        </w:tc>
        <w:tc>
          <w:tcPr>
            <w:tcW w:w="3104" w:type="pct"/>
            <w:tcBorders>
              <w:top w:val="single" w:color="auto" w:sz="4" w:space="0"/>
              <w:left w:val="single" w:color="auto" w:sz="4" w:space="0"/>
              <w:bottom w:val="single" w:color="auto" w:sz="4" w:space="0"/>
              <w:right w:val="single" w:color="auto" w:sz="4" w:space="0"/>
            </w:tcBorders>
            <w:noWrap w:val="0"/>
            <w:vAlign w:val="center"/>
          </w:tcPr>
          <w:p w14:paraId="41791488">
            <w:pPr>
              <w:rPr>
                <w:rFonts w:hint="eastAsia" w:ascii="宋体" w:hAnsi="宋体" w:eastAsia="宋体" w:cs="宋体"/>
                <w:b w:val="0"/>
                <w:bCs/>
                <w:color w:val="auto"/>
                <w:kern w:val="2"/>
                <w:sz w:val="24"/>
                <w:szCs w:val="24"/>
              </w:rPr>
            </w:pPr>
            <w:r>
              <w:rPr>
                <w:rFonts w:hint="eastAsia" w:ascii="宋体" w:hAnsi="宋体" w:eastAsia="宋体" w:cs="宋体"/>
                <w:bCs/>
                <w:color w:val="auto"/>
                <w:sz w:val="24"/>
                <w:szCs w:val="24"/>
                <w:lang w:val="en-US" w:eastAsia="zh-CN"/>
              </w:rPr>
              <w:t>服务每年完成后</w:t>
            </w:r>
            <w:r>
              <w:rPr>
                <w:rFonts w:hint="eastAsia" w:ascii="宋体" w:hAnsi="宋体" w:eastAsia="宋体" w:cs="宋体"/>
                <w:bCs/>
                <w:color w:val="auto"/>
                <w:sz w:val="24"/>
                <w:szCs w:val="24"/>
              </w:rPr>
              <w:t>，采购人应对服务的成果进行详细而全面的检验。</w:t>
            </w:r>
          </w:p>
        </w:tc>
      </w:tr>
      <w:tr w14:paraId="30A8D2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54" w:type="pct"/>
            <w:tcBorders>
              <w:top w:val="single" w:color="auto" w:sz="4" w:space="0"/>
              <w:left w:val="single" w:color="auto" w:sz="4" w:space="0"/>
              <w:bottom w:val="single" w:color="auto" w:sz="4" w:space="0"/>
              <w:right w:val="single" w:color="auto" w:sz="4" w:space="0"/>
            </w:tcBorders>
            <w:noWrap w:val="0"/>
            <w:vAlign w:val="center"/>
          </w:tcPr>
          <w:p w14:paraId="4783604B">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5</w:t>
            </w:r>
          </w:p>
        </w:tc>
        <w:tc>
          <w:tcPr>
            <w:tcW w:w="1041" w:type="pct"/>
            <w:tcBorders>
              <w:top w:val="single" w:color="auto" w:sz="4" w:space="0"/>
              <w:left w:val="single" w:color="auto" w:sz="4" w:space="0"/>
              <w:bottom w:val="single" w:color="auto" w:sz="4" w:space="0"/>
              <w:right w:val="single" w:color="auto" w:sz="4" w:space="0"/>
            </w:tcBorders>
            <w:noWrap w:val="0"/>
            <w:vAlign w:val="center"/>
          </w:tcPr>
          <w:p w14:paraId="0F6D13D9">
            <w:pPr>
              <w:jc w:val="center"/>
              <w:rPr>
                <w:rFonts w:hint="eastAsia" w:ascii="宋体" w:hAnsi="宋体" w:eastAsia="宋体" w:cs="宋体"/>
                <w:sz w:val="24"/>
                <w:szCs w:val="24"/>
              </w:rPr>
            </w:pPr>
            <w:r>
              <w:rPr>
                <w:rFonts w:hint="eastAsia" w:ascii="宋体" w:hAnsi="宋体" w:eastAsia="宋体" w:cs="宋体"/>
                <w:sz w:val="24"/>
                <w:szCs w:val="24"/>
              </w:rPr>
              <w:t>其他条款</w:t>
            </w:r>
          </w:p>
        </w:tc>
        <w:tc>
          <w:tcPr>
            <w:tcW w:w="3104" w:type="pct"/>
            <w:tcBorders>
              <w:top w:val="single" w:color="auto" w:sz="4" w:space="0"/>
              <w:left w:val="single" w:color="auto" w:sz="4" w:space="0"/>
              <w:bottom w:val="single" w:color="auto" w:sz="4" w:space="0"/>
              <w:right w:val="single" w:color="auto" w:sz="4" w:space="0"/>
            </w:tcBorders>
            <w:noWrap w:val="0"/>
            <w:vAlign w:val="top"/>
          </w:tcPr>
          <w:p w14:paraId="008F6D94">
            <w:pPr>
              <w:numPr>
                <w:ilvl w:val="0"/>
                <w:numId w:val="0"/>
              </w:numP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本项目接受联合体投标，组成联合体的成员数量不得超过两个。</w:t>
            </w:r>
          </w:p>
        </w:tc>
      </w:tr>
    </w:tbl>
    <w:p w14:paraId="2091107E">
      <w:pPr>
        <w:pageBreakBefore w:val="0"/>
        <w:kinsoku/>
        <w:wordWrap/>
        <w:overflowPunct/>
        <w:topLinePunct w:val="0"/>
        <w:bidi w:val="0"/>
        <w:snapToGrid w:val="0"/>
        <w:spacing w:line="360" w:lineRule="auto"/>
        <w:textAlignment w:val="auto"/>
        <w:rPr>
          <w:rFonts w:hint="eastAsia" w:ascii="宋体" w:hAnsi="宋体" w:eastAsia="宋体" w:cs="宋体"/>
          <w:b/>
          <w:bCs/>
          <w:color w:val="000000" w:themeColor="text1"/>
          <w:sz w:val="24"/>
          <w:highlight w:val="none"/>
          <w14:textFill>
            <w14:solidFill>
              <w14:schemeClr w14:val="tx1"/>
            </w14:solidFill>
          </w14:textFill>
        </w:rPr>
      </w:pPr>
    </w:p>
    <w:p w14:paraId="308F9ED5">
      <w:pPr>
        <w:pageBreakBefore w:val="0"/>
        <w:kinsoku/>
        <w:wordWrap/>
        <w:overflowPunct/>
        <w:topLinePunct w:val="0"/>
        <w:bidi w:val="0"/>
        <w:snapToGrid w:val="0"/>
        <w:spacing w:line="360" w:lineRule="auto"/>
        <w:textAlignment w:val="auto"/>
        <w:rPr>
          <w:rFonts w:hint="eastAsia" w:ascii="宋体" w:hAnsi="宋体" w:eastAsia="宋体" w:cs="宋体"/>
          <w:b/>
          <w:bCs/>
          <w:color w:val="000000" w:themeColor="text1"/>
          <w:sz w:val="32"/>
          <w:szCs w:val="32"/>
          <w:highlight w:val="none"/>
          <w14:textFill>
            <w14:solidFill>
              <w14:schemeClr w14:val="tx1"/>
            </w14:solidFill>
          </w14:textFill>
        </w:rPr>
      </w:pPr>
    </w:p>
    <w:p w14:paraId="414B2033">
      <w:pPr>
        <w:rPr>
          <w:rFonts w:hint="eastAsia" w:ascii="宋体" w:hAnsi="宋体" w:eastAsia="宋体" w:cs="宋体"/>
          <w:color w:val="000000" w:themeColor="text1"/>
          <w:kern w:val="2"/>
          <w:sz w:val="32"/>
          <w:highlight w:val="none"/>
          <w14:textFill>
            <w14:solidFill>
              <w14:schemeClr w14:val="tx1"/>
            </w14:solidFill>
          </w14:textFill>
        </w:rPr>
      </w:pPr>
    </w:p>
    <w:p w14:paraId="3907AAC8">
      <w:pPr>
        <w:rPr>
          <w:rFonts w:hint="eastAsia"/>
          <w:color w:val="000000" w:themeColor="text1"/>
          <w:highlight w:val="none"/>
          <w14:textFill>
            <w14:solidFill>
              <w14:schemeClr w14:val="tx1"/>
            </w14:solidFill>
          </w14:textFill>
        </w:rPr>
      </w:pPr>
    </w:p>
    <w:p w14:paraId="13B52B09">
      <w:pPr>
        <w:rPr>
          <w:rFonts w:hint="eastAsia" w:ascii="宋体" w:hAnsi="宋体" w:eastAsia="宋体" w:cs="宋体"/>
          <w:color w:val="000000" w:themeColor="text1"/>
          <w:kern w:val="2"/>
          <w:sz w:val="32"/>
          <w:highlight w:val="none"/>
          <w14:textFill>
            <w14:solidFill>
              <w14:schemeClr w14:val="tx1"/>
            </w14:solidFill>
          </w14:textFill>
        </w:rPr>
      </w:pPr>
      <w:r>
        <w:rPr>
          <w:rFonts w:hint="eastAsia" w:ascii="宋体" w:hAnsi="宋体" w:eastAsia="宋体" w:cs="宋体"/>
          <w:color w:val="000000" w:themeColor="text1"/>
          <w:kern w:val="2"/>
          <w:sz w:val="32"/>
          <w:highlight w:val="none"/>
          <w14:textFill>
            <w14:solidFill>
              <w14:schemeClr w14:val="tx1"/>
            </w14:solidFill>
          </w14:textFill>
        </w:rPr>
        <w:br w:type="page"/>
      </w:r>
    </w:p>
    <w:p w14:paraId="791065BA">
      <w:pPr>
        <w:pStyle w:val="2"/>
        <w:numPr>
          <w:ilvl w:val="0"/>
          <w:numId w:val="0"/>
        </w:numPr>
        <w:snapToGrid w:val="0"/>
        <w:spacing w:before="0" w:after="0" w:line="360" w:lineRule="auto"/>
        <w:jc w:val="center"/>
        <w:rPr>
          <w:rFonts w:hint="eastAsia" w:ascii="宋体" w:hAnsi="宋体" w:eastAsia="宋体" w:cs="宋体"/>
          <w:color w:val="000000" w:themeColor="text1"/>
          <w:kern w:val="2"/>
          <w:sz w:val="32"/>
          <w:highlight w:val="none"/>
          <w14:textFill>
            <w14:solidFill>
              <w14:schemeClr w14:val="tx1"/>
            </w14:solidFill>
          </w14:textFill>
        </w:rPr>
      </w:pPr>
      <w:r>
        <w:rPr>
          <w:rFonts w:hint="eastAsia" w:ascii="宋体" w:hAnsi="宋体" w:eastAsia="宋体" w:cs="宋体"/>
          <w:color w:val="000000" w:themeColor="text1"/>
          <w:kern w:val="2"/>
          <w:sz w:val="32"/>
          <w:highlight w:val="none"/>
          <w14:textFill>
            <w14:solidFill>
              <w14:schemeClr w14:val="tx1"/>
            </w14:solidFill>
          </w14:textFill>
        </w:rPr>
        <w:t>第五章  合同格式</w:t>
      </w:r>
      <w:bookmarkEnd w:id="99"/>
    </w:p>
    <w:p w14:paraId="051B8D54">
      <w:pPr>
        <w:snapToGrid w:val="0"/>
        <w:spacing w:line="360" w:lineRule="auto"/>
        <w:ind w:firstLine="482" w:firstLineChars="20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一、签定合同 </w:t>
      </w:r>
    </w:p>
    <w:p w14:paraId="0D0993A1">
      <w:pPr>
        <w:snapToGrid w:val="0"/>
        <w:spacing w:line="360" w:lineRule="auto"/>
        <w:ind w:firstLine="523" w:firstLineChars="21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1.成交供应商应当自中标通知书发出之日起30日内，按照参考公开招标文件确定的事项与采购人签订中标合同。</w:t>
      </w:r>
    </w:p>
    <w:p w14:paraId="43713F3C">
      <w:pPr>
        <w:snapToGrid w:val="0"/>
        <w:spacing w:line="360" w:lineRule="auto"/>
        <w:ind w:firstLine="523" w:firstLineChars="21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2.成交供应商应按照参考公开招标文件、电子投标文件及评标过程中的有关澄清、说明或者补正文件的内容与采购人签订合同。成交供应商不得再与采购人签订背离合同实质性内容的其它协议或声明。</w:t>
      </w:r>
    </w:p>
    <w:p w14:paraId="6A93C007">
      <w:pPr>
        <w:snapToGrid w:val="0"/>
        <w:spacing w:line="360" w:lineRule="auto"/>
        <w:ind w:firstLine="523" w:firstLineChars="21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3.采购人如需追加与合同标的相同的委托服务，在不改变合同其他条款的前提下，成交供应商可与采购人协商签订补充合同，但所有补充合同的采购金额不得超过原合同金额的百分之二十。</w:t>
      </w:r>
    </w:p>
    <w:p w14:paraId="413AC793">
      <w:pPr>
        <w:snapToGrid w:val="0"/>
        <w:spacing w:line="360" w:lineRule="auto"/>
        <w:ind w:firstLine="523" w:firstLineChars="218"/>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4.双方签订《采购合同》(以下是合同模板)</w:t>
      </w:r>
    </w:p>
    <w:p w14:paraId="070735FC">
      <w:pPr>
        <w:spacing w:after="240" w:afterLines="100"/>
        <w:jc w:val="center"/>
        <w:rPr>
          <w:rFonts w:ascii="宋体" w:hAnsi="宋体" w:eastAsia="宋体" w:cs="宋体"/>
          <w:b/>
          <w:bCs/>
          <w:color w:val="000000" w:themeColor="text1"/>
          <w:sz w:val="44"/>
          <w:szCs w:val="44"/>
          <w:highlight w:val="none"/>
          <w14:textFill>
            <w14:solidFill>
              <w14:schemeClr w14:val="tx1"/>
            </w14:solidFill>
          </w14:textFill>
        </w:rPr>
      </w:pPr>
    </w:p>
    <w:p w14:paraId="3AAEC762">
      <w:pPr>
        <w:spacing w:after="240" w:afterLines="100"/>
        <w:jc w:val="center"/>
        <w:rPr>
          <w:rFonts w:ascii="宋体" w:hAnsi="宋体" w:eastAsia="宋体" w:cs="宋体"/>
          <w:b/>
          <w:bCs/>
          <w:color w:val="000000" w:themeColor="text1"/>
          <w:sz w:val="44"/>
          <w:szCs w:val="44"/>
          <w:highlight w:val="none"/>
          <w14:textFill>
            <w14:solidFill>
              <w14:schemeClr w14:val="tx1"/>
            </w14:solidFill>
          </w14:textFill>
        </w:rPr>
      </w:pPr>
    </w:p>
    <w:p w14:paraId="5E23D557">
      <w:pPr>
        <w:spacing w:after="240" w:afterLines="100"/>
        <w:jc w:val="center"/>
        <w:rPr>
          <w:rFonts w:ascii="宋体" w:hAnsi="宋体" w:eastAsia="宋体" w:cs="宋体"/>
          <w:b/>
          <w:bCs/>
          <w:color w:val="000000" w:themeColor="text1"/>
          <w:sz w:val="44"/>
          <w:szCs w:val="44"/>
          <w:highlight w:val="none"/>
          <w14:textFill>
            <w14:solidFill>
              <w14:schemeClr w14:val="tx1"/>
            </w14:solidFill>
          </w14:textFill>
        </w:rPr>
      </w:pPr>
    </w:p>
    <w:p w14:paraId="1FBC432C">
      <w:pPr>
        <w:spacing w:after="240" w:afterLines="100"/>
        <w:jc w:val="center"/>
        <w:rPr>
          <w:rFonts w:ascii="宋体" w:hAnsi="宋体" w:eastAsia="宋体" w:cs="宋体"/>
          <w:b/>
          <w:bCs/>
          <w:color w:val="000000" w:themeColor="text1"/>
          <w:sz w:val="44"/>
          <w:szCs w:val="44"/>
          <w:highlight w:val="none"/>
          <w14:textFill>
            <w14:solidFill>
              <w14:schemeClr w14:val="tx1"/>
            </w14:solidFill>
          </w14:textFill>
        </w:rPr>
      </w:pPr>
    </w:p>
    <w:p w14:paraId="1469BD4A">
      <w:pPr>
        <w:spacing w:after="240" w:afterLines="100"/>
        <w:jc w:val="center"/>
        <w:rPr>
          <w:rFonts w:ascii="宋体" w:hAnsi="宋体" w:eastAsia="宋体" w:cs="宋体"/>
          <w:b/>
          <w:bCs/>
          <w:color w:val="000000" w:themeColor="text1"/>
          <w:sz w:val="44"/>
          <w:szCs w:val="44"/>
          <w:highlight w:val="none"/>
          <w14:textFill>
            <w14:solidFill>
              <w14:schemeClr w14:val="tx1"/>
            </w14:solidFill>
          </w14:textFill>
        </w:rPr>
      </w:pPr>
    </w:p>
    <w:p w14:paraId="378F6C3E">
      <w:pPr>
        <w:spacing w:after="240" w:afterLines="100"/>
        <w:jc w:val="center"/>
        <w:rPr>
          <w:rFonts w:ascii="宋体" w:hAnsi="宋体" w:eastAsia="宋体" w:cs="宋体"/>
          <w:b/>
          <w:bCs/>
          <w:color w:val="000000" w:themeColor="text1"/>
          <w:sz w:val="44"/>
          <w:szCs w:val="44"/>
          <w:highlight w:val="none"/>
          <w14:textFill>
            <w14:solidFill>
              <w14:schemeClr w14:val="tx1"/>
            </w14:solidFill>
          </w14:textFill>
        </w:rPr>
      </w:pPr>
    </w:p>
    <w:p w14:paraId="14384E62">
      <w:pPr>
        <w:spacing w:after="240" w:afterLines="100"/>
        <w:jc w:val="center"/>
        <w:rPr>
          <w:rFonts w:ascii="宋体" w:hAnsi="宋体" w:eastAsia="宋体" w:cs="宋体"/>
          <w:b/>
          <w:bCs/>
          <w:color w:val="000000" w:themeColor="text1"/>
          <w:sz w:val="44"/>
          <w:szCs w:val="44"/>
          <w:highlight w:val="none"/>
          <w14:textFill>
            <w14:solidFill>
              <w14:schemeClr w14:val="tx1"/>
            </w14:solidFill>
          </w14:textFill>
        </w:rPr>
      </w:pPr>
    </w:p>
    <w:p w14:paraId="4F23C07F">
      <w:pPr>
        <w:snapToGrid w:val="0"/>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p w14:paraId="299C9923">
      <w:pPr>
        <w:rPr>
          <w:rFonts w:ascii="宋体" w:hAnsi="宋体" w:eastAsia="宋体" w:cs="宋体"/>
          <w:b/>
          <w:bCs/>
          <w:color w:val="000000" w:themeColor="text1"/>
          <w:kern w:val="0"/>
          <w:sz w:val="43"/>
          <w:szCs w:val="43"/>
          <w:highlight w:val="none"/>
          <w:lang w:bidi="ar"/>
          <w14:textFill>
            <w14:solidFill>
              <w14:schemeClr w14:val="tx1"/>
            </w14:solidFill>
          </w14:textFill>
        </w:rPr>
      </w:pPr>
      <w:r>
        <w:rPr>
          <w:rFonts w:hint="eastAsia" w:ascii="宋体" w:hAnsi="宋体" w:eastAsia="宋体" w:cs="宋体"/>
          <w:b/>
          <w:bCs/>
          <w:color w:val="000000" w:themeColor="text1"/>
          <w:kern w:val="0"/>
          <w:sz w:val="43"/>
          <w:szCs w:val="43"/>
          <w:highlight w:val="none"/>
          <w:lang w:bidi="ar"/>
          <w14:textFill>
            <w14:solidFill>
              <w14:schemeClr w14:val="tx1"/>
            </w14:solidFill>
          </w14:textFill>
        </w:rPr>
        <w:br w:type="page"/>
      </w:r>
    </w:p>
    <w:p w14:paraId="372A59D5">
      <w:pPr>
        <w:jc w:val="center"/>
        <w:rPr>
          <w:rFonts w:ascii="宋体" w:hAnsi="宋体" w:eastAsia="宋体" w:cs="宋体"/>
          <w:color w:val="000000" w:themeColor="text1"/>
          <w:highlight w:val="none"/>
          <w14:textFill>
            <w14:solidFill>
              <w14:schemeClr w14:val="tx1"/>
            </w14:solidFill>
          </w14:textFill>
        </w:rPr>
      </w:pPr>
      <w:bookmarkStart w:id="121" w:name="_Toc6305"/>
      <w:r>
        <w:rPr>
          <w:rFonts w:hint="eastAsia" w:ascii="宋体" w:hAnsi="宋体" w:eastAsia="宋体" w:cs="宋体"/>
          <w:b/>
          <w:bCs/>
          <w:color w:val="000000" w:themeColor="text1"/>
          <w:kern w:val="0"/>
          <w:sz w:val="43"/>
          <w:szCs w:val="43"/>
          <w:highlight w:val="none"/>
          <w:lang w:bidi="ar"/>
          <w14:textFill>
            <w14:solidFill>
              <w14:schemeClr w14:val="tx1"/>
            </w14:solidFill>
          </w14:textFill>
        </w:rPr>
        <w:t>技术服务合同</w:t>
      </w:r>
    </w:p>
    <w:p w14:paraId="636ABB78">
      <w:pPr>
        <w:snapToGrid w:val="0"/>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p w14:paraId="7DD0F501">
      <w:pPr>
        <w:snapToGrid w:val="0"/>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（此合同仅供参考）</w:t>
      </w:r>
    </w:p>
    <w:p w14:paraId="60EFA434">
      <w:pPr>
        <w:snapToGrid w:val="0"/>
        <w:rPr>
          <w:rFonts w:ascii="宋体" w:hAnsi="宋体" w:eastAsia="宋体" w:cs="宋体"/>
          <w:color w:val="000000" w:themeColor="text1"/>
          <w:highlight w:val="none"/>
          <w14:textFill>
            <w14:solidFill>
              <w14:schemeClr w14:val="tx1"/>
            </w14:solidFill>
          </w14:textFill>
        </w:rPr>
      </w:pPr>
    </w:p>
    <w:p w14:paraId="5C3A0C86">
      <w:pPr>
        <w:snapToGrid w:val="0"/>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p w14:paraId="4A5C116D">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采购人（全称）：山东大学</w:t>
      </w:r>
    </w:p>
    <w:p w14:paraId="6AE69F8E">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供应商（全称）：</w:t>
      </w:r>
    </w:p>
    <w:p w14:paraId="5EC97103">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根据《中华人民共和国民法典》及其他有关法律法规，双方经过友好协商，本着诚实守信、互惠互利的原则，就</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项目服务事宜签订本合同条款，共同达成如下协议：</w:t>
      </w:r>
    </w:p>
    <w:p w14:paraId="16084B81">
      <w:pPr>
        <w:spacing w:line="360" w:lineRule="auto"/>
        <w:ind w:firstLine="480"/>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一、合同文件</w:t>
      </w:r>
    </w:p>
    <w:p w14:paraId="0BEF21FC">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本合同所附下列文件是构成本合同不可分割的部分：</w:t>
      </w:r>
    </w:p>
    <w:p w14:paraId="02ADB8E2">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（一）本项目参考公开招标文件</w:t>
      </w:r>
    </w:p>
    <w:p w14:paraId="71561A90">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投标文件</w:t>
      </w:r>
    </w:p>
    <w:p w14:paraId="1D99A16F">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（三）合同格式、合同条款</w:t>
      </w:r>
    </w:p>
    <w:p w14:paraId="521C2754">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（四）</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在评审过程中做出的有关澄清、说明或者补正文件</w:t>
      </w:r>
    </w:p>
    <w:p w14:paraId="06AA0BCF">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（五）中标通知书</w:t>
      </w:r>
    </w:p>
    <w:p w14:paraId="513E0D75">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（六）本合同附件</w:t>
      </w:r>
    </w:p>
    <w:p w14:paraId="553C6565">
      <w:pPr>
        <w:spacing w:line="360" w:lineRule="auto"/>
        <w:ind w:firstLine="480"/>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二、服务内容（详细清单见附件）</w:t>
      </w:r>
    </w:p>
    <w:p w14:paraId="04A4BAF7">
      <w:pPr>
        <w:spacing w:line="360" w:lineRule="auto"/>
        <w:ind w:firstLine="48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三、合同总价</w:t>
      </w:r>
    </w:p>
    <w:p w14:paraId="7E948312">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合同总金额：               </w:t>
      </w:r>
    </w:p>
    <w:p w14:paraId="42B3A9B5">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人民币（小写） </w:t>
      </w:r>
    </w:p>
    <w:p w14:paraId="60133BC6">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人民币（大写） </w:t>
      </w:r>
    </w:p>
    <w:p w14:paraId="0D2D31A1">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（分项价格见附件）</w:t>
      </w:r>
    </w:p>
    <w:p w14:paraId="6DA4C081">
      <w:pPr>
        <w:snapToGrid w:val="0"/>
        <w:spacing w:before="184" w:beforeLines="77" w:line="360" w:lineRule="auto"/>
        <w:ind w:firstLine="482" w:firstLineChars="200"/>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四、付款方式</w:t>
      </w:r>
    </w:p>
    <w:p w14:paraId="1D698D99">
      <w:pPr>
        <w:spacing w:line="360" w:lineRule="auto"/>
        <w:ind w:firstLine="48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付款方式：</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w:t>
      </w:r>
    </w:p>
    <w:p w14:paraId="3C31FC65">
      <w:pPr>
        <w:spacing w:line="360" w:lineRule="auto"/>
        <w:ind w:firstLine="48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五、交付/服务时间、交付/服务地点</w:t>
      </w:r>
    </w:p>
    <w:p w14:paraId="1C068C4E">
      <w:pPr>
        <w:spacing w:line="360" w:lineRule="auto"/>
        <w:ind w:firstLine="480"/>
        <w:rPr>
          <w:rFonts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1.交付/服务时间：</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7BBDC8B2">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2.交付/服务时间地点：</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p>
    <w:p w14:paraId="42EB1B54">
      <w:pPr>
        <w:spacing w:line="360" w:lineRule="auto"/>
        <w:ind w:firstLine="48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六、质量</w:t>
      </w:r>
    </w:p>
    <w:p w14:paraId="50989B05">
      <w:pPr>
        <w:snapToGrid w:val="0"/>
        <w:spacing w:line="360" w:lineRule="auto"/>
        <w:ind w:firstLine="480" w:firstLineChars="20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质保期：</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61089C72">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交付成果的质量应符合参考公开招标文件、</w:t>
      </w:r>
      <w:r>
        <w:rPr>
          <w:rFonts w:hint="eastAsia" w:ascii="宋体" w:hAnsi="宋体" w:eastAsia="宋体" w:cs="宋体"/>
          <w:color w:val="000000" w:themeColor="text1"/>
          <w:sz w:val="24"/>
          <w:highlight w:val="none"/>
          <w:lang w:eastAsia="zh-CN"/>
          <w14:textFill>
            <w14:solidFill>
              <w14:schemeClr w14:val="tx1"/>
            </w14:solidFill>
          </w14:textFill>
        </w:rPr>
        <w:t>成交</w:t>
      </w:r>
      <w:r>
        <w:rPr>
          <w:rFonts w:hint="eastAsia" w:ascii="宋体" w:hAnsi="宋体" w:eastAsia="宋体" w:cs="宋体"/>
          <w:color w:val="000000" w:themeColor="text1"/>
          <w:sz w:val="24"/>
          <w:highlight w:val="none"/>
          <w14:textFill>
            <w14:solidFill>
              <w14:schemeClr w14:val="tx1"/>
            </w14:solidFill>
          </w14:textFill>
        </w:rPr>
        <w:t>供应商报价文件及乙方在评审过程中做出的书面澄清及承诺。</w:t>
      </w:r>
    </w:p>
    <w:p w14:paraId="1546A5BD">
      <w:pPr>
        <w:spacing w:line="360" w:lineRule="auto"/>
        <w:ind w:firstLine="480"/>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七、知识产权</w:t>
      </w:r>
    </w:p>
    <w:p w14:paraId="567CA716">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乙方应保证甲方在中国境内使用产品或产品的任何一部分时，免受第三方提出的侵犯其知识产权的诉讼。</w:t>
      </w:r>
    </w:p>
    <w:p w14:paraId="4BA8CB05">
      <w:pPr>
        <w:snapToGrid w:val="0"/>
        <w:spacing w:before="100" w:after="120" w:afterLines="50" w:line="360" w:lineRule="auto"/>
        <w:ind w:firstLine="472" w:firstLineChars="196"/>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八、验收</w:t>
      </w:r>
    </w:p>
    <w:p w14:paraId="376A4D64">
      <w:pPr>
        <w:snapToGrid w:val="0"/>
        <w:spacing w:after="120" w:afterLines="50" w:line="360" w:lineRule="auto"/>
        <w:ind w:firstLine="482"/>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1、采购人将严格按照采购文件中所明确的数据进行验收，发现质量问题乙方须及时修正并承担由此产生的相关费用。</w:t>
      </w:r>
    </w:p>
    <w:p w14:paraId="62237178">
      <w:pPr>
        <w:snapToGrid w:val="0"/>
        <w:spacing w:after="120" w:afterLines="50" w:line="360" w:lineRule="auto"/>
        <w:ind w:firstLine="482"/>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2、在验收过程中发现质量问题，甲方应在发现和应当发现之日起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日内向乙方提出书面异议，乙方在接到书面异议后，应当在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日内负责处理，验收日期自甲方发现之日起顺延。甲方逾期提出的，视为乙方符合合同的规定。</w:t>
      </w:r>
    </w:p>
    <w:p w14:paraId="09DE02B7">
      <w:pPr>
        <w:snapToGrid w:val="0"/>
        <w:spacing w:after="120" w:afterLines="50" w:line="360" w:lineRule="auto"/>
        <w:ind w:firstLine="482"/>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3、经双方共同验收，达不到质量或规格要求的，甲方可以拒收，并可以解除合同。</w:t>
      </w:r>
    </w:p>
    <w:p w14:paraId="24067E90">
      <w:pPr>
        <w:snapToGrid w:val="0"/>
        <w:spacing w:before="100" w:after="120" w:afterLines="50" w:line="360" w:lineRule="auto"/>
        <w:ind w:firstLine="472" w:firstLineChars="196"/>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九、售后服务</w:t>
      </w:r>
    </w:p>
    <w:p w14:paraId="25E641D6">
      <w:pPr>
        <w:snapToGrid w:val="0"/>
        <w:spacing w:after="120" w:afterLines="50" w:line="360" w:lineRule="auto"/>
        <w:ind w:firstLine="482"/>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1、乙方应按采购文件、响应文件及乙方在采购过程中做出的书面说明或承诺提供及时、快速、优质的售后服务。</w:t>
      </w:r>
    </w:p>
    <w:p w14:paraId="1FA7C182">
      <w:pPr>
        <w:snapToGrid w:val="0"/>
        <w:spacing w:after="120" w:afterLines="50" w:line="360" w:lineRule="auto"/>
        <w:ind w:firstLine="482"/>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2、其他售后服务内容：见附件售后服务承诺</w:t>
      </w:r>
    </w:p>
    <w:p w14:paraId="53E53B21">
      <w:pPr>
        <w:snapToGrid w:val="0"/>
        <w:spacing w:before="100" w:after="120" w:afterLines="50" w:line="360" w:lineRule="auto"/>
        <w:ind w:firstLine="472" w:firstLineChars="196"/>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十、合同生效及期限</w:t>
      </w:r>
    </w:p>
    <w:p w14:paraId="02D2FCD8">
      <w:pPr>
        <w:snapToGrid w:val="0"/>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本合同为附条件生效合同，除甲乙双方签章，还应满足以下条件时合同生效：</w:t>
      </w:r>
    </w:p>
    <w:p w14:paraId="40DC286B">
      <w:pPr>
        <w:snapToGrid w:val="0"/>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乙方已向采购代理机构缴纳</w:t>
      </w:r>
      <w:r>
        <w:rPr>
          <w:rFonts w:hint="eastAsia" w:ascii="宋体" w:hAnsi="宋体" w:eastAsia="宋体" w:cs="宋体"/>
          <w:color w:val="000000" w:themeColor="text1"/>
          <w:sz w:val="24"/>
          <w:highlight w:val="none"/>
          <w:lang w:eastAsia="zh-CN"/>
          <w14:textFill>
            <w14:solidFill>
              <w14:schemeClr w14:val="tx1"/>
            </w14:solidFill>
          </w14:textFill>
        </w:rPr>
        <w:t>成交</w:t>
      </w:r>
      <w:r>
        <w:rPr>
          <w:rFonts w:hint="eastAsia" w:ascii="宋体" w:hAnsi="宋体" w:eastAsia="宋体" w:cs="宋体"/>
          <w:color w:val="000000" w:themeColor="text1"/>
          <w:sz w:val="24"/>
          <w:highlight w:val="none"/>
          <w14:textFill>
            <w14:solidFill>
              <w14:schemeClr w14:val="tx1"/>
            </w14:solidFill>
          </w14:textFill>
        </w:rPr>
        <w:t>服务费及相关费用。</w:t>
      </w:r>
    </w:p>
    <w:p w14:paraId="7E21337D">
      <w:pPr>
        <w:snapToGrid w:val="0"/>
        <w:spacing w:line="360" w:lineRule="auto"/>
        <w:ind w:firstLine="482" w:firstLineChars="200"/>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十一、违约条款</w:t>
      </w:r>
    </w:p>
    <w:p w14:paraId="05311F71">
      <w:pPr>
        <w:snapToGrid w:val="0"/>
        <w:spacing w:after="120" w:afterLines="50" w:line="360" w:lineRule="auto"/>
        <w:ind w:firstLine="482"/>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1、甲方未按本合同约定的付款方式付款，按照贷款市场报价利率计算违约金；</w:t>
      </w:r>
    </w:p>
    <w:p w14:paraId="653A9B37">
      <w:pPr>
        <w:snapToGrid w:val="0"/>
        <w:spacing w:after="120" w:afterLines="50" w:line="360" w:lineRule="auto"/>
        <w:ind w:firstLine="482"/>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2、乙方未按本合同约定的期限、地点和方式履行，每迟延履行一日的应提供而未提供服务价款的</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‰计算，逾期超过</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日，甲方有权解除合同，乙方应当向甲方支付合同总金额</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的违约金，并赔偿甲方损失（包括但不限于调查取证费、律师费）；</w:t>
      </w:r>
    </w:p>
    <w:p w14:paraId="01588B4F">
      <w:pPr>
        <w:snapToGrid w:val="0"/>
        <w:spacing w:after="120" w:afterLines="50" w:line="360" w:lineRule="auto"/>
        <w:ind w:firstLine="482"/>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3、乙方所提供的服务不符合本合同第一条“合同文件”的内容的，甲方有权选择要求乙方限期改正或者解除合同，如甲方要求限期改正，乙方还应当向甲方支付合同总金额</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的违约金；如甲方选择解除合同，乙方应当向甲方支付合同总金额</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的违约金。</w:t>
      </w:r>
    </w:p>
    <w:p w14:paraId="2DB593F4">
      <w:pPr>
        <w:snapToGrid w:val="0"/>
        <w:spacing w:after="120" w:afterLines="50" w:line="360" w:lineRule="auto"/>
        <w:ind w:firstLine="482"/>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5、乙方响应文件存在规避采购文件要求，导致响应文件与采购文件的描述或理解不一致的，以采购文件的描述或理解为准。</w:t>
      </w:r>
    </w:p>
    <w:p w14:paraId="74E14BAF">
      <w:pPr>
        <w:snapToGrid w:val="0"/>
        <w:spacing w:before="100" w:after="120" w:afterLines="50" w:line="360" w:lineRule="auto"/>
        <w:ind w:firstLine="472" w:firstLineChars="196"/>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十二、不可抗力条款</w:t>
      </w:r>
    </w:p>
    <w:p w14:paraId="647779A6">
      <w:pPr>
        <w:snapToGrid w:val="0"/>
        <w:spacing w:line="360" w:lineRule="auto"/>
        <w:ind w:firstLine="482"/>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因不可抗力致使一方不能及时或完全履行合同的，应及时通知另一方，各方互不承担责任，并在3天内提供有关不可抗力的相应证明。</w:t>
      </w:r>
    </w:p>
    <w:p w14:paraId="7CD38B4D">
      <w:pPr>
        <w:snapToGrid w:val="0"/>
        <w:spacing w:line="360" w:lineRule="auto"/>
        <w:ind w:firstLine="482"/>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合同未履行部分是否继续履行、如何履行等问题，可由各方协商解决。</w:t>
      </w:r>
    </w:p>
    <w:p w14:paraId="47DA4C1D">
      <w:pPr>
        <w:snapToGrid w:val="0"/>
        <w:spacing w:before="100" w:line="360" w:lineRule="auto"/>
        <w:ind w:firstLine="472" w:firstLineChars="196"/>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十三、争议的解决方式</w:t>
      </w:r>
    </w:p>
    <w:p w14:paraId="36ACC392">
      <w:pPr>
        <w:snapToGrid w:val="0"/>
        <w:spacing w:line="360" w:lineRule="auto"/>
        <w:ind w:firstLine="482"/>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合同发生纠纷时，各方应协商解决，协商不成可以采用下列方式解决：</w:t>
      </w:r>
    </w:p>
    <w:p w14:paraId="70ECD9F6">
      <w:pPr>
        <w:numPr>
          <w:ilvl w:val="0"/>
          <w:numId w:val="5"/>
        </w:numPr>
        <w:snapToGrid w:val="0"/>
        <w:spacing w:line="360" w:lineRule="auto"/>
        <w:ind w:firstLine="482"/>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提交甲方所在地仲裁委员会仲裁；</w:t>
      </w:r>
    </w:p>
    <w:p w14:paraId="2BCB7521">
      <w:pPr>
        <w:numPr>
          <w:ilvl w:val="0"/>
          <w:numId w:val="5"/>
        </w:numPr>
        <w:snapToGrid w:val="0"/>
        <w:spacing w:line="360" w:lineRule="auto"/>
        <w:ind w:firstLine="482"/>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向甲方所在地人民法院起诉。</w:t>
      </w:r>
    </w:p>
    <w:p w14:paraId="3631AA9E">
      <w:pPr>
        <w:snapToGrid w:val="0"/>
        <w:spacing w:line="360" w:lineRule="auto"/>
        <w:ind w:left="482"/>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本合同发生纠纷，经各方协商不能解决时，采用第2种方式予以解决。</w:t>
      </w:r>
    </w:p>
    <w:p w14:paraId="6817A800">
      <w:pPr>
        <w:snapToGrid w:val="0"/>
        <w:spacing w:before="100" w:line="360" w:lineRule="auto"/>
        <w:ind w:firstLine="472" w:firstLineChars="196"/>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十四、补充协议</w:t>
      </w:r>
    </w:p>
    <w:p w14:paraId="62BC7D19">
      <w:pPr>
        <w:snapToGrid w:val="0"/>
        <w:spacing w:line="360" w:lineRule="auto"/>
        <w:ind w:firstLine="482"/>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合同未尽事宜，经各方协商可签订补充协议，所签定的补充协议与本合同具有同等的法律效力，补充协议的生效应符合本合同第十条的规定。</w:t>
      </w:r>
    </w:p>
    <w:p w14:paraId="6749D5E9">
      <w:pPr>
        <w:snapToGrid w:val="0"/>
        <w:spacing w:line="360" w:lineRule="auto"/>
        <w:ind w:firstLine="482" w:firstLineChars="200"/>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十五、合同保存</w:t>
      </w:r>
    </w:p>
    <w:p w14:paraId="3BC38843">
      <w:pPr>
        <w:snapToGrid w:val="0"/>
        <w:spacing w:line="360" w:lineRule="auto"/>
        <w:ind w:firstLine="480" w:firstLineChars="20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本合同一式柒份，甲方叁份，乙方叁份，山东善誉招标咨询有限公司壹份。</w:t>
      </w:r>
    </w:p>
    <w:p w14:paraId="33614E58">
      <w:pPr>
        <w:adjustRightInd w:val="0"/>
        <w:snapToGrid w:val="0"/>
        <w:spacing w:line="360" w:lineRule="auto"/>
        <w:rPr>
          <w:rFonts w:ascii="宋体" w:hAnsi="宋体" w:eastAsia="宋体" w:cs="宋体"/>
          <w:color w:val="000000" w:themeColor="text1"/>
          <w:sz w:val="24"/>
          <w:highlight w:val="none"/>
          <w14:textFill>
            <w14:solidFill>
              <w14:schemeClr w14:val="tx1"/>
            </w14:solidFill>
          </w14:textFill>
        </w:rPr>
      </w:pPr>
    </w:p>
    <w:p w14:paraId="70F3D225">
      <w:pPr>
        <w:adjustRightInd w:val="0"/>
        <w:snapToGrid w:val="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甲    方：                       乙    方：</w:t>
      </w:r>
      <w:r>
        <w:rPr>
          <w:rFonts w:hint="eastAsia" w:ascii="宋体" w:hAnsi="宋体" w:eastAsia="宋体" w:cs="宋体"/>
          <w:color w:val="000000" w:themeColor="text1"/>
          <w:w w:val="80"/>
          <w:sz w:val="24"/>
          <w:highlight w:val="none"/>
          <w14:textFill>
            <w14:solidFill>
              <w14:schemeClr w14:val="tx1"/>
            </w14:solidFill>
          </w14:textFill>
        </w:rPr>
        <w:t xml:space="preserve"> </w:t>
      </w:r>
    </w:p>
    <w:p w14:paraId="3EB1F33E">
      <w:pPr>
        <w:adjustRightInd w:val="0"/>
        <w:snapToGrid w:val="0"/>
        <w:spacing w:line="360" w:lineRule="auto"/>
        <w:rPr>
          <w:rFonts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盖    章：                       盖    章：</w:t>
      </w:r>
    </w:p>
    <w:p w14:paraId="4A69B876">
      <w:pPr>
        <w:snapToGrid w:val="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法定代表人或授权代理人：（签字） 法定代表人或授权代理人：（签字）</w:t>
      </w:r>
    </w:p>
    <w:p w14:paraId="72B1E16F">
      <w:pPr>
        <w:snapToGrid w:val="0"/>
        <w:spacing w:line="360" w:lineRule="auto"/>
        <w:ind w:left="5256" w:hanging="5256" w:hangingChars="219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开户银行：                       开户银行： </w:t>
      </w:r>
    </w:p>
    <w:p w14:paraId="00AD469B">
      <w:pPr>
        <w:snapToGrid w:val="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开户账号：                       开户账号： </w:t>
      </w:r>
    </w:p>
    <w:p w14:paraId="012730A7">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                       联系电话： </w:t>
      </w:r>
    </w:p>
    <w:p w14:paraId="5CC9421C">
      <w:pPr>
        <w:rPr>
          <w:rFonts w:hint="eastAsia" w:ascii="宋体" w:hAnsi="宋体" w:eastAsia="宋体" w:cs="宋体"/>
          <w:color w:val="000000" w:themeColor="text1"/>
          <w:kern w:val="2"/>
          <w:sz w:val="32"/>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签订时间：                       签订时间：</w:t>
      </w:r>
    </w:p>
    <w:p w14:paraId="5F9BDE2E">
      <w:pPr>
        <w:rPr>
          <w:rFonts w:hint="eastAsia" w:ascii="宋体" w:hAnsi="宋体" w:eastAsia="宋体" w:cs="宋体"/>
          <w:color w:val="000000" w:themeColor="text1"/>
          <w:kern w:val="2"/>
          <w:sz w:val="32"/>
          <w:highlight w:val="none"/>
          <w14:textFill>
            <w14:solidFill>
              <w14:schemeClr w14:val="tx1"/>
            </w14:solidFill>
          </w14:textFill>
        </w:rPr>
      </w:pPr>
      <w:r>
        <w:rPr>
          <w:rFonts w:hint="eastAsia" w:ascii="宋体" w:hAnsi="宋体" w:eastAsia="宋体" w:cs="宋体"/>
          <w:color w:val="000000" w:themeColor="text1"/>
          <w:kern w:val="2"/>
          <w:sz w:val="32"/>
          <w:highlight w:val="none"/>
          <w14:textFill>
            <w14:solidFill>
              <w14:schemeClr w14:val="tx1"/>
            </w14:solidFill>
          </w14:textFill>
        </w:rPr>
        <w:br w:type="page"/>
      </w:r>
    </w:p>
    <w:p w14:paraId="6683F952">
      <w:pPr>
        <w:pStyle w:val="2"/>
        <w:numPr>
          <w:ilvl w:val="0"/>
          <w:numId w:val="0"/>
        </w:numPr>
        <w:snapToGrid w:val="0"/>
        <w:spacing w:before="0" w:after="0" w:line="360" w:lineRule="auto"/>
        <w:jc w:val="center"/>
        <w:rPr>
          <w:rFonts w:hint="eastAsia" w:ascii="宋体" w:hAnsi="宋体" w:eastAsia="宋体" w:cs="宋体"/>
          <w:color w:val="000000" w:themeColor="text1"/>
          <w:kern w:val="2"/>
          <w:sz w:val="32"/>
          <w:highlight w:val="none"/>
          <w14:textFill>
            <w14:solidFill>
              <w14:schemeClr w14:val="tx1"/>
            </w14:solidFill>
          </w14:textFill>
        </w:rPr>
      </w:pPr>
      <w:r>
        <w:rPr>
          <w:rFonts w:hint="eastAsia" w:ascii="宋体" w:hAnsi="宋体" w:eastAsia="宋体" w:cs="宋体"/>
          <w:color w:val="000000" w:themeColor="text1"/>
          <w:kern w:val="2"/>
          <w:sz w:val="32"/>
          <w:highlight w:val="none"/>
          <w14:textFill>
            <w14:solidFill>
              <w14:schemeClr w14:val="tx1"/>
            </w14:solidFill>
          </w14:textFill>
        </w:rPr>
        <w:t>第六章  附    件</w:t>
      </w:r>
      <w:bookmarkEnd w:id="121"/>
    </w:p>
    <w:p w14:paraId="7000A152">
      <w:pPr>
        <w:spacing w:line="480" w:lineRule="exact"/>
        <w:outlineLvl w:val="1"/>
        <w:rPr>
          <w:rFonts w:ascii="宋体" w:hAnsi="宋体" w:eastAsia="宋体" w:cs="宋体"/>
          <w:b/>
          <w:color w:val="000000" w:themeColor="text1"/>
          <w:sz w:val="28"/>
          <w:szCs w:val="28"/>
          <w:highlight w:val="none"/>
          <w14:textFill>
            <w14:solidFill>
              <w14:schemeClr w14:val="tx1"/>
            </w14:solidFill>
          </w14:textFill>
        </w:rPr>
      </w:pPr>
      <w:bookmarkStart w:id="122" w:name="_Toc1375"/>
      <w:r>
        <w:rPr>
          <w:rFonts w:hint="eastAsia" w:ascii="宋体" w:hAnsi="宋体" w:eastAsia="宋体" w:cs="宋体"/>
          <w:b/>
          <w:color w:val="000000" w:themeColor="text1"/>
          <w:sz w:val="28"/>
          <w:szCs w:val="28"/>
          <w:highlight w:val="none"/>
          <w14:textFill>
            <w14:solidFill>
              <w14:schemeClr w14:val="tx1"/>
            </w14:solidFill>
          </w14:textFill>
        </w:rPr>
        <w:t>附件一：投标函</w:t>
      </w:r>
      <w:bookmarkEnd w:id="122"/>
    </w:p>
    <w:p w14:paraId="6339B229">
      <w:pPr>
        <w:pStyle w:val="30"/>
        <w:spacing w:after="0" w:line="520" w:lineRule="exact"/>
        <w:jc w:val="center"/>
        <w:rPr>
          <w:rFonts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投   标   函</w:t>
      </w:r>
    </w:p>
    <w:p w14:paraId="3774B3F9">
      <w:pPr>
        <w:pStyle w:val="30"/>
        <w:spacing w:after="0" w:line="5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山东大学、山东善誉招标咨询有限公司：</w:t>
      </w:r>
    </w:p>
    <w:p w14:paraId="13293293">
      <w:pPr>
        <w:pStyle w:val="30"/>
        <w:spacing w:after="0" w:line="520" w:lineRule="exact"/>
        <w:ind w:left="-2"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经研究，我方决定参加项目编号为</w:t>
      </w:r>
      <w:r>
        <w:rPr>
          <w:rFonts w:hint="eastAsia" w:ascii="宋体" w:hAnsi="宋体" w:eastAsia="宋体" w:cs="宋体"/>
          <w:color w:val="000000" w:themeColor="text1"/>
          <w:sz w:val="24"/>
          <w:highlight w:val="none"/>
          <w:u w:val="single"/>
          <w:lang w:eastAsia="zh-CN"/>
          <w14:textFill>
            <w14:solidFill>
              <w14:schemeClr w14:val="tx1"/>
            </w14:solidFill>
          </w14:textFill>
        </w:rPr>
        <w:t>SDJDGD20250048-Q015</w:t>
      </w:r>
      <w:r>
        <w:rPr>
          <w:rFonts w:hint="eastAsia" w:ascii="宋体" w:hAnsi="宋体" w:eastAsia="宋体" w:cs="宋体"/>
          <w:color w:val="000000" w:themeColor="text1"/>
          <w:sz w:val="24"/>
          <w:highlight w:val="none"/>
          <w14:textFill>
            <w14:solidFill>
              <w14:schemeClr w14:val="tx1"/>
            </w14:solidFill>
          </w14:textFill>
        </w:rPr>
        <w:t>的</w:t>
      </w:r>
      <w:r>
        <w:rPr>
          <w:rFonts w:hint="eastAsia" w:ascii="宋体" w:hAnsi="宋体" w:eastAsia="宋体" w:cs="宋体"/>
          <w:color w:val="000000" w:themeColor="text1"/>
          <w:sz w:val="24"/>
          <w:highlight w:val="none"/>
          <w:u w:val="single"/>
          <w:lang w:eastAsia="zh-CN"/>
          <w14:textFill>
            <w14:solidFill>
              <w14:schemeClr w14:val="tx1"/>
            </w14:solidFill>
          </w14:textFill>
        </w:rPr>
        <w:t>山东大学本科生、研究生校方责任保险服务项目</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投标。为此，我方郑重声明以下及点，并负法律责任：</w:t>
      </w:r>
    </w:p>
    <w:p w14:paraId="2E85E016">
      <w:pPr>
        <w:pStyle w:val="30"/>
        <w:spacing w:after="0" w:line="520" w:lineRule="exact"/>
        <w:ind w:left="-2" w:firstLine="480"/>
        <w:rPr>
          <w:rFonts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1、我方按采购文件要求提交电子投标文件。</w:t>
      </w:r>
    </w:p>
    <w:p w14:paraId="60F265AF">
      <w:pPr>
        <w:pStyle w:val="30"/>
        <w:spacing w:after="0" w:line="520" w:lineRule="exact"/>
        <w:ind w:left="-2"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2、如果我方的电子投标文件被接受，我方将履行参考公开招标文件中规定的每一项要求，并按我方电子投标文件中的承诺按期、保质、保量提供。</w:t>
      </w:r>
    </w:p>
    <w:p w14:paraId="4E33E588">
      <w:pPr>
        <w:pStyle w:val="30"/>
        <w:spacing w:after="0" w:line="520" w:lineRule="exact"/>
        <w:ind w:left="-2"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3、我方理解，最低报价不是成交的唯一条件，你们有选择成交供应商的权利。</w:t>
      </w:r>
    </w:p>
    <w:p w14:paraId="37F96F05">
      <w:pPr>
        <w:pStyle w:val="30"/>
        <w:spacing w:after="0" w:line="520" w:lineRule="exact"/>
        <w:ind w:left="-2"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4、我方愿按《中华人民共和国民法典》履行自己的全部责任。</w:t>
      </w:r>
    </w:p>
    <w:p w14:paraId="7724D9C5">
      <w:pPr>
        <w:pStyle w:val="30"/>
        <w:spacing w:after="0" w:line="520" w:lineRule="exact"/>
        <w:ind w:left="-2"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5、我方同意按参考公开招标文件规定交纳投标保证金，遵守贵机构有关招标的各项规定。</w:t>
      </w:r>
    </w:p>
    <w:p w14:paraId="5BC35B4B">
      <w:pPr>
        <w:pStyle w:val="30"/>
        <w:spacing w:after="0" w:line="520" w:lineRule="exact"/>
        <w:ind w:left="-2"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6、我方的投标文件自开标之日起有效期为</w:t>
      </w:r>
      <w:r>
        <w:rPr>
          <w:rFonts w:hint="eastAsia" w:ascii="宋体" w:hAnsi="宋体" w:eastAsia="宋体" w:cs="宋体"/>
          <w:color w:val="000000" w:themeColor="text1"/>
          <w:sz w:val="24"/>
          <w:highlight w:val="none"/>
          <w:u w:val="single"/>
          <w14:textFill>
            <w14:solidFill>
              <w14:schemeClr w14:val="tx1"/>
            </w14:solidFill>
          </w14:textFill>
        </w:rPr>
        <w:t>120</w:t>
      </w:r>
      <w:r>
        <w:rPr>
          <w:rFonts w:hint="eastAsia" w:ascii="宋体" w:hAnsi="宋体" w:eastAsia="宋体" w:cs="宋体"/>
          <w:color w:val="000000" w:themeColor="text1"/>
          <w:sz w:val="24"/>
          <w:highlight w:val="none"/>
          <w14:textFill>
            <w14:solidFill>
              <w14:schemeClr w14:val="tx1"/>
            </w14:solidFill>
          </w14:textFill>
        </w:rPr>
        <w:t>日历天。</w:t>
      </w:r>
    </w:p>
    <w:p w14:paraId="7092287B">
      <w:pPr>
        <w:pStyle w:val="30"/>
        <w:spacing w:after="0" w:line="520" w:lineRule="exact"/>
        <w:ind w:left="-2"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7、与本投标有关的一切正式往来通讯请寄：</w:t>
      </w:r>
    </w:p>
    <w:p w14:paraId="3227E787">
      <w:pPr>
        <w:pStyle w:val="30"/>
        <w:spacing w:after="0" w:line="520" w:lineRule="exact"/>
        <w:ind w:left="571" w:leftChars="272" w:firstLine="382"/>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供应商代表姓名、职务（印刷体）：</w:t>
      </w:r>
    </w:p>
    <w:p w14:paraId="3FE9EECC">
      <w:pPr>
        <w:pStyle w:val="30"/>
        <w:spacing w:after="0" w:line="520" w:lineRule="exact"/>
        <w:ind w:left="571" w:leftChars="272" w:firstLine="382"/>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供应商单位全称（公章）</w:t>
      </w:r>
    </w:p>
    <w:p w14:paraId="0C7AF043">
      <w:pPr>
        <w:pStyle w:val="30"/>
        <w:spacing w:after="0" w:line="520" w:lineRule="exact"/>
        <w:ind w:left="571" w:leftChars="272" w:firstLine="382"/>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开户银行名称： </w:t>
      </w:r>
    </w:p>
    <w:p w14:paraId="6360003F">
      <w:pPr>
        <w:pStyle w:val="30"/>
        <w:spacing w:after="0" w:line="520" w:lineRule="exact"/>
        <w:ind w:left="571" w:leftChars="272" w:firstLine="382"/>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开户银行账号： </w:t>
      </w:r>
    </w:p>
    <w:p w14:paraId="74F65CC8">
      <w:pPr>
        <w:pStyle w:val="30"/>
        <w:spacing w:after="0" w:line="520" w:lineRule="exact"/>
        <w:ind w:left="571" w:leftChars="272" w:firstLine="382"/>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开户银行地址：</w:t>
      </w:r>
    </w:p>
    <w:p w14:paraId="2A525414">
      <w:pPr>
        <w:pStyle w:val="30"/>
        <w:spacing w:after="0" w:line="520" w:lineRule="exact"/>
        <w:ind w:left="571" w:leftChars="272" w:firstLine="382"/>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法定代表人或授权代理人签字（或盖章）：</w:t>
      </w:r>
    </w:p>
    <w:p w14:paraId="33703AA4">
      <w:pPr>
        <w:pStyle w:val="30"/>
        <w:spacing w:after="0" w:line="480" w:lineRule="exact"/>
        <w:ind w:left="571" w:leftChars="272" w:firstLine="3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    址：</w:t>
      </w:r>
    </w:p>
    <w:p w14:paraId="738661F8">
      <w:pPr>
        <w:pStyle w:val="30"/>
        <w:spacing w:after="0" w:line="480" w:lineRule="exact"/>
        <w:ind w:left="571" w:leftChars="272" w:firstLine="3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邮政编码：</w:t>
      </w:r>
    </w:p>
    <w:p w14:paraId="0569505F">
      <w:pPr>
        <w:pStyle w:val="30"/>
        <w:spacing w:after="0" w:line="480" w:lineRule="exact"/>
        <w:ind w:left="571" w:leftChars="272" w:firstLine="3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    话：</w:t>
      </w:r>
    </w:p>
    <w:p w14:paraId="343D07EE">
      <w:pPr>
        <w:pStyle w:val="30"/>
        <w:spacing w:after="0" w:line="480" w:lineRule="exact"/>
        <w:ind w:left="571" w:leftChars="272" w:firstLine="3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传    真：</w:t>
      </w:r>
    </w:p>
    <w:p w14:paraId="246610E0">
      <w:pPr>
        <w:pStyle w:val="30"/>
        <w:spacing w:after="0" w:line="520" w:lineRule="exact"/>
        <w:ind w:left="6660"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年   月   日</w:t>
      </w:r>
    </w:p>
    <w:p w14:paraId="7AA22BED">
      <w:pPr>
        <w:spacing w:line="480" w:lineRule="exact"/>
        <w:rPr>
          <w:rFonts w:ascii="宋体" w:hAnsi="宋体" w:eastAsia="宋体" w:cs="宋体"/>
          <w:color w:val="000000" w:themeColor="text1"/>
          <w:sz w:val="24"/>
          <w:highlight w:val="none"/>
          <w14:textFill>
            <w14:solidFill>
              <w14:schemeClr w14:val="tx1"/>
            </w14:solidFill>
          </w14:textFill>
        </w:rPr>
      </w:pPr>
      <w:bookmarkStart w:id="123" w:name="_Toc495321259"/>
      <w:r>
        <w:rPr>
          <w:rFonts w:hint="eastAsia" w:ascii="宋体" w:hAnsi="宋体" w:eastAsia="宋体" w:cs="宋体"/>
          <w:color w:val="000000" w:themeColor="text1"/>
          <w:sz w:val="24"/>
          <w:highlight w:val="none"/>
          <w14:textFill>
            <w14:solidFill>
              <w14:schemeClr w14:val="tx1"/>
            </w14:solidFill>
          </w14:textFill>
        </w:rPr>
        <w:br w:type="page"/>
      </w:r>
    </w:p>
    <w:bookmarkEnd w:id="123"/>
    <w:p w14:paraId="3A7C1909">
      <w:pPr>
        <w:spacing w:line="480" w:lineRule="exact"/>
        <w:outlineLvl w:val="1"/>
        <w:rPr>
          <w:rFonts w:ascii="宋体" w:hAnsi="宋体" w:eastAsia="宋体" w:cs="宋体"/>
          <w:b/>
          <w:color w:val="000000" w:themeColor="text1"/>
          <w:sz w:val="28"/>
          <w:szCs w:val="28"/>
          <w:highlight w:val="none"/>
          <w14:textFill>
            <w14:solidFill>
              <w14:schemeClr w14:val="tx1"/>
            </w14:solidFill>
          </w14:textFill>
        </w:rPr>
      </w:pPr>
      <w:bookmarkStart w:id="124" w:name="_Toc31857"/>
      <w:r>
        <w:rPr>
          <w:rFonts w:hint="eastAsia" w:ascii="宋体" w:hAnsi="宋体" w:eastAsia="宋体" w:cs="宋体"/>
          <w:b/>
          <w:color w:val="000000" w:themeColor="text1"/>
          <w:sz w:val="28"/>
          <w:szCs w:val="28"/>
          <w:highlight w:val="none"/>
          <w14:textFill>
            <w14:solidFill>
              <w14:schemeClr w14:val="tx1"/>
            </w14:solidFill>
          </w14:textFill>
        </w:rPr>
        <w:t>附件二：法定代表人身份证明或法定代表人授权委托书</w:t>
      </w:r>
      <w:bookmarkEnd w:id="124"/>
    </w:p>
    <w:p w14:paraId="45D94483">
      <w:pPr>
        <w:spacing w:line="480" w:lineRule="exact"/>
        <w:jc w:val="center"/>
        <w:rPr>
          <w:rFonts w:ascii="宋体" w:hAnsi="宋体" w:eastAsia="宋体" w:cs="宋体"/>
          <w:color w:val="000000" w:themeColor="text1"/>
          <w:highlight w:val="none"/>
          <w14:textFill>
            <w14:solidFill>
              <w14:schemeClr w14:val="tx1"/>
            </w14:solidFill>
          </w14:textFill>
        </w:rPr>
      </w:pPr>
    </w:p>
    <w:p w14:paraId="3B26320D">
      <w:pPr>
        <w:pStyle w:val="30"/>
        <w:spacing w:after="0" w:line="560" w:lineRule="exact"/>
        <w:jc w:val="center"/>
        <w:rPr>
          <w:rFonts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（一）法定代表人身份证明</w:t>
      </w:r>
    </w:p>
    <w:p w14:paraId="435AFC1B">
      <w:pPr>
        <w:spacing w:line="56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 应 商：</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14867A6B">
      <w:pPr>
        <w:spacing w:line="56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单位性质：</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06130FD9">
      <w:pPr>
        <w:spacing w:line="56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    址：</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2453BB6B">
      <w:pPr>
        <w:spacing w:line="56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成立时间：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3B49CB91">
      <w:pPr>
        <w:spacing w:line="56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经营期限：</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19134F65">
      <w:pPr>
        <w:spacing w:line="56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姓    名：</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性        别：</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14D9A7BE">
      <w:pPr>
        <w:spacing w:line="56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年    龄：</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职        务：</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7D04D386">
      <w:pPr>
        <w:spacing w:line="56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系</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（供应商名称）的法定代表人。</w:t>
      </w:r>
    </w:p>
    <w:p w14:paraId="3D33C207">
      <w:pPr>
        <w:spacing w:line="560" w:lineRule="exact"/>
        <w:rPr>
          <w:rFonts w:ascii="宋体" w:hAnsi="宋体" w:eastAsia="宋体" w:cs="宋体"/>
          <w:color w:val="000000" w:themeColor="text1"/>
          <w:sz w:val="24"/>
          <w:highlight w:val="none"/>
          <w14:textFill>
            <w14:solidFill>
              <w14:schemeClr w14:val="tx1"/>
            </w14:solidFill>
          </w14:textFill>
        </w:rPr>
      </w:pPr>
    </w:p>
    <w:p w14:paraId="05A7543F">
      <w:pPr>
        <w:spacing w:line="56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特此证明。</w:t>
      </w:r>
    </w:p>
    <w:p w14:paraId="7F57B638">
      <w:pPr>
        <w:spacing w:line="560" w:lineRule="exact"/>
        <w:rPr>
          <w:rFonts w:ascii="宋体" w:hAnsi="宋体" w:eastAsia="宋体" w:cs="宋体"/>
          <w:color w:val="000000" w:themeColor="text1"/>
          <w:sz w:val="24"/>
          <w:highlight w:val="none"/>
          <w14:textFill>
            <w14:solidFill>
              <w14:schemeClr w14:val="tx1"/>
            </w14:solidFill>
          </w14:textFill>
        </w:rPr>
      </w:pPr>
    </w:p>
    <w:tbl>
      <w:tblPr>
        <w:tblStyle w:val="74"/>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0"/>
        <w:gridCol w:w="4350"/>
      </w:tblGrid>
      <w:tr w14:paraId="513C0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5" w:hRule="atLeast"/>
        </w:trPr>
        <w:tc>
          <w:tcPr>
            <w:tcW w:w="4350" w:type="dxa"/>
            <w:tcBorders>
              <w:top w:val="single" w:color="auto" w:sz="4" w:space="0"/>
              <w:left w:val="single" w:color="auto" w:sz="4" w:space="0"/>
              <w:bottom w:val="single" w:color="auto" w:sz="4" w:space="0"/>
              <w:right w:val="single" w:color="auto" w:sz="4" w:space="0"/>
            </w:tcBorders>
            <w:vAlign w:val="center"/>
          </w:tcPr>
          <w:p w14:paraId="62F69188">
            <w:pPr>
              <w:spacing w:line="460" w:lineRule="exact"/>
              <w:ind w:left="16"/>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附法定代表人身份证正面复印件</w:t>
            </w:r>
          </w:p>
        </w:tc>
        <w:tc>
          <w:tcPr>
            <w:tcW w:w="4350" w:type="dxa"/>
            <w:tcBorders>
              <w:top w:val="single" w:color="auto" w:sz="4" w:space="0"/>
              <w:left w:val="single" w:color="auto" w:sz="4" w:space="0"/>
              <w:bottom w:val="single" w:color="auto" w:sz="4" w:space="0"/>
              <w:right w:val="single" w:color="auto" w:sz="4" w:space="0"/>
            </w:tcBorders>
            <w:vAlign w:val="center"/>
          </w:tcPr>
          <w:p w14:paraId="2839ECBE">
            <w:pPr>
              <w:spacing w:line="460" w:lineRule="exact"/>
              <w:ind w:left="16"/>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附法定代表人身份证反面复印件</w:t>
            </w:r>
          </w:p>
        </w:tc>
      </w:tr>
    </w:tbl>
    <w:p w14:paraId="06443AC8">
      <w:pPr>
        <w:spacing w:line="560" w:lineRule="exact"/>
        <w:rPr>
          <w:rFonts w:ascii="宋体" w:hAnsi="宋体" w:eastAsia="宋体" w:cs="宋体"/>
          <w:color w:val="000000" w:themeColor="text1"/>
          <w:sz w:val="24"/>
          <w:highlight w:val="none"/>
          <w14:textFill>
            <w14:solidFill>
              <w14:schemeClr w14:val="tx1"/>
            </w14:solidFill>
          </w14:textFill>
        </w:rPr>
      </w:pPr>
    </w:p>
    <w:p w14:paraId="028FC900">
      <w:pPr>
        <w:spacing w:line="560" w:lineRule="exact"/>
        <w:jc w:val="righ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611EBD45">
      <w:pPr>
        <w:pStyle w:val="30"/>
        <w:spacing w:after="0" w:line="560" w:lineRule="exact"/>
        <w:ind w:firstLine="482" w:firstLineChars="200"/>
        <w:rPr>
          <w:rFonts w:ascii="宋体" w:hAnsi="宋体" w:eastAsia="宋体" w:cs="宋体"/>
          <w:b/>
          <w:color w:val="000000" w:themeColor="text1"/>
          <w:sz w:val="24"/>
          <w:highlight w:val="none"/>
          <w14:textFill>
            <w14:solidFill>
              <w14:schemeClr w14:val="tx1"/>
            </w14:solidFill>
          </w14:textFill>
        </w:rPr>
      </w:pPr>
    </w:p>
    <w:p w14:paraId="734FE9B7">
      <w:pPr>
        <w:pStyle w:val="30"/>
        <w:spacing w:after="0" w:line="560" w:lineRule="exact"/>
        <w:ind w:firstLine="482" w:firstLineChars="200"/>
        <w:rPr>
          <w:rFonts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w:t>
      </w:r>
      <w:r>
        <w:rPr>
          <w:rFonts w:hint="eastAsia" w:ascii="宋体" w:hAnsi="宋体" w:eastAsia="宋体" w:cs="宋体"/>
          <w:b/>
          <w:bCs/>
          <w:color w:val="000000" w:themeColor="text1"/>
          <w:sz w:val="24"/>
          <w:highlight w:val="none"/>
          <w14:textFill>
            <w14:solidFill>
              <w14:schemeClr w14:val="tx1"/>
            </w14:solidFill>
          </w14:textFill>
        </w:rPr>
        <w:t>注：若法定代表人参加投标的需提供法定代表人身份证明及法定代表人的社保证明扫描件，社保证明须体现法定代表人的姓名、单位，时间为2024年10月至今任意一个月的证明。</w:t>
      </w:r>
      <w:r>
        <w:rPr>
          <w:rFonts w:hint="eastAsia" w:ascii="宋体" w:hAnsi="宋体" w:eastAsia="宋体" w:cs="宋体"/>
          <w:b/>
          <w:color w:val="000000" w:themeColor="text1"/>
          <w:sz w:val="32"/>
          <w:highlight w:val="none"/>
          <w14:textFill>
            <w14:solidFill>
              <w14:schemeClr w14:val="tx1"/>
            </w14:solidFill>
          </w14:textFill>
        </w:rPr>
        <w:br w:type="page"/>
      </w:r>
    </w:p>
    <w:p w14:paraId="5BC606AB">
      <w:pPr>
        <w:pStyle w:val="30"/>
        <w:spacing w:after="0" w:line="560" w:lineRule="exact"/>
        <w:jc w:val="center"/>
        <w:rPr>
          <w:rFonts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（二）法定代表人授权委托书</w:t>
      </w:r>
    </w:p>
    <w:p w14:paraId="56FAAB42">
      <w:pPr>
        <w:pStyle w:val="30"/>
        <w:spacing w:after="0" w:line="56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山东大学：</w:t>
      </w:r>
    </w:p>
    <w:p w14:paraId="6988D459">
      <w:pPr>
        <w:pStyle w:val="30"/>
        <w:spacing w:after="0" w:line="560"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（供应商名称）法定代表人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授权我公司</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（职务或职称）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（姓名）为我单位本次投标授权代理人，全权处理此次</w:t>
      </w:r>
      <w:r>
        <w:rPr>
          <w:rFonts w:hint="eastAsia" w:ascii="宋体" w:hAnsi="宋体" w:eastAsia="宋体" w:cs="宋体"/>
          <w:bCs/>
          <w:color w:val="000000" w:themeColor="text1"/>
          <w:sz w:val="24"/>
          <w:szCs w:val="36"/>
          <w:highlight w:val="none"/>
          <w:lang w:eastAsia="zh-CN"/>
          <w14:textFill>
            <w14:solidFill>
              <w14:schemeClr w14:val="tx1"/>
            </w14:solidFill>
          </w14:textFill>
        </w:rPr>
        <w:t>山东大学本科生、研究生校方责任保险服务项目</w:t>
      </w:r>
      <w:r>
        <w:rPr>
          <w:rFonts w:hint="eastAsia" w:ascii="宋体" w:hAnsi="宋体" w:eastAsia="宋体" w:cs="宋体"/>
          <w:color w:val="000000" w:themeColor="text1"/>
          <w:sz w:val="24"/>
          <w:highlight w:val="none"/>
          <w14:textFill>
            <w14:solidFill>
              <w14:schemeClr w14:val="tx1"/>
            </w14:solidFill>
          </w14:textFill>
        </w:rPr>
        <w:t>（招标编号：</w:t>
      </w:r>
      <w:r>
        <w:rPr>
          <w:rFonts w:hint="eastAsia" w:ascii="宋体" w:hAnsi="宋体" w:eastAsia="宋体" w:cs="宋体"/>
          <w:bCs/>
          <w:color w:val="000000" w:themeColor="text1"/>
          <w:sz w:val="24"/>
          <w:szCs w:val="36"/>
          <w:highlight w:val="none"/>
          <w:lang w:eastAsia="zh-CN"/>
          <w14:textFill>
            <w14:solidFill>
              <w14:schemeClr w14:val="tx1"/>
            </w14:solidFill>
          </w14:textFill>
        </w:rPr>
        <w:t>SDJDGD20250048-Q015</w:t>
      </w:r>
      <w:r>
        <w:rPr>
          <w:rFonts w:hint="eastAsia" w:ascii="宋体" w:hAnsi="宋体" w:eastAsia="宋体" w:cs="宋体"/>
          <w:color w:val="000000" w:themeColor="text1"/>
          <w:sz w:val="24"/>
          <w:highlight w:val="none"/>
          <w14:textFill>
            <w14:solidFill>
              <w14:schemeClr w14:val="tx1"/>
            </w14:solidFill>
          </w14:textFill>
        </w:rPr>
        <w:t>）招标活动的一切事宜。</w:t>
      </w:r>
    </w:p>
    <w:p w14:paraId="41473E36">
      <w:pPr>
        <w:pStyle w:val="30"/>
        <w:spacing w:after="0" w:line="560" w:lineRule="exact"/>
        <w:rPr>
          <w:rFonts w:ascii="宋体" w:hAnsi="宋体" w:eastAsia="宋体" w:cs="宋体"/>
          <w:color w:val="000000" w:themeColor="text1"/>
          <w:sz w:val="24"/>
          <w:highlight w:val="none"/>
          <w14:textFill>
            <w14:solidFill>
              <w14:schemeClr w14:val="tx1"/>
            </w14:solidFill>
          </w14:textFill>
        </w:rPr>
      </w:pPr>
    </w:p>
    <w:p w14:paraId="652A7C53">
      <w:pPr>
        <w:pStyle w:val="30"/>
        <w:spacing w:after="0" w:line="560" w:lineRule="exact"/>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特此授权。</w:t>
      </w:r>
    </w:p>
    <w:p w14:paraId="29F06CC5">
      <w:pPr>
        <w:pStyle w:val="30"/>
        <w:spacing w:after="0" w:line="560" w:lineRule="exact"/>
        <w:rPr>
          <w:rFonts w:ascii="宋体" w:hAnsi="宋体" w:eastAsia="宋体" w:cs="宋体"/>
          <w:color w:val="000000" w:themeColor="text1"/>
          <w:sz w:val="24"/>
          <w:highlight w:val="none"/>
          <w14:textFill>
            <w14:solidFill>
              <w14:schemeClr w14:val="tx1"/>
            </w14:solidFill>
          </w14:textFill>
        </w:rPr>
      </w:pPr>
    </w:p>
    <w:tbl>
      <w:tblPr>
        <w:tblStyle w:val="74"/>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5"/>
        <w:gridCol w:w="1086"/>
        <w:gridCol w:w="4020"/>
      </w:tblGrid>
      <w:tr w14:paraId="7DE37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trPr>
        <w:tc>
          <w:tcPr>
            <w:tcW w:w="3985" w:type="dxa"/>
            <w:tcBorders>
              <w:top w:val="single" w:color="auto" w:sz="4" w:space="0"/>
              <w:left w:val="single" w:color="auto" w:sz="4" w:space="0"/>
              <w:bottom w:val="single" w:color="auto" w:sz="4" w:space="0"/>
              <w:right w:val="single" w:color="auto" w:sz="4" w:space="0"/>
            </w:tcBorders>
            <w:vAlign w:val="center"/>
          </w:tcPr>
          <w:p w14:paraId="07899BA2">
            <w:pPr>
              <w:spacing w:line="460" w:lineRule="exact"/>
              <w:ind w:left="16"/>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附法定代表人身份证正面复印件</w:t>
            </w:r>
          </w:p>
        </w:tc>
        <w:tc>
          <w:tcPr>
            <w:tcW w:w="1086" w:type="dxa"/>
            <w:tcBorders>
              <w:top w:val="nil"/>
              <w:left w:val="single" w:color="auto" w:sz="4" w:space="0"/>
              <w:bottom w:val="nil"/>
              <w:right w:val="single" w:color="auto" w:sz="4" w:space="0"/>
            </w:tcBorders>
          </w:tcPr>
          <w:p w14:paraId="45245611">
            <w:pPr>
              <w:widowControl/>
              <w:spacing w:line="460" w:lineRule="exact"/>
              <w:jc w:val="left"/>
              <w:rPr>
                <w:rFonts w:ascii="宋体" w:hAnsi="宋体" w:eastAsia="宋体" w:cs="宋体"/>
                <w:color w:val="000000" w:themeColor="text1"/>
                <w:szCs w:val="21"/>
                <w:highlight w:val="none"/>
                <w14:textFill>
                  <w14:solidFill>
                    <w14:schemeClr w14:val="tx1"/>
                  </w14:solidFill>
                </w14:textFill>
              </w:rPr>
            </w:pPr>
          </w:p>
        </w:tc>
        <w:tc>
          <w:tcPr>
            <w:tcW w:w="4020" w:type="dxa"/>
            <w:tcBorders>
              <w:top w:val="single" w:color="auto" w:sz="4" w:space="0"/>
              <w:left w:val="single" w:color="auto" w:sz="4" w:space="0"/>
              <w:bottom w:val="single" w:color="auto" w:sz="4" w:space="0"/>
              <w:right w:val="single" w:color="auto" w:sz="4" w:space="0"/>
            </w:tcBorders>
            <w:vAlign w:val="center"/>
          </w:tcPr>
          <w:p w14:paraId="1E069734">
            <w:pPr>
              <w:widowControl/>
              <w:spacing w:line="460" w:lineRule="exact"/>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附授权代理人身份证正面复印件</w:t>
            </w:r>
          </w:p>
        </w:tc>
      </w:tr>
      <w:tr w14:paraId="08EAD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2" w:hRule="atLeast"/>
        </w:trPr>
        <w:tc>
          <w:tcPr>
            <w:tcW w:w="3985" w:type="dxa"/>
            <w:tcBorders>
              <w:top w:val="single" w:color="auto" w:sz="4" w:space="0"/>
              <w:left w:val="single" w:color="auto" w:sz="4" w:space="0"/>
              <w:bottom w:val="single" w:color="auto" w:sz="4" w:space="0"/>
              <w:right w:val="single" w:color="auto" w:sz="4" w:space="0"/>
            </w:tcBorders>
            <w:vAlign w:val="center"/>
          </w:tcPr>
          <w:p w14:paraId="1A158CB7">
            <w:pPr>
              <w:spacing w:line="460" w:lineRule="exact"/>
              <w:ind w:left="16"/>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附法定代表人身份证反面复印件</w:t>
            </w:r>
          </w:p>
        </w:tc>
        <w:tc>
          <w:tcPr>
            <w:tcW w:w="1086" w:type="dxa"/>
            <w:tcBorders>
              <w:top w:val="nil"/>
              <w:left w:val="single" w:color="auto" w:sz="4" w:space="0"/>
              <w:bottom w:val="nil"/>
              <w:right w:val="single" w:color="auto" w:sz="4" w:space="0"/>
            </w:tcBorders>
          </w:tcPr>
          <w:p w14:paraId="47C3FD28">
            <w:pPr>
              <w:widowControl/>
              <w:spacing w:line="460" w:lineRule="exact"/>
              <w:jc w:val="left"/>
              <w:rPr>
                <w:rFonts w:ascii="宋体" w:hAnsi="宋体" w:eastAsia="宋体" w:cs="宋体"/>
                <w:color w:val="000000" w:themeColor="text1"/>
                <w:szCs w:val="21"/>
                <w:highlight w:val="none"/>
                <w14:textFill>
                  <w14:solidFill>
                    <w14:schemeClr w14:val="tx1"/>
                  </w14:solidFill>
                </w14:textFill>
              </w:rPr>
            </w:pPr>
          </w:p>
        </w:tc>
        <w:tc>
          <w:tcPr>
            <w:tcW w:w="4020" w:type="dxa"/>
            <w:tcBorders>
              <w:top w:val="single" w:color="auto" w:sz="4" w:space="0"/>
              <w:left w:val="single" w:color="auto" w:sz="4" w:space="0"/>
              <w:bottom w:val="single" w:color="auto" w:sz="4" w:space="0"/>
              <w:right w:val="single" w:color="auto" w:sz="4" w:space="0"/>
            </w:tcBorders>
            <w:vAlign w:val="center"/>
          </w:tcPr>
          <w:p w14:paraId="44D3B59B">
            <w:pPr>
              <w:widowControl/>
              <w:spacing w:line="460" w:lineRule="exact"/>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附授权代理人身份证反面复印件</w:t>
            </w:r>
          </w:p>
        </w:tc>
      </w:tr>
    </w:tbl>
    <w:p w14:paraId="358C92A1">
      <w:pPr>
        <w:pStyle w:val="30"/>
        <w:spacing w:after="0" w:line="560" w:lineRule="exact"/>
        <w:rPr>
          <w:rFonts w:ascii="宋体" w:hAnsi="宋体" w:eastAsia="宋体" w:cs="宋体"/>
          <w:color w:val="000000" w:themeColor="text1"/>
          <w:sz w:val="24"/>
          <w:highlight w:val="none"/>
          <w14:textFill>
            <w14:solidFill>
              <w14:schemeClr w14:val="tx1"/>
            </w14:solidFill>
          </w14:textFill>
        </w:rPr>
      </w:pPr>
    </w:p>
    <w:p w14:paraId="6CE20A9E">
      <w:pPr>
        <w:pStyle w:val="30"/>
        <w:spacing w:after="0" w:line="56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单位名称（公章）：</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36BE5153">
      <w:pPr>
        <w:pStyle w:val="30"/>
        <w:spacing w:after="0" w:line="56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法定代表人签字（或盖章）：</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3E42B5CB">
      <w:pPr>
        <w:pStyle w:val="30"/>
        <w:spacing w:after="0" w:line="56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授权代理人签字（或盖章）：</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20450204">
      <w:pPr>
        <w:pStyle w:val="30"/>
        <w:spacing w:after="0" w:line="560" w:lineRule="exact"/>
        <w:rPr>
          <w:rFonts w:ascii="宋体" w:hAnsi="宋体" w:eastAsia="宋体" w:cs="宋体"/>
          <w:color w:val="000000" w:themeColor="text1"/>
          <w:sz w:val="24"/>
          <w:highlight w:val="none"/>
          <w14:textFill>
            <w14:solidFill>
              <w14:schemeClr w14:val="tx1"/>
            </w14:solidFill>
          </w14:textFill>
        </w:rPr>
      </w:pPr>
    </w:p>
    <w:p w14:paraId="126B220E">
      <w:pPr>
        <w:pStyle w:val="30"/>
        <w:spacing w:after="0" w:line="560" w:lineRule="exact"/>
        <w:ind w:left="5880" w:right="283" w:rightChars="135" w:firstLine="420"/>
        <w:jc w:val="right"/>
        <w:rPr>
          <w:rFonts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年    月    日</w:t>
      </w:r>
    </w:p>
    <w:p w14:paraId="33063B51">
      <w:pPr>
        <w:pStyle w:val="30"/>
        <w:spacing w:after="0" w:line="560" w:lineRule="exact"/>
        <w:ind w:firstLine="482" w:firstLineChars="200"/>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w:t>
      </w:r>
      <w:r>
        <w:rPr>
          <w:rFonts w:hint="eastAsia" w:ascii="宋体" w:hAnsi="宋体" w:eastAsia="宋体" w:cs="宋体"/>
          <w:b/>
          <w:bCs/>
          <w:color w:val="000000" w:themeColor="text1"/>
          <w:sz w:val="24"/>
          <w:highlight w:val="none"/>
          <w14:textFill>
            <w14:solidFill>
              <w14:schemeClr w14:val="tx1"/>
            </w14:solidFill>
          </w14:textFill>
        </w:rPr>
        <w:t>注：若授权代理人参加投标的需提供法定代表人授权委托书。授权代理人的社保证明扫描件，社保证明须体现授权代理人的姓名、单位，时间为</w:t>
      </w:r>
      <w:r>
        <w:rPr>
          <w:rFonts w:hint="eastAsia" w:ascii="宋体" w:hAnsi="宋体" w:eastAsia="宋体" w:cs="宋体"/>
          <w:b/>
          <w:bCs/>
          <w:color w:val="000000" w:themeColor="text1"/>
          <w:sz w:val="24"/>
          <w:highlight w:val="none"/>
          <w:lang w:eastAsia="zh-CN"/>
          <w14:textFill>
            <w14:solidFill>
              <w14:schemeClr w14:val="tx1"/>
            </w14:solidFill>
          </w14:textFill>
        </w:rPr>
        <w:t>2024年10月</w:t>
      </w:r>
      <w:r>
        <w:rPr>
          <w:rFonts w:hint="eastAsia" w:ascii="宋体" w:hAnsi="宋体" w:eastAsia="宋体" w:cs="宋体"/>
          <w:b/>
          <w:bCs/>
          <w:color w:val="000000" w:themeColor="text1"/>
          <w:sz w:val="24"/>
          <w:highlight w:val="none"/>
          <w14:textFill>
            <w14:solidFill>
              <w14:schemeClr w14:val="tx1"/>
            </w14:solidFill>
          </w14:textFill>
        </w:rPr>
        <w:t>至今任意一个月的证明。</w:t>
      </w:r>
    </w:p>
    <w:p w14:paraId="111E702A">
      <w:pPr>
        <w:rPr>
          <w:rFonts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br w:type="page"/>
      </w:r>
    </w:p>
    <w:p w14:paraId="57C1B7A6">
      <w:pPr>
        <w:spacing w:line="480" w:lineRule="exact"/>
        <w:outlineLvl w:val="1"/>
        <w:rPr>
          <w:rFonts w:ascii="宋体" w:hAnsi="宋体" w:eastAsia="宋体" w:cs="宋体"/>
          <w:b/>
          <w:color w:val="000000" w:themeColor="text1"/>
          <w:sz w:val="28"/>
          <w:szCs w:val="28"/>
          <w:highlight w:val="none"/>
          <w14:textFill>
            <w14:solidFill>
              <w14:schemeClr w14:val="tx1"/>
            </w14:solidFill>
          </w14:textFill>
        </w:rPr>
      </w:pPr>
      <w:bookmarkStart w:id="125" w:name="_Toc7243"/>
      <w:r>
        <w:rPr>
          <w:rFonts w:hint="eastAsia" w:ascii="宋体" w:hAnsi="宋体" w:eastAsia="宋体" w:cs="宋体"/>
          <w:b/>
          <w:color w:val="000000" w:themeColor="text1"/>
          <w:sz w:val="28"/>
          <w:szCs w:val="28"/>
          <w:highlight w:val="none"/>
          <w14:textFill>
            <w14:solidFill>
              <w14:schemeClr w14:val="tx1"/>
            </w14:solidFill>
          </w14:textFill>
        </w:rPr>
        <w:t>附件三：开标一览表</w:t>
      </w:r>
      <w:bookmarkEnd w:id="125"/>
    </w:p>
    <w:p w14:paraId="3DAF4494">
      <w:pPr>
        <w:pStyle w:val="30"/>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开标一览表</w:t>
      </w:r>
    </w:p>
    <w:p w14:paraId="07E6C37A">
      <w:pPr>
        <w:pStyle w:val="3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ascii="宋体" w:hAnsi="宋体" w:eastAsia="宋体" w:cs="宋体"/>
          <w:bCs/>
          <w:color w:val="000000" w:themeColor="text1"/>
          <w:sz w:val="24"/>
          <w:szCs w:val="36"/>
          <w:highlight w:val="none"/>
          <w14:textFill>
            <w14:solidFill>
              <w14:schemeClr w14:val="tx1"/>
            </w14:solidFill>
          </w14:textFill>
        </w:rPr>
      </w:pPr>
      <w:r>
        <w:rPr>
          <w:rFonts w:hint="eastAsia" w:ascii="宋体" w:hAnsi="宋体" w:eastAsia="宋体" w:cs="宋体"/>
          <w:bCs/>
          <w:color w:val="000000" w:themeColor="text1"/>
          <w:sz w:val="24"/>
          <w:szCs w:val="36"/>
          <w:highlight w:val="none"/>
          <w14:textFill>
            <w14:solidFill>
              <w14:schemeClr w14:val="tx1"/>
            </w14:solidFill>
          </w14:textFill>
        </w:rPr>
        <w:t>项目编号：</w:t>
      </w:r>
      <w:r>
        <w:rPr>
          <w:rFonts w:hint="eastAsia" w:ascii="宋体" w:hAnsi="宋体" w:eastAsia="宋体" w:cs="宋体"/>
          <w:bCs/>
          <w:color w:val="000000" w:themeColor="text1"/>
          <w:sz w:val="24"/>
          <w:szCs w:val="36"/>
          <w:highlight w:val="none"/>
          <w:lang w:eastAsia="zh-CN"/>
          <w14:textFill>
            <w14:solidFill>
              <w14:schemeClr w14:val="tx1"/>
            </w14:solidFill>
          </w14:textFill>
        </w:rPr>
        <w:t>SDJDGD20250048-Q015</w:t>
      </w:r>
      <w:r>
        <w:rPr>
          <w:rFonts w:hint="eastAsia" w:ascii="宋体" w:hAnsi="宋体" w:eastAsia="宋体" w:cs="宋体"/>
          <w:bCs/>
          <w:color w:val="000000" w:themeColor="text1"/>
          <w:sz w:val="24"/>
          <w:szCs w:val="36"/>
          <w:highlight w:val="none"/>
          <w14:textFill>
            <w14:solidFill>
              <w14:schemeClr w14:val="tx1"/>
            </w14:solidFill>
          </w14:textFill>
        </w:rPr>
        <w:t xml:space="preserve"> </w:t>
      </w:r>
      <w:r>
        <w:rPr>
          <w:rFonts w:hint="eastAsia" w:ascii="宋体" w:hAnsi="宋体" w:eastAsia="宋体" w:cs="宋体"/>
          <w:color w:val="000000" w:themeColor="text1"/>
          <w:sz w:val="24"/>
          <w:szCs w:val="36"/>
          <w:highlight w:val="none"/>
          <w14:textFill>
            <w14:solidFill>
              <w14:schemeClr w14:val="tx1"/>
            </w14:solidFill>
          </w14:textFill>
        </w:rPr>
        <w:t xml:space="preserve">  </w:t>
      </w:r>
    </w:p>
    <w:p w14:paraId="3AE5CD67">
      <w:pPr>
        <w:pStyle w:val="40"/>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hAnsi="宋体" w:eastAsia="宋体" w:cs="宋体"/>
          <w:bCs/>
          <w:color w:val="000000" w:themeColor="text1"/>
          <w:sz w:val="24"/>
          <w:szCs w:val="36"/>
          <w:highlight w:val="none"/>
          <w:lang w:eastAsia="zh-CN"/>
          <w14:textFill>
            <w14:solidFill>
              <w14:schemeClr w14:val="tx1"/>
            </w14:solidFill>
          </w14:textFill>
        </w:rPr>
      </w:pPr>
      <w:r>
        <w:rPr>
          <w:rFonts w:hint="eastAsia" w:hAnsi="宋体" w:eastAsia="宋体" w:cs="宋体"/>
          <w:bCs/>
          <w:color w:val="000000" w:themeColor="text1"/>
          <w:sz w:val="24"/>
          <w:szCs w:val="36"/>
          <w:highlight w:val="none"/>
          <w14:textFill>
            <w14:solidFill>
              <w14:schemeClr w14:val="tx1"/>
            </w14:solidFill>
          </w14:textFill>
        </w:rPr>
        <w:t>项目名称</w:t>
      </w:r>
      <w:r>
        <w:rPr>
          <w:rFonts w:hint="eastAsia" w:hAnsi="宋体" w:eastAsia="宋体" w:cs="宋体"/>
          <w:color w:val="000000" w:themeColor="text1"/>
          <w:sz w:val="24"/>
          <w:szCs w:val="36"/>
          <w:highlight w:val="none"/>
          <w14:textFill>
            <w14:solidFill>
              <w14:schemeClr w14:val="tx1"/>
            </w14:solidFill>
          </w14:textFill>
        </w:rPr>
        <w:t>：</w:t>
      </w:r>
      <w:r>
        <w:rPr>
          <w:rFonts w:hint="eastAsia" w:hAnsi="宋体" w:eastAsia="宋体" w:cs="宋体"/>
          <w:bCs/>
          <w:color w:val="000000" w:themeColor="text1"/>
          <w:sz w:val="24"/>
          <w:szCs w:val="36"/>
          <w:highlight w:val="none"/>
          <w:lang w:eastAsia="zh-CN"/>
          <w14:textFill>
            <w14:solidFill>
              <w14:schemeClr w14:val="tx1"/>
            </w14:solidFill>
          </w14:textFill>
        </w:rPr>
        <w:t>山东大学本科生、研究生校方责任保险服务项目</w:t>
      </w:r>
    </w:p>
    <w:p w14:paraId="1583A898">
      <w:pPr>
        <w:pStyle w:val="40"/>
        <w:keepNext w:val="0"/>
        <w:keepLines w:val="0"/>
        <w:pageBreakBefore w:val="0"/>
        <w:widowControl w:val="0"/>
        <w:kinsoku/>
        <w:wordWrap/>
        <w:overflowPunct/>
        <w:topLinePunct w:val="0"/>
        <w:autoSpaceDE/>
        <w:autoSpaceDN/>
        <w:bidi w:val="0"/>
        <w:adjustRightInd/>
        <w:snapToGrid w:val="0"/>
        <w:spacing w:line="360" w:lineRule="auto"/>
        <w:jc w:val="right"/>
        <w:textAlignment w:val="auto"/>
        <w:rPr>
          <w:rFonts w:hint="eastAsia" w:hAnsi="宋体" w:eastAsia="宋体" w:cs="宋体"/>
          <w:bCs/>
          <w:color w:val="000000" w:themeColor="text1"/>
          <w:sz w:val="24"/>
          <w:szCs w:val="36"/>
          <w:highlight w:val="none"/>
          <w14:textFill>
            <w14:solidFill>
              <w14:schemeClr w14:val="tx1"/>
            </w14:solidFill>
          </w14:textFill>
        </w:rPr>
      </w:pPr>
    </w:p>
    <w:p w14:paraId="1517E04B">
      <w:pPr>
        <w:pStyle w:val="40"/>
        <w:keepNext w:val="0"/>
        <w:keepLines w:val="0"/>
        <w:pageBreakBefore w:val="0"/>
        <w:widowControl w:val="0"/>
        <w:kinsoku/>
        <w:wordWrap/>
        <w:overflowPunct/>
        <w:topLinePunct w:val="0"/>
        <w:autoSpaceDE/>
        <w:autoSpaceDN/>
        <w:bidi w:val="0"/>
        <w:adjustRightInd/>
        <w:snapToGrid w:val="0"/>
        <w:spacing w:line="360" w:lineRule="auto"/>
        <w:jc w:val="right"/>
        <w:textAlignment w:val="auto"/>
        <w:rPr>
          <w:rFonts w:hAnsi="宋体" w:eastAsia="宋体" w:cs="宋体"/>
          <w:bCs/>
          <w:color w:val="000000" w:themeColor="text1"/>
          <w:sz w:val="24"/>
          <w:szCs w:val="36"/>
          <w:highlight w:val="none"/>
          <w14:textFill>
            <w14:solidFill>
              <w14:schemeClr w14:val="tx1"/>
            </w14:solidFill>
          </w14:textFill>
        </w:rPr>
      </w:pPr>
      <w:r>
        <w:rPr>
          <w:rFonts w:hint="eastAsia" w:hAnsi="宋体" w:eastAsia="宋体" w:cs="宋体"/>
          <w:bCs/>
          <w:color w:val="000000" w:themeColor="text1"/>
          <w:sz w:val="24"/>
          <w:szCs w:val="36"/>
          <w:highlight w:val="none"/>
          <w14:textFill>
            <w14:solidFill>
              <w14:schemeClr w14:val="tx1"/>
            </w14:solidFill>
          </w14:textFill>
        </w:rPr>
        <w:t>单位：元/人民币</w:t>
      </w:r>
    </w:p>
    <w:tbl>
      <w:tblPr>
        <w:tblStyle w:val="7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1"/>
        <w:gridCol w:w="1166"/>
        <w:gridCol w:w="1227"/>
        <w:gridCol w:w="2557"/>
        <w:gridCol w:w="2557"/>
        <w:gridCol w:w="821"/>
      </w:tblGrid>
      <w:tr w14:paraId="1823B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6" w:hRule="atLeast"/>
          <w:jc w:val="center"/>
        </w:trPr>
        <w:tc>
          <w:tcPr>
            <w:tcW w:w="512" w:type="pct"/>
            <w:tcBorders>
              <w:bottom w:val="single" w:color="auto" w:sz="4" w:space="0"/>
            </w:tcBorders>
            <w:vAlign w:val="center"/>
          </w:tcPr>
          <w:p w14:paraId="618A86C3">
            <w:pPr>
              <w:keepNext w:val="0"/>
              <w:keepLines w:val="0"/>
              <w:pageBreakBefore w:val="0"/>
              <w:widowControl w:val="0"/>
              <w:tabs>
                <w:tab w:val="left" w:pos="1337"/>
              </w:tabs>
              <w:kinsoku/>
              <w:wordWrap/>
              <w:overflowPunct/>
              <w:topLinePunct w:val="0"/>
              <w:autoSpaceDE/>
              <w:autoSpaceDN/>
              <w:bidi w:val="0"/>
              <w:adjustRightInd/>
              <w:snapToGrid w:val="0"/>
              <w:spacing w:line="360" w:lineRule="auto"/>
              <w:jc w:val="center"/>
              <w:textAlignment w:val="auto"/>
              <w:rPr>
                <w:rFonts w:hint="eastAsia" w:ascii="宋体" w:hAnsi="宋体" w:eastAsia="宋体"/>
                <w:b/>
                <w:color w:val="000000" w:themeColor="text1"/>
                <w:szCs w:val="21"/>
                <w:highlight w:val="none"/>
                <w14:textFill>
                  <w14:solidFill>
                    <w14:schemeClr w14:val="tx1"/>
                  </w14:solidFill>
                </w14:textFill>
              </w:rPr>
            </w:pPr>
            <w:r>
              <w:rPr>
                <w:rFonts w:hint="eastAsia" w:ascii="宋体" w:hAnsi="宋体" w:eastAsia="宋体"/>
                <w:b/>
                <w:color w:val="000000" w:themeColor="text1"/>
                <w:szCs w:val="21"/>
                <w:highlight w:val="none"/>
                <w:lang w:val="en-US" w:eastAsia="zh-CN"/>
                <w14:textFill>
                  <w14:solidFill>
                    <w14:schemeClr w14:val="tx1"/>
                  </w14:solidFill>
                </w14:textFill>
              </w:rPr>
              <w:t>项目名称</w:t>
            </w:r>
          </w:p>
        </w:tc>
        <w:tc>
          <w:tcPr>
            <w:tcW w:w="628" w:type="pct"/>
            <w:tcBorders>
              <w:bottom w:val="single" w:color="auto" w:sz="4" w:space="0"/>
            </w:tcBorders>
            <w:vAlign w:val="center"/>
          </w:tcPr>
          <w:p w14:paraId="27F62D32">
            <w:pPr>
              <w:keepNext w:val="0"/>
              <w:keepLines w:val="0"/>
              <w:pageBreakBefore w:val="0"/>
              <w:widowControl w:val="0"/>
              <w:tabs>
                <w:tab w:val="left" w:pos="1337"/>
              </w:tabs>
              <w:kinsoku/>
              <w:wordWrap/>
              <w:overflowPunct/>
              <w:topLinePunct w:val="0"/>
              <w:autoSpaceDE/>
              <w:autoSpaceDN/>
              <w:bidi w:val="0"/>
              <w:adjustRightInd/>
              <w:snapToGrid w:val="0"/>
              <w:spacing w:line="360" w:lineRule="auto"/>
              <w:jc w:val="center"/>
              <w:textAlignment w:val="auto"/>
              <w:rPr>
                <w:rFonts w:hint="eastAsia" w:ascii="宋体" w:hAnsi="宋体" w:eastAsia="宋体"/>
                <w:b/>
                <w:color w:val="000000" w:themeColor="text1"/>
                <w:szCs w:val="21"/>
                <w:highlight w:val="none"/>
                <w14:textFill>
                  <w14:solidFill>
                    <w14:schemeClr w14:val="tx1"/>
                  </w14:solidFill>
                </w14:textFill>
              </w:rPr>
            </w:pPr>
            <w:r>
              <w:rPr>
                <w:rFonts w:hint="eastAsia" w:ascii="宋体" w:hAnsi="宋体" w:eastAsia="宋体"/>
                <w:b/>
                <w:color w:val="000000" w:themeColor="text1"/>
                <w:szCs w:val="21"/>
                <w:highlight w:val="none"/>
                <w:lang w:val="en-US" w:eastAsia="zh-CN"/>
                <w14:textFill>
                  <w14:solidFill>
                    <w14:schemeClr w14:val="tx1"/>
                  </w14:solidFill>
                </w14:textFill>
              </w:rPr>
              <w:t>供应商</w:t>
            </w:r>
          </w:p>
        </w:tc>
        <w:tc>
          <w:tcPr>
            <w:tcW w:w="661" w:type="pct"/>
            <w:tcBorders>
              <w:bottom w:val="single" w:color="auto" w:sz="4" w:space="0"/>
            </w:tcBorders>
            <w:vAlign w:val="center"/>
          </w:tcPr>
          <w:p w14:paraId="36E5AE06">
            <w:pPr>
              <w:keepNext w:val="0"/>
              <w:keepLines w:val="0"/>
              <w:pageBreakBefore w:val="0"/>
              <w:widowControl w:val="0"/>
              <w:tabs>
                <w:tab w:val="left" w:pos="1337"/>
              </w:tabs>
              <w:kinsoku/>
              <w:wordWrap/>
              <w:overflowPunct/>
              <w:topLinePunct w:val="0"/>
              <w:autoSpaceDE/>
              <w:autoSpaceDN/>
              <w:bidi w:val="0"/>
              <w:adjustRightInd/>
              <w:snapToGrid w:val="0"/>
              <w:spacing w:line="360" w:lineRule="auto"/>
              <w:jc w:val="center"/>
              <w:textAlignment w:val="auto"/>
              <w:rPr>
                <w:rFonts w:hint="eastAsia" w:ascii="宋体" w:hAnsi="宋体" w:eastAsia="宋体"/>
                <w:b/>
                <w:color w:val="000000" w:themeColor="text1"/>
                <w:szCs w:val="21"/>
                <w:highlight w:val="none"/>
                <w14:textFill>
                  <w14:solidFill>
                    <w14:schemeClr w14:val="tx1"/>
                  </w14:solidFill>
                </w14:textFill>
              </w:rPr>
            </w:pPr>
            <w:r>
              <w:rPr>
                <w:rFonts w:hint="eastAsia" w:ascii="宋体" w:hAnsi="宋体" w:eastAsia="宋体"/>
                <w:b/>
                <w:color w:val="000000" w:themeColor="text1"/>
                <w:szCs w:val="21"/>
                <w:highlight w:val="none"/>
                <w:lang w:val="en-US" w:eastAsia="zh-CN"/>
                <w14:textFill>
                  <w14:solidFill>
                    <w14:schemeClr w14:val="tx1"/>
                  </w14:solidFill>
                </w14:textFill>
              </w:rPr>
              <w:t>保险费总额报价（元/学年）</w:t>
            </w:r>
          </w:p>
        </w:tc>
        <w:tc>
          <w:tcPr>
            <w:tcW w:w="1377" w:type="pct"/>
            <w:tcBorders>
              <w:bottom w:val="single" w:color="auto" w:sz="4" w:space="0"/>
            </w:tcBorders>
            <w:vAlign w:val="center"/>
          </w:tcPr>
          <w:p w14:paraId="2CDB4E42">
            <w:pPr>
              <w:keepNext w:val="0"/>
              <w:keepLines w:val="0"/>
              <w:pageBreakBefore w:val="0"/>
              <w:widowControl w:val="0"/>
              <w:tabs>
                <w:tab w:val="left" w:pos="1337"/>
              </w:tabs>
              <w:kinsoku/>
              <w:wordWrap/>
              <w:overflowPunct/>
              <w:topLinePunct w:val="0"/>
              <w:autoSpaceDE/>
              <w:autoSpaceDN/>
              <w:bidi w:val="0"/>
              <w:adjustRightInd/>
              <w:snapToGrid w:val="0"/>
              <w:spacing w:line="360" w:lineRule="auto"/>
              <w:jc w:val="center"/>
              <w:textAlignment w:val="auto"/>
              <w:rPr>
                <w:rFonts w:hint="eastAsia" w:ascii="宋体" w:hAnsi="宋体" w:eastAsia="宋体"/>
                <w:b/>
                <w:color w:val="000000" w:themeColor="text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保险费</w:t>
            </w:r>
            <w:r>
              <w:rPr>
                <w:rFonts w:hint="eastAsia" w:ascii="宋体" w:hAnsi="宋体" w:eastAsia="宋体" w:cs="宋体"/>
                <w:b/>
                <w:bCs w:val="0"/>
                <w:color w:val="000000" w:themeColor="text1"/>
                <w:sz w:val="24"/>
                <w:highlight w:val="none"/>
                <w:lang w:val="en-US" w:eastAsia="zh-CN"/>
                <w14:textFill>
                  <w14:solidFill>
                    <w14:schemeClr w14:val="tx1"/>
                  </w14:solidFill>
                </w14:textFill>
              </w:rPr>
              <w:t>单价（元/人/学年）</w:t>
            </w:r>
          </w:p>
        </w:tc>
        <w:tc>
          <w:tcPr>
            <w:tcW w:w="1377" w:type="pct"/>
            <w:tcBorders>
              <w:bottom w:val="single" w:color="auto" w:sz="4" w:space="0"/>
            </w:tcBorders>
            <w:vAlign w:val="center"/>
          </w:tcPr>
          <w:p w14:paraId="4154E25E">
            <w:pPr>
              <w:keepNext w:val="0"/>
              <w:keepLines w:val="0"/>
              <w:pageBreakBefore w:val="0"/>
              <w:widowControl w:val="0"/>
              <w:tabs>
                <w:tab w:val="left" w:pos="1337"/>
              </w:tabs>
              <w:kinsoku/>
              <w:wordWrap/>
              <w:overflowPunct/>
              <w:topLinePunct w:val="0"/>
              <w:autoSpaceDE/>
              <w:autoSpaceDN/>
              <w:bidi w:val="0"/>
              <w:adjustRightInd/>
              <w:snapToGrid w:val="0"/>
              <w:spacing w:line="360" w:lineRule="auto"/>
              <w:jc w:val="center"/>
              <w:textAlignment w:val="auto"/>
              <w:rPr>
                <w:rFonts w:hint="eastAsia" w:ascii="宋体" w:hAnsi="宋体" w:eastAsia="宋体"/>
                <w:b/>
                <w:color w:val="000000" w:themeColor="text1"/>
                <w:szCs w:val="21"/>
                <w:highlight w:val="none"/>
                <w14:textFill>
                  <w14:solidFill>
                    <w14:schemeClr w14:val="tx1"/>
                  </w14:solidFill>
                </w14:textFill>
              </w:rPr>
            </w:pPr>
            <w:r>
              <w:rPr>
                <w:rFonts w:hint="eastAsia" w:ascii="宋体" w:hAnsi="宋体" w:eastAsia="宋体"/>
                <w:b/>
                <w:color w:val="000000" w:themeColor="text1"/>
                <w:szCs w:val="21"/>
                <w:highlight w:val="none"/>
                <w:lang w:val="en-US" w:eastAsia="zh-CN"/>
                <w14:textFill>
                  <w14:solidFill>
                    <w14:schemeClr w14:val="tx1"/>
                  </w14:solidFill>
                </w14:textFill>
              </w:rPr>
              <w:t>服务承诺（主要描述限200字内，具体详细方案须在标书中体现）</w:t>
            </w:r>
          </w:p>
        </w:tc>
        <w:tc>
          <w:tcPr>
            <w:tcW w:w="442" w:type="pct"/>
            <w:tcBorders>
              <w:bottom w:val="single" w:color="auto" w:sz="4" w:space="0"/>
            </w:tcBorders>
            <w:vAlign w:val="center"/>
          </w:tcPr>
          <w:p w14:paraId="2B023594">
            <w:pPr>
              <w:keepNext w:val="0"/>
              <w:keepLines w:val="0"/>
              <w:pageBreakBefore w:val="0"/>
              <w:widowControl w:val="0"/>
              <w:tabs>
                <w:tab w:val="left" w:pos="1337"/>
              </w:tabs>
              <w:kinsoku/>
              <w:wordWrap/>
              <w:overflowPunct/>
              <w:topLinePunct w:val="0"/>
              <w:autoSpaceDE/>
              <w:autoSpaceDN/>
              <w:bidi w:val="0"/>
              <w:adjustRightInd/>
              <w:snapToGrid w:val="0"/>
              <w:spacing w:line="360" w:lineRule="auto"/>
              <w:jc w:val="center"/>
              <w:textAlignment w:val="auto"/>
              <w:rPr>
                <w:rFonts w:hint="eastAsia" w:ascii="宋体" w:hAnsi="宋体" w:eastAsia="宋体"/>
                <w:b/>
                <w:color w:val="000000" w:themeColor="text1"/>
                <w:szCs w:val="21"/>
                <w:highlight w:val="none"/>
                <w14:textFill>
                  <w14:solidFill>
                    <w14:schemeClr w14:val="tx1"/>
                  </w14:solidFill>
                </w14:textFill>
              </w:rPr>
            </w:pPr>
            <w:r>
              <w:rPr>
                <w:rFonts w:hint="eastAsia" w:ascii="宋体" w:hAnsi="宋体" w:eastAsia="宋体"/>
                <w:b/>
                <w:color w:val="000000" w:themeColor="text1"/>
                <w:szCs w:val="21"/>
                <w:highlight w:val="none"/>
                <w:lang w:val="en-US" w:eastAsia="zh-CN"/>
                <w14:textFill>
                  <w14:solidFill>
                    <w14:schemeClr w14:val="tx1"/>
                  </w14:solidFill>
                </w14:textFill>
              </w:rPr>
              <w:t>备注</w:t>
            </w:r>
          </w:p>
        </w:tc>
      </w:tr>
      <w:tr w14:paraId="5BFCD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9" w:hRule="atLeast"/>
          <w:jc w:val="center"/>
        </w:trPr>
        <w:tc>
          <w:tcPr>
            <w:tcW w:w="512" w:type="pct"/>
            <w:tcBorders>
              <w:bottom w:val="single" w:color="auto" w:sz="4" w:space="0"/>
            </w:tcBorders>
            <w:vAlign w:val="center"/>
          </w:tcPr>
          <w:p w14:paraId="615EBEC2">
            <w:pPr>
              <w:keepNext w:val="0"/>
              <w:keepLines w:val="0"/>
              <w:pageBreakBefore w:val="0"/>
              <w:widowControl w:val="0"/>
              <w:tabs>
                <w:tab w:val="left" w:pos="1337"/>
              </w:tabs>
              <w:kinsoku/>
              <w:wordWrap/>
              <w:overflowPunct/>
              <w:topLinePunct w:val="0"/>
              <w:autoSpaceDE/>
              <w:autoSpaceDN/>
              <w:bidi w:val="0"/>
              <w:adjustRightInd/>
              <w:snapToGrid w:val="0"/>
              <w:spacing w:line="360" w:lineRule="auto"/>
              <w:jc w:val="center"/>
              <w:textAlignment w:val="auto"/>
              <w:rPr>
                <w:rFonts w:ascii="宋体" w:hAnsi="宋体"/>
                <w:color w:val="000000" w:themeColor="text1"/>
                <w:szCs w:val="21"/>
                <w:highlight w:val="none"/>
                <w14:textFill>
                  <w14:solidFill>
                    <w14:schemeClr w14:val="tx1"/>
                  </w14:solidFill>
                </w14:textFill>
              </w:rPr>
            </w:pPr>
          </w:p>
        </w:tc>
        <w:tc>
          <w:tcPr>
            <w:tcW w:w="628" w:type="pct"/>
            <w:tcBorders>
              <w:bottom w:val="single" w:color="auto" w:sz="4" w:space="0"/>
            </w:tcBorders>
            <w:vAlign w:val="center"/>
          </w:tcPr>
          <w:p w14:paraId="2CD48458">
            <w:pPr>
              <w:keepNext w:val="0"/>
              <w:keepLines w:val="0"/>
              <w:pageBreakBefore w:val="0"/>
              <w:widowControl w:val="0"/>
              <w:tabs>
                <w:tab w:val="left" w:pos="1337"/>
              </w:tabs>
              <w:kinsoku/>
              <w:wordWrap/>
              <w:overflowPunct/>
              <w:topLinePunct w:val="0"/>
              <w:autoSpaceDE/>
              <w:autoSpaceDN/>
              <w:bidi w:val="0"/>
              <w:adjustRightInd/>
              <w:snapToGrid w:val="0"/>
              <w:spacing w:line="360" w:lineRule="auto"/>
              <w:jc w:val="center"/>
              <w:textAlignment w:val="auto"/>
              <w:rPr>
                <w:rFonts w:ascii="宋体" w:hAnsi="宋体"/>
                <w:b/>
                <w:color w:val="000000" w:themeColor="text1"/>
                <w:szCs w:val="21"/>
                <w:highlight w:val="none"/>
                <w14:textFill>
                  <w14:solidFill>
                    <w14:schemeClr w14:val="tx1"/>
                  </w14:solidFill>
                </w14:textFill>
              </w:rPr>
            </w:pPr>
          </w:p>
        </w:tc>
        <w:tc>
          <w:tcPr>
            <w:tcW w:w="661" w:type="pct"/>
            <w:tcBorders>
              <w:bottom w:val="single" w:color="auto" w:sz="4" w:space="0"/>
            </w:tcBorders>
            <w:vAlign w:val="center"/>
          </w:tcPr>
          <w:p w14:paraId="6AA44299">
            <w:pPr>
              <w:keepNext w:val="0"/>
              <w:keepLines w:val="0"/>
              <w:pageBreakBefore w:val="0"/>
              <w:widowControl w:val="0"/>
              <w:tabs>
                <w:tab w:val="left" w:pos="1337"/>
              </w:tabs>
              <w:kinsoku/>
              <w:wordWrap/>
              <w:overflowPunct/>
              <w:topLinePunct w:val="0"/>
              <w:autoSpaceDE/>
              <w:autoSpaceDN/>
              <w:bidi w:val="0"/>
              <w:adjustRightInd/>
              <w:snapToGrid w:val="0"/>
              <w:spacing w:line="360" w:lineRule="auto"/>
              <w:jc w:val="center"/>
              <w:textAlignment w:val="auto"/>
              <w:rPr>
                <w:rFonts w:ascii="宋体" w:hAnsi="宋体"/>
                <w:color w:val="000000" w:themeColor="text1"/>
                <w:szCs w:val="21"/>
                <w:highlight w:val="none"/>
                <w14:textFill>
                  <w14:solidFill>
                    <w14:schemeClr w14:val="tx1"/>
                  </w14:solidFill>
                </w14:textFill>
              </w:rPr>
            </w:pPr>
          </w:p>
        </w:tc>
        <w:tc>
          <w:tcPr>
            <w:tcW w:w="1377" w:type="pct"/>
            <w:tcBorders>
              <w:bottom w:val="single" w:color="auto" w:sz="4" w:space="0"/>
            </w:tcBorders>
            <w:vAlign w:val="center"/>
          </w:tcPr>
          <w:p w14:paraId="45D4A6C4">
            <w:pPr>
              <w:keepNext w:val="0"/>
              <w:keepLines w:val="0"/>
              <w:pageBreakBefore w:val="0"/>
              <w:widowControl w:val="0"/>
              <w:tabs>
                <w:tab w:val="left" w:pos="1337"/>
              </w:tabs>
              <w:kinsoku/>
              <w:wordWrap/>
              <w:overflowPunct/>
              <w:topLinePunct w:val="0"/>
              <w:autoSpaceDE/>
              <w:autoSpaceDN/>
              <w:bidi w:val="0"/>
              <w:adjustRightInd/>
              <w:snapToGrid w:val="0"/>
              <w:spacing w:line="360" w:lineRule="auto"/>
              <w:jc w:val="center"/>
              <w:textAlignment w:val="auto"/>
              <w:rPr>
                <w:rFonts w:ascii="宋体" w:hAnsi="宋体"/>
                <w:color w:val="000000" w:themeColor="text1"/>
                <w:szCs w:val="21"/>
                <w:highlight w:val="none"/>
                <w14:textFill>
                  <w14:solidFill>
                    <w14:schemeClr w14:val="tx1"/>
                  </w14:solidFill>
                </w14:textFill>
              </w:rPr>
            </w:pPr>
          </w:p>
        </w:tc>
        <w:tc>
          <w:tcPr>
            <w:tcW w:w="1377" w:type="pct"/>
            <w:tcBorders>
              <w:bottom w:val="single" w:color="auto" w:sz="4" w:space="0"/>
            </w:tcBorders>
            <w:vAlign w:val="center"/>
          </w:tcPr>
          <w:p w14:paraId="2CF66BD2">
            <w:pPr>
              <w:keepNext w:val="0"/>
              <w:keepLines w:val="0"/>
              <w:pageBreakBefore w:val="0"/>
              <w:widowControl w:val="0"/>
              <w:tabs>
                <w:tab w:val="left" w:pos="1337"/>
              </w:tabs>
              <w:kinsoku/>
              <w:wordWrap/>
              <w:overflowPunct/>
              <w:topLinePunct w:val="0"/>
              <w:autoSpaceDE/>
              <w:autoSpaceDN/>
              <w:bidi w:val="0"/>
              <w:adjustRightInd/>
              <w:snapToGrid w:val="0"/>
              <w:spacing w:line="360" w:lineRule="auto"/>
              <w:jc w:val="center"/>
              <w:textAlignment w:val="auto"/>
              <w:rPr>
                <w:rFonts w:ascii="宋体" w:hAnsi="宋体"/>
                <w:color w:val="000000" w:themeColor="text1"/>
                <w:szCs w:val="21"/>
                <w:highlight w:val="none"/>
                <w14:textFill>
                  <w14:solidFill>
                    <w14:schemeClr w14:val="tx1"/>
                  </w14:solidFill>
                </w14:textFill>
              </w:rPr>
            </w:pPr>
          </w:p>
        </w:tc>
        <w:tc>
          <w:tcPr>
            <w:tcW w:w="442" w:type="pct"/>
            <w:tcBorders>
              <w:bottom w:val="single" w:color="auto" w:sz="4" w:space="0"/>
            </w:tcBorders>
            <w:vAlign w:val="center"/>
          </w:tcPr>
          <w:p w14:paraId="10BD14AD">
            <w:pPr>
              <w:keepNext w:val="0"/>
              <w:keepLines w:val="0"/>
              <w:pageBreakBefore w:val="0"/>
              <w:widowControl w:val="0"/>
              <w:tabs>
                <w:tab w:val="left" w:pos="1337"/>
              </w:tabs>
              <w:kinsoku/>
              <w:wordWrap/>
              <w:overflowPunct/>
              <w:topLinePunct w:val="0"/>
              <w:autoSpaceDE/>
              <w:autoSpaceDN/>
              <w:bidi w:val="0"/>
              <w:adjustRightInd/>
              <w:snapToGrid w:val="0"/>
              <w:spacing w:line="360" w:lineRule="auto"/>
              <w:jc w:val="center"/>
              <w:textAlignment w:val="auto"/>
              <w:rPr>
                <w:rFonts w:ascii="宋体" w:hAnsi="宋体"/>
                <w:color w:val="000000" w:themeColor="text1"/>
                <w:szCs w:val="21"/>
                <w:highlight w:val="none"/>
                <w14:textFill>
                  <w14:solidFill>
                    <w14:schemeClr w14:val="tx1"/>
                  </w14:solidFill>
                </w14:textFill>
              </w:rPr>
            </w:pPr>
          </w:p>
        </w:tc>
      </w:tr>
    </w:tbl>
    <w:p w14:paraId="63C552BB">
      <w:pPr>
        <w:keepNext w:val="0"/>
        <w:keepLines w:val="0"/>
        <w:pageBreakBefore w:val="0"/>
        <w:widowControl w:val="0"/>
        <w:kinsoku/>
        <w:wordWrap/>
        <w:overflowPunct/>
        <w:topLinePunct w:val="0"/>
        <w:autoSpaceDE/>
        <w:autoSpaceDN/>
        <w:bidi w:val="0"/>
        <w:adjustRightInd/>
        <w:snapToGrid w:val="0"/>
        <w:spacing w:line="360" w:lineRule="auto"/>
        <w:ind w:right="187"/>
        <w:textAlignment w:val="auto"/>
        <w:rPr>
          <w:rFonts w:hint="eastAsia" w:ascii="宋体" w:hAnsi="宋体" w:eastAsia="宋体" w:cs="宋体"/>
          <w:b/>
          <w:bCs w:val="0"/>
          <w:color w:val="000000" w:themeColor="text1"/>
          <w:sz w:val="24"/>
          <w:szCs w:val="24"/>
          <w:highlight w:val="none"/>
          <w14:textFill>
            <w14:solidFill>
              <w14:schemeClr w14:val="tx1"/>
            </w14:solidFill>
          </w14:textFill>
        </w:rPr>
      </w:pPr>
    </w:p>
    <w:p w14:paraId="5DD5B6BC">
      <w:pPr>
        <w:keepNext w:val="0"/>
        <w:keepLines w:val="0"/>
        <w:pageBreakBefore w:val="0"/>
        <w:widowControl w:val="0"/>
        <w:kinsoku/>
        <w:wordWrap/>
        <w:overflowPunct/>
        <w:topLinePunct w:val="0"/>
        <w:autoSpaceDE/>
        <w:autoSpaceDN/>
        <w:bidi w:val="0"/>
        <w:adjustRightInd/>
        <w:snapToGrid w:val="0"/>
        <w:spacing w:line="360" w:lineRule="auto"/>
        <w:ind w:right="187"/>
        <w:textAlignment w:val="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注：</w:t>
      </w:r>
      <w:r>
        <w:rPr>
          <w:rFonts w:hint="eastAsia" w:ascii="宋体" w:hAnsi="宋体" w:eastAsia="宋体" w:cs="宋体"/>
          <w:b/>
          <w:bCs w:val="0"/>
          <w:color w:val="000000" w:themeColor="text1"/>
          <w:sz w:val="24"/>
          <w:highlight w:val="none"/>
          <w14:textFill>
            <w14:solidFill>
              <w14:schemeClr w14:val="tx1"/>
            </w14:solidFill>
          </w14:textFill>
        </w:rPr>
        <w:t>保险费</w:t>
      </w:r>
      <w:r>
        <w:rPr>
          <w:rFonts w:hint="eastAsia" w:ascii="宋体" w:hAnsi="宋体" w:eastAsia="宋体" w:cs="宋体"/>
          <w:b/>
          <w:bCs w:val="0"/>
          <w:color w:val="000000" w:themeColor="text1"/>
          <w:sz w:val="24"/>
          <w:highlight w:val="none"/>
          <w:lang w:val="en-US" w:eastAsia="zh-CN"/>
          <w14:textFill>
            <w14:solidFill>
              <w14:schemeClr w14:val="tx1"/>
            </w14:solidFill>
          </w14:textFill>
        </w:rPr>
        <w:t>总额报价</w:t>
      </w:r>
      <w:r>
        <w:rPr>
          <w:rFonts w:hint="eastAsia" w:ascii="宋体" w:hAnsi="宋体" w:eastAsia="宋体" w:cs="宋体"/>
          <w:b/>
          <w:bCs w:val="0"/>
          <w:color w:val="000000" w:themeColor="text1"/>
          <w:sz w:val="24"/>
          <w:highlight w:val="none"/>
          <w14:textFill>
            <w14:solidFill>
              <w14:schemeClr w14:val="tx1"/>
            </w14:solidFill>
          </w14:textFill>
        </w:rPr>
        <w:t xml:space="preserve"> = 保险费</w:t>
      </w:r>
      <w:r>
        <w:rPr>
          <w:rFonts w:hint="eastAsia" w:ascii="宋体" w:hAnsi="宋体" w:eastAsia="宋体" w:cs="宋体"/>
          <w:b/>
          <w:bCs w:val="0"/>
          <w:color w:val="000000" w:themeColor="text1"/>
          <w:sz w:val="24"/>
          <w:highlight w:val="none"/>
          <w:lang w:val="en-US" w:eastAsia="zh-CN"/>
          <w14:textFill>
            <w14:solidFill>
              <w14:schemeClr w14:val="tx1"/>
            </w14:solidFill>
          </w14:textFill>
        </w:rPr>
        <w:t>成交单价</w:t>
      </w:r>
      <w:r>
        <w:rPr>
          <w:rFonts w:hint="eastAsia" w:ascii="宋体" w:hAnsi="宋体" w:eastAsia="宋体" w:cs="宋体"/>
          <w:b/>
          <w:bCs w:val="0"/>
          <w:color w:val="000000" w:themeColor="text1"/>
          <w:sz w:val="24"/>
          <w:highlight w:val="none"/>
          <w14:textFill>
            <w14:solidFill>
              <w14:schemeClr w14:val="tx1"/>
            </w14:solidFill>
          </w14:textFill>
        </w:rPr>
        <w:t xml:space="preserve"> * 投保学生人数</w:t>
      </w:r>
      <w:r>
        <w:rPr>
          <w:rFonts w:hint="eastAsia" w:ascii="宋体" w:hAnsi="宋体" w:eastAsia="宋体" w:cs="宋体"/>
          <w:b/>
          <w:bCs w:val="0"/>
          <w:color w:val="000000" w:themeColor="text1"/>
          <w:sz w:val="24"/>
          <w:highlight w:val="none"/>
          <w:lang w:eastAsia="zh-CN"/>
          <w14:textFill>
            <w14:solidFill>
              <w14:schemeClr w14:val="tx1"/>
            </w14:solidFill>
          </w14:textFill>
        </w:rPr>
        <w:t>（保险费成交单价不得高于</w:t>
      </w:r>
      <w:r>
        <w:rPr>
          <w:rFonts w:hint="eastAsia" w:ascii="宋体" w:hAnsi="宋体" w:eastAsia="宋体" w:cs="宋体"/>
          <w:b/>
          <w:bCs w:val="0"/>
          <w:color w:val="000000" w:themeColor="text1"/>
          <w:sz w:val="24"/>
          <w:highlight w:val="none"/>
          <w:lang w:val="en-US" w:eastAsia="zh-CN"/>
          <w14:textFill>
            <w14:solidFill>
              <w14:schemeClr w14:val="tx1"/>
            </w14:solidFill>
          </w14:textFill>
        </w:rPr>
        <w:t>10元/人/学年，投保学生人数预估为6.68万人</w:t>
      </w:r>
      <w:r>
        <w:rPr>
          <w:rFonts w:hint="eastAsia" w:ascii="宋体" w:hAnsi="宋体" w:eastAsia="宋体" w:cs="宋体"/>
          <w:b/>
          <w:bCs w:val="0"/>
          <w:color w:val="000000" w:themeColor="text1"/>
          <w:sz w:val="24"/>
          <w:highlight w:val="none"/>
          <w:lang w:eastAsia="zh-CN"/>
          <w14:textFill>
            <w14:solidFill>
              <w14:schemeClr w14:val="tx1"/>
            </w14:solidFill>
          </w14:textFill>
        </w:rPr>
        <w:t>）</w:t>
      </w:r>
    </w:p>
    <w:p w14:paraId="59645230">
      <w:pPr>
        <w:keepNext w:val="0"/>
        <w:keepLines w:val="0"/>
        <w:pageBreakBefore w:val="0"/>
        <w:widowControl w:val="0"/>
        <w:kinsoku/>
        <w:wordWrap/>
        <w:overflowPunct/>
        <w:topLinePunct w:val="0"/>
        <w:autoSpaceDE/>
        <w:autoSpaceDN/>
        <w:bidi w:val="0"/>
        <w:adjustRightInd/>
        <w:snapToGrid w:val="0"/>
        <w:spacing w:line="360" w:lineRule="auto"/>
        <w:ind w:right="187"/>
        <w:textAlignment w:val="auto"/>
        <w:rPr>
          <w:rFonts w:hint="eastAsia" w:ascii="宋体" w:hAnsi="宋体" w:eastAsia="宋体" w:cs="宋体"/>
          <w:color w:val="000000" w:themeColor="text1"/>
          <w:sz w:val="24"/>
          <w:highlight w:val="none"/>
          <w:lang w:eastAsia="zh-CN"/>
          <w14:textFill>
            <w14:solidFill>
              <w14:schemeClr w14:val="tx1"/>
            </w14:solidFill>
          </w14:textFill>
        </w:rPr>
      </w:pPr>
    </w:p>
    <w:p w14:paraId="2C044B2A">
      <w:pPr>
        <w:keepNext w:val="0"/>
        <w:keepLines w:val="0"/>
        <w:pageBreakBefore w:val="0"/>
        <w:widowControl w:val="0"/>
        <w:kinsoku/>
        <w:wordWrap/>
        <w:overflowPunct/>
        <w:topLinePunct w:val="0"/>
        <w:autoSpaceDE/>
        <w:autoSpaceDN/>
        <w:bidi w:val="0"/>
        <w:adjustRightInd/>
        <w:snapToGrid w:val="0"/>
        <w:spacing w:line="360" w:lineRule="auto"/>
        <w:ind w:right="187"/>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供应商名称（公章）：                </w:t>
      </w:r>
    </w:p>
    <w:p w14:paraId="3BC44C6C">
      <w:pPr>
        <w:keepNext w:val="0"/>
        <w:keepLines w:val="0"/>
        <w:pageBreakBefore w:val="0"/>
        <w:widowControl w:val="0"/>
        <w:kinsoku/>
        <w:wordWrap/>
        <w:overflowPunct/>
        <w:topLinePunct w:val="0"/>
        <w:autoSpaceDE/>
        <w:autoSpaceDN/>
        <w:bidi w:val="0"/>
        <w:adjustRightInd/>
        <w:snapToGrid w:val="0"/>
        <w:spacing w:line="360" w:lineRule="auto"/>
        <w:ind w:right="187"/>
        <w:textAlignment w:val="auto"/>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法定代表人或授权代理人签字（或盖章）：  </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w:t>
      </w:r>
    </w:p>
    <w:p w14:paraId="74B48D9E">
      <w:pPr>
        <w:keepNext w:val="0"/>
        <w:keepLines w:val="0"/>
        <w:pageBreakBefore w:val="0"/>
        <w:widowControl w:val="0"/>
        <w:kinsoku/>
        <w:wordWrap/>
        <w:overflowPunct/>
        <w:topLinePunct w:val="0"/>
        <w:autoSpaceDE/>
        <w:autoSpaceDN/>
        <w:bidi w:val="0"/>
        <w:adjustRightInd/>
        <w:snapToGrid w:val="0"/>
        <w:spacing w:line="360" w:lineRule="auto"/>
        <w:ind w:firstLine="630" w:firstLineChars="300"/>
        <w:textAlignment w:val="auto"/>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年   月   日</w:t>
      </w:r>
    </w:p>
    <w:p w14:paraId="4DA9E40D">
      <w:pPr>
        <w:pStyle w:val="136"/>
        <w:keepNext w:val="0"/>
        <w:keepLines w:val="0"/>
        <w:pageBreakBefore w:val="0"/>
        <w:widowControl w:val="0"/>
        <w:kinsoku/>
        <w:wordWrap/>
        <w:overflowPunct/>
        <w:topLinePunct w:val="0"/>
        <w:autoSpaceDE/>
        <w:autoSpaceDN/>
        <w:bidi w:val="0"/>
        <w:adjustRightInd/>
        <w:snapToGrid w:val="0"/>
        <w:spacing w:line="360" w:lineRule="auto"/>
        <w:ind w:firstLine="0" w:firstLineChars="0"/>
        <w:textAlignment w:val="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099EB818">
      <w:pPr>
        <w:outlineLvl w:val="1"/>
        <w:rPr>
          <w:rFonts w:ascii="宋体" w:hAnsi="宋体" w:eastAsia="宋体" w:cs="宋体"/>
          <w:b/>
          <w:color w:val="000000" w:themeColor="text1"/>
          <w:sz w:val="28"/>
          <w:szCs w:val="28"/>
          <w:highlight w:val="none"/>
          <w14:textFill>
            <w14:solidFill>
              <w14:schemeClr w14:val="tx1"/>
            </w14:solidFill>
          </w14:textFill>
        </w:rPr>
      </w:pPr>
      <w:bookmarkStart w:id="126" w:name="_Toc14011"/>
      <w:bookmarkStart w:id="127" w:name="_Toc30324818"/>
      <w:r>
        <w:rPr>
          <w:rFonts w:hint="eastAsia" w:ascii="宋体" w:hAnsi="宋体" w:eastAsia="宋体" w:cs="宋体"/>
          <w:b/>
          <w:color w:val="000000" w:themeColor="text1"/>
          <w:sz w:val="28"/>
          <w:szCs w:val="28"/>
          <w:highlight w:val="none"/>
          <w14:textFill>
            <w14:solidFill>
              <w14:schemeClr w14:val="tx1"/>
            </w14:solidFill>
          </w14:textFill>
        </w:rPr>
        <w:t>附件四：投标明细表</w:t>
      </w:r>
      <w:bookmarkEnd w:id="126"/>
    </w:p>
    <w:p w14:paraId="7DF0856A">
      <w:pPr>
        <w:spacing w:line="460" w:lineRule="exact"/>
        <w:jc w:val="center"/>
        <w:rPr>
          <w:rFonts w:hint="eastAsia" w:ascii="宋体" w:hAnsi="宋体" w:eastAsia="宋体" w:cs="宋体"/>
          <w:b/>
          <w:color w:val="000000" w:themeColor="text1"/>
          <w:sz w:val="28"/>
          <w:szCs w:val="28"/>
          <w:highlight w:val="none"/>
          <w14:textFill>
            <w14:solidFill>
              <w14:schemeClr w14:val="tx1"/>
            </w14:solidFill>
          </w14:textFill>
        </w:rPr>
      </w:pPr>
    </w:p>
    <w:p w14:paraId="29091D61">
      <w:pPr>
        <w:spacing w:line="460" w:lineRule="exact"/>
        <w:jc w:val="center"/>
        <w:rPr>
          <w:rFonts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投标明细表</w:t>
      </w:r>
    </w:p>
    <w:p w14:paraId="5DB8CF9A">
      <w:pPr>
        <w:spacing w:line="420" w:lineRule="exact"/>
        <w:rPr>
          <w:rFonts w:ascii="宋体" w:hAnsi="宋体" w:eastAsia="宋体" w:cs="宋体"/>
          <w:bCs/>
          <w:color w:val="000000" w:themeColor="text1"/>
          <w:kern w:val="0"/>
          <w:sz w:val="24"/>
          <w:szCs w:val="36"/>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项目编号：</w:t>
      </w:r>
      <w:r>
        <w:rPr>
          <w:rFonts w:hint="eastAsia" w:ascii="宋体" w:hAnsi="宋体" w:eastAsia="宋体" w:cs="宋体"/>
          <w:bCs/>
          <w:color w:val="000000" w:themeColor="text1"/>
          <w:kern w:val="0"/>
          <w:sz w:val="24"/>
          <w:szCs w:val="36"/>
          <w:highlight w:val="none"/>
          <w:lang w:eastAsia="zh-CN"/>
          <w14:textFill>
            <w14:solidFill>
              <w14:schemeClr w14:val="tx1"/>
            </w14:solidFill>
          </w14:textFill>
        </w:rPr>
        <w:t>SDJDGD20250048-Q015</w:t>
      </w:r>
      <w:r>
        <w:rPr>
          <w:rFonts w:hint="eastAsia" w:ascii="宋体" w:hAnsi="宋体" w:eastAsia="宋体" w:cs="宋体"/>
          <w:bCs/>
          <w:color w:val="000000" w:themeColor="text1"/>
          <w:kern w:val="0"/>
          <w:sz w:val="24"/>
          <w:szCs w:val="36"/>
          <w:highlight w:val="none"/>
          <w14:textFill>
            <w14:solidFill>
              <w14:schemeClr w14:val="tx1"/>
            </w14:solidFill>
          </w14:textFill>
        </w:rPr>
        <w:t xml:space="preserve">   </w:t>
      </w:r>
    </w:p>
    <w:p w14:paraId="16013E16">
      <w:pPr>
        <w:spacing w:line="420" w:lineRule="exact"/>
        <w:rPr>
          <w:rFonts w:hint="eastAsia" w:ascii="宋体" w:hAnsi="宋体" w:eastAsia="宋体" w:cs="宋体"/>
          <w:bCs/>
          <w:color w:val="000000" w:themeColor="text1"/>
          <w:kern w:val="0"/>
          <w:sz w:val="24"/>
          <w:szCs w:val="36"/>
          <w:highlight w:val="none"/>
          <w:lang w:eastAsia="zh-CN"/>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项目名称：</w:t>
      </w:r>
      <w:r>
        <w:rPr>
          <w:rFonts w:hint="eastAsia" w:ascii="宋体" w:hAnsi="宋体" w:eastAsia="宋体" w:cs="宋体"/>
          <w:bCs/>
          <w:color w:val="000000" w:themeColor="text1"/>
          <w:kern w:val="0"/>
          <w:sz w:val="24"/>
          <w:szCs w:val="36"/>
          <w:highlight w:val="none"/>
          <w:lang w:eastAsia="zh-CN"/>
          <w14:textFill>
            <w14:solidFill>
              <w14:schemeClr w14:val="tx1"/>
            </w14:solidFill>
          </w14:textFill>
        </w:rPr>
        <w:t>山东大学本科生、研究生校方责任保险服务项目</w:t>
      </w:r>
    </w:p>
    <w:p w14:paraId="063CEF50">
      <w:pPr>
        <w:spacing w:line="420" w:lineRule="exact"/>
        <w:rPr>
          <w:rFonts w:ascii="宋体" w:hAnsi="宋体" w:eastAsia="宋体" w:cs="宋体"/>
          <w:b/>
          <w:bCs/>
          <w:color w:val="000000" w:themeColor="text1"/>
          <w:sz w:val="24"/>
          <w:highlight w:val="none"/>
          <w14:textFill>
            <w14:solidFill>
              <w14:schemeClr w14:val="tx1"/>
            </w14:solidFill>
          </w14:textFill>
        </w:rPr>
      </w:pPr>
    </w:p>
    <w:p w14:paraId="013F1834">
      <w:pPr>
        <w:keepNext w:val="0"/>
        <w:keepLines w:val="0"/>
        <w:pageBreakBefore w:val="0"/>
        <w:kinsoku/>
        <w:wordWrap/>
        <w:overflowPunct/>
        <w:topLinePunct w:val="0"/>
        <w:autoSpaceDE/>
        <w:autoSpaceDN/>
        <w:bidi w:val="0"/>
        <w:adjustRightInd/>
        <w:snapToGrid w:val="0"/>
        <w:spacing w:line="360" w:lineRule="auto"/>
        <w:jc w:val="right"/>
        <w:textAlignment w:val="auto"/>
        <w:rPr>
          <w:rFonts w:ascii="宋体" w:hAnsi="宋体" w:eastAsia="宋体" w:cs="宋体"/>
          <w:bCs/>
          <w:color w:val="000000" w:themeColor="text1"/>
          <w:kern w:val="0"/>
          <w:sz w:val="24"/>
          <w:szCs w:val="36"/>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单位：元/人民币</w:t>
      </w:r>
    </w:p>
    <w:tbl>
      <w:tblPr>
        <w:tblStyle w:val="7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9"/>
        <w:gridCol w:w="3775"/>
        <w:gridCol w:w="843"/>
        <w:gridCol w:w="843"/>
        <w:gridCol w:w="1069"/>
        <w:gridCol w:w="1012"/>
        <w:gridCol w:w="828"/>
      </w:tblGrid>
      <w:tr w14:paraId="5FE3F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490" w:type="pct"/>
            <w:vAlign w:val="center"/>
          </w:tcPr>
          <w:p w14:paraId="60745327">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序号</w:t>
            </w:r>
          </w:p>
        </w:tc>
        <w:tc>
          <w:tcPr>
            <w:tcW w:w="2034" w:type="pct"/>
            <w:vAlign w:val="center"/>
          </w:tcPr>
          <w:p w14:paraId="5EC8FE06">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服务内容</w:t>
            </w:r>
          </w:p>
        </w:tc>
        <w:tc>
          <w:tcPr>
            <w:tcW w:w="454" w:type="pct"/>
            <w:vAlign w:val="center"/>
          </w:tcPr>
          <w:p w14:paraId="09CEB98E">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单位</w:t>
            </w:r>
          </w:p>
        </w:tc>
        <w:tc>
          <w:tcPr>
            <w:tcW w:w="454" w:type="pct"/>
            <w:vAlign w:val="center"/>
          </w:tcPr>
          <w:p w14:paraId="2767E8D8">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数量</w:t>
            </w:r>
          </w:p>
        </w:tc>
        <w:tc>
          <w:tcPr>
            <w:tcW w:w="575" w:type="pct"/>
            <w:vAlign w:val="center"/>
          </w:tcPr>
          <w:p w14:paraId="15214049">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单价</w:t>
            </w:r>
          </w:p>
        </w:tc>
        <w:tc>
          <w:tcPr>
            <w:tcW w:w="545" w:type="pct"/>
            <w:vAlign w:val="center"/>
          </w:tcPr>
          <w:p w14:paraId="6543E75C">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合价</w:t>
            </w:r>
          </w:p>
        </w:tc>
        <w:tc>
          <w:tcPr>
            <w:tcW w:w="446" w:type="pct"/>
            <w:vAlign w:val="center"/>
          </w:tcPr>
          <w:p w14:paraId="5B4A9CDB">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备注</w:t>
            </w:r>
          </w:p>
        </w:tc>
      </w:tr>
      <w:tr w14:paraId="02C48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490" w:type="pct"/>
            <w:vAlign w:val="center"/>
          </w:tcPr>
          <w:p w14:paraId="774395D8">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1</w:t>
            </w:r>
          </w:p>
        </w:tc>
        <w:tc>
          <w:tcPr>
            <w:tcW w:w="2034" w:type="pct"/>
            <w:vAlign w:val="center"/>
          </w:tcPr>
          <w:p w14:paraId="365E834C">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54" w:type="pct"/>
            <w:vAlign w:val="center"/>
          </w:tcPr>
          <w:p w14:paraId="4E8E262F">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54" w:type="pct"/>
            <w:vAlign w:val="center"/>
          </w:tcPr>
          <w:p w14:paraId="780B409E">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575" w:type="pct"/>
            <w:vAlign w:val="center"/>
          </w:tcPr>
          <w:p w14:paraId="1C97FA3E">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545" w:type="pct"/>
            <w:vAlign w:val="center"/>
          </w:tcPr>
          <w:p w14:paraId="49A16158">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46" w:type="pct"/>
            <w:vAlign w:val="center"/>
          </w:tcPr>
          <w:p w14:paraId="7CAF4F55">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r>
      <w:tr w14:paraId="02EE1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490" w:type="pct"/>
            <w:vAlign w:val="center"/>
          </w:tcPr>
          <w:p w14:paraId="62111B81">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2</w:t>
            </w:r>
          </w:p>
        </w:tc>
        <w:tc>
          <w:tcPr>
            <w:tcW w:w="2034" w:type="pct"/>
            <w:vAlign w:val="center"/>
          </w:tcPr>
          <w:p w14:paraId="5A6DC3F5">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54" w:type="pct"/>
            <w:vAlign w:val="center"/>
          </w:tcPr>
          <w:p w14:paraId="4E3C37BF">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54" w:type="pct"/>
            <w:vAlign w:val="center"/>
          </w:tcPr>
          <w:p w14:paraId="20A7224F">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575" w:type="pct"/>
            <w:vAlign w:val="center"/>
          </w:tcPr>
          <w:p w14:paraId="13AAD9F8">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545" w:type="pct"/>
            <w:vAlign w:val="center"/>
          </w:tcPr>
          <w:p w14:paraId="7632D438">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46" w:type="pct"/>
            <w:vAlign w:val="center"/>
          </w:tcPr>
          <w:p w14:paraId="734A4B91">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r>
      <w:tr w14:paraId="143DF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490" w:type="pct"/>
            <w:vAlign w:val="center"/>
          </w:tcPr>
          <w:p w14:paraId="4113254A">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3</w:t>
            </w:r>
          </w:p>
        </w:tc>
        <w:tc>
          <w:tcPr>
            <w:tcW w:w="2034" w:type="pct"/>
            <w:vAlign w:val="center"/>
          </w:tcPr>
          <w:p w14:paraId="702AB6B6">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54" w:type="pct"/>
            <w:vAlign w:val="center"/>
          </w:tcPr>
          <w:p w14:paraId="176E1092">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54" w:type="pct"/>
            <w:vAlign w:val="center"/>
          </w:tcPr>
          <w:p w14:paraId="506A06A9">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575" w:type="pct"/>
            <w:vAlign w:val="center"/>
          </w:tcPr>
          <w:p w14:paraId="75A34C68">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545" w:type="pct"/>
            <w:vAlign w:val="center"/>
          </w:tcPr>
          <w:p w14:paraId="67F2CE83">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46" w:type="pct"/>
            <w:vAlign w:val="center"/>
          </w:tcPr>
          <w:p w14:paraId="5EE49F07">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r>
      <w:tr w14:paraId="6DB70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490" w:type="pct"/>
            <w:vAlign w:val="center"/>
          </w:tcPr>
          <w:p w14:paraId="3ED6FEFC">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4</w:t>
            </w:r>
          </w:p>
        </w:tc>
        <w:tc>
          <w:tcPr>
            <w:tcW w:w="2034" w:type="pct"/>
            <w:vAlign w:val="center"/>
          </w:tcPr>
          <w:p w14:paraId="51706256">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54" w:type="pct"/>
            <w:vAlign w:val="center"/>
          </w:tcPr>
          <w:p w14:paraId="00128E53">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54" w:type="pct"/>
            <w:vAlign w:val="center"/>
          </w:tcPr>
          <w:p w14:paraId="7667FB7A">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575" w:type="pct"/>
            <w:vAlign w:val="center"/>
          </w:tcPr>
          <w:p w14:paraId="7725C897">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545" w:type="pct"/>
            <w:vAlign w:val="center"/>
          </w:tcPr>
          <w:p w14:paraId="365881C2">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46" w:type="pct"/>
            <w:vAlign w:val="center"/>
          </w:tcPr>
          <w:p w14:paraId="376AED05">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r>
      <w:tr w14:paraId="21B21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490" w:type="pct"/>
            <w:vAlign w:val="center"/>
          </w:tcPr>
          <w:p w14:paraId="064CDB20">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5</w:t>
            </w:r>
          </w:p>
        </w:tc>
        <w:tc>
          <w:tcPr>
            <w:tcW w:w="2034" w:type="pct"/>
            <w:vAlign w:val="center"/>
          </w:tcPr>
          <w:p w14:paraId="49E1083D">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54" w:type="pct"/>
            <w:vAlign w:val="center"/>
          </w:tcPr>
          <w:p w14:paraId="6B46F2EA">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54" w:type="pct"/>
            <w:vAlign w:val="center"/>
          </w:tcPr>
          <w:p w14:paraId="2A1B2E0F">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575" w:type="pct"/>
            <w:vAlign w:val="center"/>
          </w:tcPr>
          <w:p w14:paraId="4B39B168">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545" w:type="pct"/>
            <w:vAlign w:val="center"/>
          </w:tcPr>
          <w:p w14:paraId="2A125E6F">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46" w:type="pct"/>
            <w:vAlign w:val="center"/>
          </w:tcPr>
          <w:p w14:paraId="4B627571">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r>
      <w:tr w14:paraId="7226E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490" w:type="pct"/>
            <w:vAlign w:val="center"/>
          </w:tcPr>
          <w:p w14:paraId="7073A2EB">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w:t>
            </w:r>
          </w:p>
        </w:tc>
        <w:tc>
          <w:tcPr>
            <w:tcW w:w="2034" w:type="pct"/>
            <w:vAlign w:val="center"/>
          </w:tcPr>
          <w:p w14:paraId="35649641">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54" w:type="pct"/>
            <w:vAlign w:val="center"/>
          </w:tcPr>
          <w:p w14:paraId="6BFD0827">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54" w:type="pct"/>
            <w:vAlign w:val="center"/>
          </w:tcPr>
          <w:p w14:paraId="79E69E96">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575" w:type="pct"/>
            <w:vAlign w:val="center"/>
          </w:tcPr>
          <w:p w14:paraId="51F63ECF">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545" w:type="pct"/>
            <w:vAlign w:val="center"/>
          </w:tcPr>
          <w:p w14:paraId="23C96F1F">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46" w:type="pct"/>
            <w:vAlign w:val="center"/>
          </w:tcPr>
          <w:p w14:paraId="49A64822">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r>
      <w:tr w14:paraId="2B763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4008" w:type="pct"/>
            <w:gridSpan w:val="5"/>
            <w:vAlign w:val="center"/>
          </w:tcPr>
          <w:p w14:paraId="0080FED2">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合计</w:t>
            </w:r>
          </w:p>
        </w:tc>
        <w:tc>
          <w:tcPr>
            <w:tcW w:w="545" w:type="pct"/>
            <w:vAlign w:val="center"/>
          </w:tcPr>
          <w:p w14:paraId="45FBDC8F">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c>
          <w:tcPr>
            <w:tcW w:w="446" w:type="pct"/>
            <w:vAlign w:val="center"/>
          </w:tcPr>
          <w:p w14:paraId="79D9B8B7">
            <w:pPr>
              <w:spacing w:line="420" w:lineRule="exact"/>
              <w:jc w:val="center"/>
              <w:rPr>
                <w:rFonts w:ascii="宋体" w:hAnsi="宋体" w:eastAsia="宋体" w:cs="宋体"/>
                <w:bCs/>
                <w:color w:val="000000" w:themeColor="text1"/>
                <w:kern w:val="0"/>
                <w:sz w:val="24"/>
                <w:szCs w:val="36"/>
                <w:highlight w:val="none"/>
                <w14:textFill>
                  <w14:solidFill>
                    <w14:schemeClr w14:val="tx1"/>
                  </w14:solidFill>
                </w14:textFill>
              </w:rPr>
            </w:pPr>
          </w:p>
        </w:tc>
      </w:tr>
    </w:tbl>
    <w:p w14:paraId="6481F923">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000000" w:themeColor="text1"/>
          <w:sz w:val="24"/>
          <w:highlight w:val="none"/>
          <w14:textFill>
            <w14:solidFill>
              <w14:schemeClr w14:val="tx1"/>
            </w14:solidFill>
          </w14:textFill>
        </w:rPr>
      </w:pPr>
    </w:p>
    <w:p w14:paraId="5A4CCF19">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注：1.供应商根据实际发生的服务内容进行填报，上表中合计报价必须与开标一览表的报价一致。</w:t>
      </w:r>
    </w:p>
    <w:p w14:paraId="793AC479">
      <w:pPr>
        <w:keepNext w:val="0"/>
        <w:keepLines w:val="0"/>
        <w:pageBreakBefore w:val="0"/>
        <w:kinsoku/>
        <w:wordWrap/>
        <w:overflowPunct/>
        <w:topLinePunct w:val="0"/>
        <w:autoSpaceDE/>
        <w:autoSpaceDN/>
        <w:bidi w:val="0"/>
        <w:adjustRightInd/>
        <w:snapToGrid w:val="0"/>
        <w:spacing w:line="360" w:lineRule="auto"/>
        <w:ind w:firstLine="964" w:firstLineChars="400"/>
        <w:textAlignment w:val="auto"/>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2.供应商承诺（盖章）：此表与电子投标文件一致。</w:t>
      </w:r>
    </w:p>
    <w:p w14:paraId="448A7AD9">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36"/>
          <w:highlight w:val="none"/>
          <w14:textFill>
            <w14:solidFill>
              <w14:schemeClr w14:val="tx1"/>
            </w14:solidFill>
          </w14:textFill>
        </w:rPr>
      </w:pPr>
    </w:p>
    <w:p w14:paraId="094499D5">
      <w:pPr>
        <w:keepNext w:val="0"/>
        <w:keepLines w:val="0"/>
        <w:pageBreakBefore w:val="0"/>
        <w:kinsoku/>
        <w:wordWrap/>
        <w:overflowPunct/>
        <w:topLinePunct w:val="0"/>
        <w:autoSpaceDE/>
        <w:autoSpaceDN/>
        <w:bidi w:val="0"/>
        <w:adjustRightInd/>
        <w:snapToGrid w:val="0"/>
        <w:spacing w:line="360" w:lineRule="auto"/>
        <w:textAlignment w:val="auto"/>
        <w:rPr>
          <w:rFonts w:ascii="宋体" w:hAnsi="宋体" w:eastAsia="宋体" w:cs="宋体"/>
          <w:bCs/>
          <w:color w:val="000000" w:themeColor="text1"/>
          <w:kern w:val="0"/>
          <w:sz w:val="24"/>
          <w:szCs w:val="36"/>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 xml:space="preserve">供应商名称（公章）：                          </w:t>
      </w:r>
    </w:p>
    <w:p w14:paraId="27CE368E">
      <w:pPr>
        <w:keepNext w:val="0"/>
        <w:keepLines w:val="0"/>
        <w:pageBreakBefore w:val="0"/>
        <w:kinsoku/>
        <w:wordWrap/>
        <w:overflowPunct/>
        <w:topLinePunct w:val="0"/>
        <w:autoSpaceDE/>
        <w:autoSpaceDN/>
        <w:bidi w:val="0"/>
        <w:adjustRightInd/>
        <w:snapToGrid w:val="0"/>
        <w:spacing w:line="360" w:lineRule="auto"/>
        <w:textAlignment w:val="auto"/>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法定代表人或授权代理人签字（或盖章）：</w:t>
      </w:r>
    </w:p>
    <w:p w14:paraId="2D0FA594">
      <w:pPr>
        <w:keepNext w:val="0"/>
        <w:keepLines w:val="0"/>
        <w:pageBreakBefore w:val="0"/>
        <w:kinsoku/>
        <w:wordWrap/>
        <w:overflowPunct/>
        <w:topLinePunct w:val="0"/>
        <w:autoSpaceDE/>
        <w:autoSpaceDN/>
        <w:bidi w:val="0"/>
        <w:adjustRightInd/>
        <w:snapToGrid w:val="0"/>
        <w:spacing w:line="360" w:lineRule="auto"/>
        <w:textAlignment w:val="auto"/>
        <w:rPr>
          <w:rFonts w:ascii="宋体" w:hAnsi="宋体" w:eastAsia="宋体" w:cs="宋体"/>
          <w:bCs/>
          <w:color w:val="000000" w:themeColor="text1"/>
          <w:kern w:val="0"/>
          <w:sz w:val="24"/>
          <w:szCs w:val="36"/>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t xml:space="preserve">     年   月   日</w:t>
      </w:r>
    </w:p>
    <w:p w14:paraId="4C4FD6E3">
      <w:pPr>
        <w:keepNext w:val="0"/>
        <w:keepLines w:val="0"/>
        <w:pageBreakBefore w:val="0"/>
        <w:kinsoku/>
        <w:wordWrap/>
        <w:overflowPunct/>
        <w:topLinePunct w:val="0"/>
        <w:autoSpaceDE/>
        <w:autoSpaceDN/>
        <w:bidi w:val="0"/>
        <w:adjustRightInd/>
        <w:snapToGrid w:val="0"/>
        <w:spacing w:line="360" w:lineRule="auto"/>
        <w:textAlignment w:val="auto"/>
        <w:rPr>
          <w:rFonts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kern w:val="0"/>
          <w:sz w:val="24"/>
          <w:szCs w:val="36"/>
          <w:highlight w:val="none"/>
          <w14:textFill>
            <w14:solidFill>
              <w14:schemeClr w14:val="tx1"/>
            </w14:solidFill>
          </w14:textFill>
        </w:rPr>
        <w:br w:type="page"/>
      </w:r>
    </w:p>
    <w:bookmarkEnd w:id="127"/>
    <w:p w14:paraId="2DF39E2E">
      <w:pPr>
        <w:spacing w:line="480" w:lineRule="exact"/>
        <w:outlineLvl w:val="1"/>
        <w:rPr>
          <w:rFonts w:ascii="宋体" w:hAnsi="宋体" w:eastAsia="宋体" w:cs="宋体"/>
          <w:b/>
          <w:color w:val="000000" w:themeColor="text1"/>
          <w:sz w:val="28"/>
          <w:szCs w:val="28"/>
          <w:highlight w:val="none"/>
          <w14:textFill>
            <w14:solidFill>
              <w14:schemeClr w14:val="tx1"/>
            </w14:solidFill>
          </w14:textFill>
        </w:rPr>
      </w:pPr>
      <w:bookmarkStart w:id="128" w:name="_Toc7649"/>
      <w:r>
        <w:rPr>
          <w:rFonts w:hint="eastAsia" w:ascii="宋体" w:hAnsi="宋体" w:eastAsia="宋体" w:cs="宋体"/>
          <w:b/>
          <w:color w:val="000000" w:themeColor="text1"/>
          <w:sz w:val="28"/>
          <w:szCs w:val="28"/>
          <w:highlight w:val="none"/>
          <w14:textFill>
            <w14:solidFill>
              <w14:schemeClr w14:val="tx1"/>
            </w14:solidFill>
          </w14:textFill>
        </w:rPr>
        <w:t>附件五：服务条款响应一览表</w:t>
      </w:r>
      <w:bookmarkEnd w:id="128"/>
    </w:p>
    <w:p w14:paraId="76080AC6">
      <w:pPr>
        <w:spacing w:line="460" w:lineRule="exact"/>
        <w:jc w:val="center"/>
        <w:rPr>
          <w:rFonts w:ascii="宋体" w:hAnsi="宋体" w:eastAsia="宋体" w:cs="宋体"/>
          <w:b/>
          <w:color w:val="000000" w:themeColor="text1"/>
          <w:sz w:val="28"/>
          <w:szCs w:val="28"/>
          <w:highlight w:val="none"/>
          <w14:textFill>
            <w14:solidFill>
              <w14:schemeClr w14:val="tx1"/>
            </w14:solidFill>
          </w14:textFill>
        </w:rPr>
      </w:pPr>
    </w:p>
    <w:p w14:paraId="2D923362">
      <w:pPr>
        <w:spacing w:line="460" w:lineRule="exact"/>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t>山东大学本科生、研究生校方责任保险服务项目</w:t>
      </w:r>
    </w:p>
    <w:p w14:paraId="5CCA0E57">
      <w:pPr>
        <w:spacing w:line="460" w:lineRule="exact"/>
        <w:jc w:val="center"/>
        <w:rPr>
          <w:rFonts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服务条款响应一览表</w:t>
      </w:r>
    </w:p>
    <w:p w14:paraId="4E951458">
      <w:pPr>
        <w:spacing w:line="420" w:lineRule="exact"/>
        <w:ind w:right="187" w:firstLine="240" w:firstLineChars="1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项目编号：</w:t>
      </w:r>
      <w:r>
        <w:rPr>
          <w:rFonts w:hint="eastAsia" w:ascii="宋体" w:hAnsi="宋体" w:eastAsia="宋体" w:cs="宋体"/>
          <w:color w:val="000000" w:themeColor="text1"/>
          <w:sz w:val="24"/>
          <w:highlight w:val="none"/>
          <w:lang w:eastAsia="zh-CN"/>
          <w14:textFill>
            <w14:solidFill>
              <w14:schemeClr w14:val="tx1"/>
            </w14:solidFill>
          </w14:textFill>
        </w:rPr>
        <w:t>SDJDGD20250048-Q015</w:t>
      </w:r>
      <w:r>
        <w:rPr>
          <w:rFonts w:hint="eastAsia" w:ascii="宋体" w:hAnsi="宋体" w:eastAsia="宋体" w:cs="宋体"/>
          <w:color w:val="000000" w:themeColor="text1"/>
          <w:sz w:val="24"/>
          <w:highlight w:val="none"/>
          <w14:textFill>
            <w14:solidFill>
              <w14:schemeClr w14:val="tx1"/>
            </w14:solidFill>
          </w14:textFill>
        </w:rPr>
        <w:t xml:space="preserve">   </w:t>
      </w:r>
    </w:p>
    <w:p w14:paraId="483A4DA8">
      <w:pPr>
        <w:spacing w:line="420" w:lineRule="exact"/>
        <w:ind w:right="187" w:firstLine="240" w:firstLineChars="100"/>
        <w:rPr>
          <w:rFonts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项目名称：</w:t>
      </w:r>
      <w:r>
        <w:rPr>
          <w:rFonts w:hint="eastAsia" w:ascii="宋体" w:hAnsi="宋体" w:eastAsia="宋体" w:cs="宋体"/>
          <w:color w:val="000000" w:themeColor="text1"/>
          <w:sz w:val="24"/>
          <w:highlight w:val="none"/>
          <w:lang w:eastAsia="zh-CN"/>
          <w14:textFill>
            <w14:solidFill>
              <w14:schemeClr w14:val="tx1"/>
            </w14:solidFill>
          </w14:textFill>
        </w:rPr>
        <w:t>山东大学本科生、研究生校方责任保险服务项目</w:t>
      </w:r>
      <w:r>
        <w:rPr>
          <w:rFonts w:hint="eastAsia" w:ascii="宋体" w:hAnsi="宋体" w:eastAsia="宋体" w:cs="宋体"/>
          <w:color w:val="000000" w:themeColor="text1"/>
          <w:sz w:val="24"/>
          <w:highlight w:val="none"/>
          <w14:textFill>
            <w14:solidFill>
              <w14:schemeClr w14:val="tx1"/>
            </w14:solidFill>
          </w14:textFill>
        </w:rPr>
        <w:t xml:space="preserve">   </w:t>
      </w:r>
    </w:p>
    <w:tbl>
      <w:tblPr>
        <w:tblStyle w:val="74"/>
        <w:tblW w:w="0" w:type="auto"/>
        <w:tblInd w:w="-38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04"/>
        <w:gridCol w:w="714"/>
        <w:gridCol w:w="5199"/>
        <w:gridCol w:w="451"/>
        <w:gridCol w:w="513"/>
        <w:gridCol w:w="694"/>
        <w:gridCol w:w="854"/>
        <w:gridCol w:w="545"/>
      </w:tblGrid>
      <w:tr w14:paraId="1B1ED8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1" w:hRule="atLeast"/>
          <w:tblHeader/>
        </w:trPr>
        <w:tc>
          <w:tcPr>
            <w:tcW w:w="7068" w:type="dxa"/>
            <w:gridSpan w:val="4"/>
            <w:tcBorders>
              <w:top w:val="single" w:color="auto" w:sz="4" w:space="0"/>
              <w:left w:val="single" w:color="auto" w:sz="4" w:space="0"/>
              <w:bottom w:val="single" w:color="auto" w:sz="4" w:space="0"/>
              <w:right w:val="single" w:color="auto" w:sz="4" w:space="0"/>
            </w:tcBorders>
            <w:vAlign w:val="center"/>
          </w:tcPr>
          <w:p w14:paraId="7FC21020">
            <w:pPr>
              <w:spacing w:line="420" w:lineRule="exact"/>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采购人要求（用户填写）</w:t>
            </w:r>
          </w:p>
        </w:tc>
        <w:tc>
          <w:tcPr>
            <w:tcW w:w="2606" w:type="dxa"/>
            <w:gridSpan w:val="4"/>
            <w:tcBorders>
              <w:top w:val="single" w:color="auto" w:sz="4" w:space="0"/>
              <w:bottom w:val="single" w:color="auto" w:sz="4" w:space="0"/>
            </w:tcBorders>
            <w:vAlign w:val="center"/>
          </w:tcPr>
          <w:p w14:paraId="52F1A39E">
            <w:pPr>
              <w:spacing w:line="420" w:lineRule="exact"/>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供应商响应（供应商填写）</w:t>
            </w:r>
          </w:p>
        </w:tc>
      </w:tr>
      <w:tr w14:paraId="0708FD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blHeader/>
        </w:trPr>
        <w:tc>
          <w:tcPr>
            <w:tcW w:w="704" w:type="dxa"/>
            <w:tcBorders>
              <w:top w:val="single" w:color="auto" w:sz="4" w:space="0"/>
              <w:left w:val="single" w:color="auto" w:sz="4" w:space="0"/>
              <w:bottom w:val="single" w:color="auto" w:sz="4" w:space="0"/>
              <w:right w:val="single" w:color="auto" w:sz="4" w:space="0"/>
            </w:tcBorders>
            <w:vAlign w:val="center"/>
          </w:tcPr>
          <w:p w14:paraId="095D4ED5">
            <w:pPr>
              <w:spacing w:line="420" w:lineRule="exact"/>
              <w:jc w:val="center"/>
              <w:rPr>
                <w:rFonts w:ascii="宋体" w:hAnsi="宋体" w:eastAsia="宋体" w:cs="宋体"/>
                <w:b/>
                <w:bCs/>
                <w:color w:val="000000" w:themeColor="text1"/>
                <w:spacing w:val="-11"/>
                <w:sz w:val="24"/>
                <w:highlight w:val="none"/>
                <w14:textFill>
                  <w14:solidFill>
                    <w14:schemeClr w14:val="tx1"/>
                  </w14:solidFill>
                </w14:textFill>
              </w:rPr>
            </w:pPr>
            <w:r>
              <w:rPr>
                <w:rFonts w:hint="eastAsia" w:ascii="宋体" w:hAnsi="宋体" w:eastAsia="宋体" w:cs="宋体"/>
                <w:b/>
                <w:bCs/>
                <w:color w:val="000000" w:themeColor="text1"/>
                <w:spacing w:val="-11"/>
                <w:sz w:val="24"/>
                <w:highlight w:val="none"/>
                <w14:textFill>
                  <w14:solidFill>
                    <w14:schemeClr w14:val="tx1"/>
                  </w14:solidFill>
                </w14:textFill>
              </w:rPr>
              <w:t>配置</w:t>
            </w:r>
          </w:p>
          <w:p w14:paraId="5BA5E5B8">
            <w:pPr>
              <w:spacing w:line="420" w:lineRule="exact"/>
              <w:jc w:val="center"/>
              <w:rPr>
                <w:rFonts w:ascii="宋体" w:hAnsi="宋体" w:eastAsia="宋体" w:cs="宋体"/>
                <w:b/>
                <w:bCs/>
                <w:color w:val="000000" w:themeColor="text1"/>
                <w:spacing w:val="-11"/>
                <w:sz w:val="24"/>
                <w:highlight w:val="none"/>
                <w14:textFill>
                  <w14:solidFill>
                    <w14:schemeClr w14:val="tx1"/>
                  </w14:solidFill>
                </w14:textFill>
              </w:rPr>
            </w:pPr>
            <w:r>
              <w:rPr>
                <w:rFonts w:hint="eastAsia" w:ascii="宋体" w:hAnsi="宋体" w:eastAsia="宋体" w:cs="宋体"/>
                <w:b/>
                <w:bCs/>
                <w:color w:val="000000" w:themeColor="text1"/>
                <w:spacing w:val="-11"/>
                <w:sz w:val="24"/>
                <w:highlight w:val="none"/>
                <w14:textFill>
                  <w14:solidFill>
                    <w14:schemeClr w14:val="tx1"/>
                  </w14:solidFill>
                </w14:textFill>
              </w:rPr>
              <w:t>序号</w:t>
            </w:r>
          </w:p>
        </w:tc>
        <w:tc>
          <w:tcPr>
            <w:tcW w:w="714" w:type="dxa"/>
            <w:tcBorders>
              <w:top w:val="single" w:color="auto" w:sz="4" w:space="0"/>
              <w:left w:val="single" w:color="auto" w:sz="4" w:space="0"/>
              <w:bottom w:val="single" w:color="auto" w:sz="4" w:space="0"/>
              <w:right w:val="single" w:color="auto" w:sz="4" w:space="0"/>
            </w:tcBorders>
            <w:vAlign w:val="center"/>
          </w:tcPr>
          <w:p w14:paraId="066AA15C">
            <w:pPr>
              <w:spacing w:line="420" w:lineRule="exact"/>
              <w:jc w:val="center"/>
              <w:rPr>
                <w:rFonts w:ascii="宋体" w:hAnsi="宋体" w:eastAsia="宋体" w:cs="宋体"/>
                <w:b/>
                <w:bCs/>
                <w:color w:val="000000" w:themeColor="text1"/>
                <w:spacing w:val="-11"/>
                <w:sz w:val="24"/>
                <w:highlight w:val="none"/>
                <w14:textFill>
                  <w14:solidFill>
                    <w14:schemeClr w14:val="tx1"/>
                  </w14:solidFill>
                </w14:textFill>
              </w:rPr>
            </w:pPr>
            <w:r>
              <w:rPr>
                <w:rFonts w:hint="eastAsia" w:ascii="宋体" w:hAnsi="宋体" w:eastAsia="宋体" w:cs="宋体"/>
                <w:b/>
                <w:bCs/>
                <w:color w:val="000000" w:themeColor="text1"/>
                <w:spacing w:val="-11"/>
                <w:sz w:val="24"/>
                <w:highlight w:val="none"/>
                <w14:textFill>
                  <w14:solidFill>
                    <w14:schemeClr w14:val="tx1"/>
                  </w14:solidFill>
                </w14:textFill>
              </w:rPr>
              <w:t>配置</w:t>
            </w:r>
          </w:p>
          <w:p w14:paraId="43BCEDE9">
            <w:pPr>
              <w:spacing w:line="420" w:lineRule="exact"/>
              <w:jc w:val="center"/>
              <w:rPr>
                <w:rFonts w:ascii="宋体" w:hAnsi="宋体" w:eastAsia="宋体" w:cs="宋体"/>
                <w:b/>
                <w:bCs/>
                <w:color w:val="000000" w:themeColor="text1"/>
                <w:spacing w:val="-11"/>
                <w:sz w:val="24"/>
                <w:highlight w:val="none"/>
                <w14:textFill>
                  <w14:solidFill>
                    <w14:schemeClr w14:val="tx1"/>
                  </w14:solidFill>
                </w14:textFill>
              </w:rPr>
            </w:pPr>
            <w:r>
              <w:rPr>
                <w:rFonts w:hint="eastAsia" w:ascii="宋体" w:hAnsi="宋体" w:eastAsia="宋体" w:cs="宋体"/>
                <w:b/>
                <w:bCs/>
                <w:color w:val="000000" w:themeColor="text1"/>
                <w:spacing w:val="-11"/>
                <w:sz w:val="24"/>
                <w:highlight w:val="none"/>
                <w14:textFill>
                  <w14:solidFill>
                    <w14:schemeClr w14:val="tx1"/>
                  </w14:solidFill>
                </w14:textFill>
              </w:rPr>
              <w:t>名称</w:t>
            </w:r>
          </w:p>
        </w:tc>
        <w:tc>
          <w:tcPr>
            <w:tcW w:w="5199" w:type="dxa"/>
            <w:tcBorders>
              <w:top w:val="single" w:color="auto" w:sz="4" w:space="0"/>
              <w:left w:val="single" w:color="auto" w:sz="4" w:space="0"/>
              <w:bottom w:val="single" w:color="auto" w:sz="4" w:space="0"/>
              <w:right w:val="single" w:color="auto" w:sz="4" w:space="0"/>
            </w:tcBorders>
            <w:vAlign w:val="center"/>
          </w:tcPr>
          <w:p w14:paraId="41FFD2EB">
            <w:pPr>
              <w:spacing w:line="420" w:lineRule="exact"/>
              <w:jc w:val="center"/>
              <w:rPr>
                <w:rFonts w:ascii="宋体" w:hAnsi="宋体" w:eastAsia="宋体" w:cs="宋体"/>
                <w:b/>
                <w:bCs/>
                <w:color w:val="000000" w:themeColor="text1"/>
                <w:spacing w:val="-11"/>
                <w:sz w:val="24"/>
                <w:highlight w:val="none"/>
                <w14:textFill>
                  <w14:solidFill>
                    <w14:schemeClr w14:val="tx1"/>
                  </w14:solidFill>
                </w14:textFill>
              </w:rPr>
            </w:pPr>
            <w:r>
              <w:rPr>
                <w:rFonts w:hint="eastAsia" w:ascii="宋体" w:hAnsi="宋体" w:eastAsia="宋体" w:cs="宋体"/>
                <w:b/>
                <w:bCs/>
                <w:color w:val="000000" w:themeColor="text1"/>
                <w:spacing w:val="-11"/>
                <w:sz w:val="24"/>
                <w:highlight w:val="none"/>
                <w14:textFill>
                  <w14:solidFill>
                    <w14:schemeClr w14:val="tx1"/>
                  </w14:solidFill>
                </w14:textFill>
              </w:rPr>
              <w:t>指标</w:t>
            </w:r>
          </w:p>
        </w:tc>
        <w:tc>
          <w:tcPr>
            <w:tcW w:w="451" w:type="dxa"/>
            <w:tcBorders>
              <w:top w:val="single" w:color="auto" w:sz="4" w:space="0"/>
              <w:left w:val="single" w:color="auto" w:sz="4" w:space="0"/>
              <w:bottom w:val="single" w:color="auto" w:sz="4" w:space="0"/>
              <w:right w:val="single" w:color="auto" w:sz="4" w:space="0"/>
            </w:tcBorders>
            <w:vAlign w:val="center"/>
          </w:tcPr>
          <w:p w14:paraId="0E4B61F5">
            <w:pPr>
              <w:spacing w:line="420" w:lineRule="exact"/>
              <w:jc w:val="center"/>
              <w:rPr>
                <w:rFonts w:ascii="宋体" w:hAnsi="宋体" w:eastAsia="宋体" w:cs="宋体"/>
                <w:b/>
                <w:bCs/>
                <w:color w:val="000000" w:themeColor="text1"/>
                <w:spacing w:val="-11"/>
                <w:sz w:val="24"/>
                <w:highlight w:val="none"/>
                <w14:textFill>
                  <w14:solidFill>
                    <w14:schemeClr w14:val="tx1"/>
                  </w14:solidFill>
                </w14:textFill>
              </w:rPr>
            </w:pPr>
            <w:r>
              <w:rPr>
                <w:rFonts w:hint="eastAsia" w:ascii="宋体" w:hAnsi="宋体" w:eastAsia="宋体" w:cs="宋体"/>
                <w:b/>
                <w:bCs/>
                <w:color w:val="000000" w:themeColor="text1"/>
                <w:spacing w:val="-11"/>
                <w:sz w:val="24"/>
                <w:highlight w:val="none"/>
                <w14:textFill>
                  <w14:solidFill>
                    <w14:schemeClr w14:val="tx1"/>
                  </w14:solidFill>
                </w14:textFill>
              </w:rPr>
              <w:t>数量</w:t>
            </w:r>
          </w:p>
        </w:tc>
        <w:tc>
          <w:tcPr>
            <w:tcW w:w="513" w:type="dxa"/>
            <w:tcBorders>
              <w:top w:val="single" w:color="auto" w:sz="4" w:space="0"/>
              <w:left w:val="single" w:color="auto" w:sz="4" w:space="0"/>
              <w:bottom w:val="single" w:color="auto" w:sz="4" w:space="0"/>
              <w:right w:val="single" w:color="auto" w:sz="4" w:space="0"/>
            </w:tcBorders>
            <w:vAlign w:val="center"/>
          </w:tcPr>
          <w:p w14:paraId="7CF9ACA5">
            <w:pPr>
              <w:spacing w:line="420" w:lineRule="exact"/>
              <w:jc w:val="center"/>
              <w:rPr>
                <w:rFonts w:ascii="宋体" w:hAnsi="宋体" w:eastAsia="宋体" w:cs="宋体"/>
                <w:b/>
                <w:bCs/>
                <w:color w:val="000000" w:themeColor="text1"/>
                <w:spacing w:val="-11"/>
                <w:sz w:val="24"/>
                <w:highlight w:val="none"/>
                <w14:textFill>
                  <w14:solidFill>
                    <w14:schemeClr w14:val="tx1"/>
                  </w14:solidFill>
                </w14:textFill>
              </w:rPr>
            </w:pPr>
            <w:r>
              <w:rPr>
                <w:rFonts w:hint="eastAsia" w:ascii="宋体" w:hAnsi="宋体" w:eastAsia="宋体" w:cs="宋体"/>
                <w:b/>
                <w:bCs/>
                <w:color w:val="000000" w:themeColor="text1"/>
                <w:spacing w:val="-11"/>
                <w:sz w:val="24"/>
                <w:highlight w:val="none"/>
                <w14:textFill>
                  <w14:solidFill>
                    <w14:schemeClr w14:val="tx1"/>
                  </w14:solidFill>
                </w14:textFill>
              </w:rPr>
              <w:t>数量</w:t>
            </w:r>
          </w:p>
        </w:tc>
        <w:tc>
          <w:tcPr>
            <w:tcW w:w="694" w:type="dxa"/>
            <w:tcBorders>
              <w:top w:val="single" w:color="auto" w:sz="4" w:space="0"/>
              <w:left w:val="single" w:color="auto" w:sz="4" w:space="0"/>
              <w:bottom w:val="single" w:color="auto" w:sz="4" w:space="0"/>
              <w:right w:val="single" w:color="auto" w:sz="4" w:space="0"/>
            </w:tcBorders>
            <w:vAlign w:val="center"/>
          </w:tcPr>
          <w:p w14:paraId="1161426F">
            <w:pPr>
              <w:spacing w:line="420" w:lineRule="exact"/>
              <w:jc w:val="center"/>
              <w:rPr>
                <w:rFonts w:ascii="宋体" w:hAnsi="宋体" w:eastAsia="宋体" w:cs="宋体"/>
                <w:b/>
                <w:bCs/>
                <w:color w:val="000000" w:themeColor="text1"/>
                <w:spacing w:val="-11"/>
                <w:sz w:val="24"/>
                <w:highlight w:val="none"/>
                <w14:textFill>
                  <w14:solidFill>
                    <w14:schemeClr w14:val="tx1"/>
                  </w14:solidFill>
                </w14:textFill>
              </w:rPr>
            </w:pPr>
            <w:r>
              <w:rPr>
                <w:rFonts w:hint="eastAsia" w:ascii="宋体" w:hAnsi="宋体" w:eastAsia="宋体" w:cs="宋体"/>
                <w:b/>
                <w:bCs/>
                <w:color w:val="000000" w:themeColor="text1"/>
                <w:spacing w:val="-11"/>
                <w:sz w:val="24"/>
                <w:highlight w:val="none"/>
                <w14:textFill>
                  <w14:solidFill>
                    <w14:schemeClr w14:val="tx1"/>
                  </w14:solidFill>
                </w14:textFill>
              </w:rPr>
              <w:t>指标</w:t>
            </w:r>
          </w:p>
        </w:tc>
        <w:tc>
          <w:tcPr>
            <w:tcW w:w="854" w:type="dxa"/>
            <w:tcBorders>
              <w:top w:val="single" w:color="auto" w:sz="4" w:space="0"/>
              <w:left w:val="single" w:color="auto" w:sz="4" w:space="0"/>
              <w:bottom w:val="single" w:color="auto" w:sz="4" w:space="0"/>
              <w:right w:val="single" w:color="auto" w:sz="4" w:space="0"/>
            </w:tcBorders>
            <w:vAlign w:val="center"/>
          </w:tcPr>
          <w:p w14:paraId="5B3E65FA">
            <w:pPr>
              <w:spacing w:line="420" w:lineRule="exact"/>
              <w:jc w:val="center"/>
              <w:rPr>
                <w:rFonts w:ascii="宋体" w:hAnsi="宋体" w:eastAsia="宋体" w:cs="宋体"/>
                <w:b/>
                <w:bCs/>
                <w:color w:val="000000" w:themeColor="text1"/>
                <w:spacing w:val="-11"/>
                <w:sz w:val="24"/>
                <w:highlight w:val="none"/>
                <w14:textFill>
                  <w14:solidFill>
                    <w14:schemeClr w14:val="tx1"/>
                  </w14:solidFill>
                </w14:textFill>
              </w:rPr>
            </w:pPr>
            <w:r>
              <w:rPr>
                <w:rFonts w:hint="eastAsia" w:ascii="宋体" w:hAnsi="宋体" w:eastAsia="宋体" w:cs="宋体"/>
                <w:b/>
                <w:bCs/>
                <w:color w:val="000000" w:themeColor="text1"/>
                <w:spacing w:val="-11"/>
                <w:sz w:val="24"/>
                <w:highlight w:val="none"/>
                <w14:textFill>
                  <w14:solidFill>
                    <w14:schemeClr w14:val="tx1"/>
                  </w14:solidFill>
                </w14:textFill>
              </w:rPr>
              <w:t>指标偏离情况</w:t>
            </w:r>
          </w:p>
        </w:tc>
        <w:tc>
          <w:tcPr>
            <w:tcW w:w="545" w:type="dxa"/>
            <w:tcBorders>
              <w:top w:val="single" w:color="auto" w:sz="4" w:space="0"/>
              <w:left w:val="single" w:color="auto" w:sz="4" w:space="0"/>
              <w:bottom w:val="single" w:color="auto" w:sz="4" w:space="0"/>
              <w:right w:val="single" w:color="auto" w:sz="4" w:space="0"/>
            </w:tcBorders>
            <w:vAlign w:val="center"/>
          </w:tcPr>
          <w:p w14:paraId="03DB16DE">
            <w:pPr>
              <w:spacing w:line="420" w:lineRule="exact"/>
              <w:jc w:val="center"/>
              <w:rPr>
                <w:rFonts w:ascii="宋体" w:hAnsi="宋体" w:eastAsia="宋体" w:cs="宋体"/>
                <w:b/>
                <w:bCs/>
                <w:color w:val="000000" w:themeColor="text1"/>
                <w:spacing w:val="-11"/>
                <w:sz w:val="24"/>
                <w:highlight w:val="none"/>
                <w14:textFill>
                  <w14:solidFill>
                    <w14:schemeClr w14:val="tx1"/>
                  </w14:solidFill>
                </w14:textFill>
              </w:rPr>
            </w:pPr>
            <w:r>
              <w:rPr>
                <w:rFonts w:hint="eastAsia" w:ascii="宋体" w:hAnsi="宋体" w:eastAsia="宋体" w:cs="宋体"/>
                <w:b/>
                <w:bCs/>
                <w:color w:val="000000" w:themeColor="text1"/>
                <w:spacing w:val="-11"/>
                <w:sz w:val="24"/>
                <w:highlight w:val="none"/>
                <w14:textFill>
                  <w14:solidFill>
                    <w14:schemeClr w14:val="tx1"/>
                  </w14:solidFill>
                </w14:textFill>
              </w:rPr>
              <w:t>备注</w:t>
            </w:r>
          </w:p>
        </w:tc>
      </w:tr>
      <w:tr w14:paraId="38A0CB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4" w:type="dxa"/>
            <w:tcBorders>
              <w:top w:val="single" w:color="auto" w:sz="4" w:space="0"/>
              <w:left w:val="single" w:color="auto" w:sz="4" w:space="0"/>
              <w:bottom w:val="single" w:color="auto" w:sz="4" w:space="0"/>
              <w:right w:val="single" w:color="auto" w:sz="4" w:space="0"/>
            </w:tcBorders>
            <w:vAlign w:val="center"/>
          </w:tcPr>
          <w:p w14:paraId="7EF0AE9F">
            <w:pPr>
              <w:spacing w:line="420" w:lineRule="exact"/>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w:t>
            </w:r>
          </w:p>
        </w:tc>
        <w:tc>
          <w:tcPr>
            <w:tcW w:w="714" w:type="dxa"/>
            <w:tcBorders>
              <w:top w:val="single" w:color="auto" w:sz="4" w:space="0"/>
              <w:left w:val="single" w:color="auto" w:sz="4" w:space="0"/>
              <w:bottom w:val="single" w:color="auto" w:sz="4" w:space="0"/>
              <w:right w:val="single" w:color="auto" w:sz="4" w:space="0"/>
            </w:tcBorders>
            <w:vAlign w:val="center"/>
          </w:tcPr>
          <w:p w14:paraId="7267F548">
            <w:pPr>
              <w:spacing w:line="420" w:lineRule="exact"/>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val="0"/>
                <w:color w:val="auto"/>
                <w:sz w:val="24"/>
                <w:szCs w:val="24"/>
                <w:highlight w:val="none"/>
              </w:rPr>
              <w:t>投保学生人数</w:t>
            </w:r>
          </w:p>
        </w:tc>
        <w:tc>
          <w:tcPr>
            <w:tcW w:w="5199" w:type="dxa"/>
            <w:tcBorders>
              <w:top w:val="single" w:color="auto" w:sz="4" w:space="0"/>
              <w:left w:val="single" w:color="auto" w:sz="4" w:space="0"/>
              <w:bottom w:val="single" w:color="auto" w:sz="4" w:space="0"/>
              <w:right w:val="single" w:color="auto" w:sz="4" w:space="0"/>
            </w:tcBorders>
            <w:vAlign w:val="center"/>
          </w:tcPr>
          <w:p w14:paraId="1939BE2D">
            <w:pPr>
              <w:spacing w:line="420" w:lineRule="exact"/>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auto"/>
                <w:kern w:val="0"/>
                <w:sz w:val="24"/>
                <w:szCs w:val="24"/>
                <w:highlight w:val="none"/>
                <w:lang w:val="en-US" w:eastAsia="zh-CN"/>
              </w:rPr>
              <w:t>预估6.68万人</w:t>
            </w:r>
            <w:r>
              <w:rPr>
                <w:rFonts w:hint="eastAsia" w:ascii="宋体" w:hAnsi="宋体" w:eastAsia="宋体" w:cs="宋体"/>
                <w:color w:val="auto"/>
                <w:kern w:val="0"/>
                <w:sz w:val="24"/>
                <w:szCs w:val="24"/>
                <w:highlight w:val="none"/>
              </w:rPr>
              <w:t>（具体以实际人数为准）。</w:t>
            </w:r>
          </w:p>
        </w:tc>
        <w:tc>
          <w:tcPr>
            <w:tcW w:w="451" w:type="dxa"/>
            <w:tcBorders>
              <w:top w:val="single" w:color="auto" w:sz="4" w:space="0"/>
              <w:left w:val="single" w:color="auto" w:sz="4" w:space="0"/>
              <w:bottom w:val="single" w:color="auto" w:sz="4" w:space="0"/>
              <w:right w:val="single" w:color="auto" w:sz="4" w:space="0"/>
            </w:tcBorders>
            <w:vAlign w:val="center"/>
          </w:tcPr>
          <w:p w14:paraId="574170EE">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13" w:type="dxa"/>
            <w:tcBorders>
              <w:top w:val="single" w:color="auto" w:sz="4" w:space="0"/>
              <w:left w:val="single" w:color="auto" w:sz="4" w:space="0"/>
              <w:bottom w:val="single" w:color="auto" w:sz="4" w:space="0"/>
              <w:right w:val="single" w:color="auto" w:sz="4" w:space="0"/>
            </w:tcBorders>
            <w:vAlign w:val="center"/>
          </w:tcPr>
          <w:p w14:paraId="0496373A">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694" w:type="dxa"/>
            <w:tcBorders>
              <w:top w:val="single" w:color="auto" w:sz="4" w:space="0"/>
              <w:left w:val="single" w:color="auto" w:sz="4" w:space="0"/>
              <w:bottom w:val="single" w:color="auto" w:sz="4" w:space="0"/>
              <w:right w:val="single" w:color="auto" w:sz="4" w:space="0"/>
            </w:tcBorders>
            <w:vAlign w:val="center"/>
          </w:tcPr>
          <w:p w14:paraId="11D15A9B">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854" w:type="dxa"/>
            <w:tcBorders>
              <w:top w:val="single" w:color="auto" w:sz="4" w:space="0"/>
              <w:left w:val="single" w:color="auto" w:sz="4" w:space="0"/>
              <w:bottom w:val="single" w:color="auto" w:sz="4" w:space="0"/>
              <w:right w:val="single" w:color="auto" w:sz="4" w:space="0"/>
            </w:tcBorders>
            <w:vAlign w:val="center"/>
          </w:tcPr>
          <w:p w14:paraId="278D9812">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45" w:type="dxa"/>
            <w:tcBorders>
              <w:top w:val="single" w:color="auto" w:sz="4" w:space="0"/>
              <w:left w:val="single" w:color="auto" w:sz="4" w:space="0"/>
              <w:bottom w:val="single" w:color="auto" w:sz="4" w:space="0"/>
              <w:right w:val="single" w:color="auto" w:sz="4" w:space="0"/>
            </w:tcBorders>
            <w:vAlign w:val="center"/>
          </w:tcPr>
          <w:p w14:paraId="7E0FA102">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r>
      <w:tr w14:paraId="2B8EDD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4" w:type="dxa"/>
            <w:tcBorders>
              <w:top w:val="single" w:color="auto" w:sz="4" w:space="0"/>
              <w:left w:val="single" w:color="auto" w:sz="4" w:space="0"/>
              <w:bottom w:val="single" w:color="auto" w:sz="4" w:space="0"/>
              <w:right w:val="single" w:color="auto" w:sz="4" w:space="0"/>
            </w:tcBorders>
            <w:vAlign w:val="center"/>
          </w:tcPr>
          <w:p w14:paraId="0BBD1DCB">
            <w:pPr>
              <w:spacing w:line="420" w:lineRule="exact"/>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2</w:t>
            </w:r>
          </w:p>
        </w:tc>
        <w:tc>
          <w:tcPr>
            <w:tcW w:w="714" w:type="dxa"/>
            <w:tcBorders>
              <w:top w:val="single" w:color="auto" w:sz="4" w:space="0"/>
              <w:left w:val="single" w:color="auto" w:sz="4" w:space="0"/>
              <w:bottom w:val="single" w:color="auto" w:sz="4" w:space="0"/>
              <w:right w:val="single" w:color="auto" w:sz="4" w:space="0"/>
            </w:tcBorders>
            <w:vAlign w:val="center"/>
          </w:tcPr>
          <w:p w14:paraId="712CB987">
            <w:pPr>
              <w:spacing w:line="420" w:lineRule="exact"/>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val="0"/>
                <w:color w:val="auto"/>
                <w:sz w:val="24"/>
                <w:szCs w:val="24"/>
                <w:highlight w:val="none"/>
              </w:rPr>
              <w:t>保险期间</w:t>
            </w:r>
          </w:p>
        </w:tc>
        <w:tc>
          <w:tcPr>
            <w:tcW w:w="5199" w:type="dxa"/>
            <w:tcBorders>
              <w:top w:val="single" w:color="auto" w:sz="4" w:space="0"/>
              <w:left w:val="single" w:color="auto" w:sz="4" w:space="0"/>
              <w:bottom w:val="single" w:color="auto" w:sz="4" w:space="0"/>
              <w:right w:val="single" w:color="auto" w:sz="4" w:space="0"/>
            </w:tcBorders>
            <w:vAlign w:val="center"/>
          </w:tcPr>
          <w:p w14:paraId="5BD66681">
            <w:pPr>
              <w:spacing w:line="420" w:lineRule="exact"/>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auto"/>
                <w:kern w:val="0"/>
                <w:sz w:val="24"/>
                <w:szCs w:val="24"/>
                <w:highlight w:val="none"/>
              </w:rPr>
              <w:t>12个月，自北京时间</w:t>
            </w:r>
            <w:r>
              <w:rPr>
                <w:rFonts w:hint="eastAsia" w:ascii="宋体" w:hAnsi="宋体" w:eastAsia="宋体" w:cs="宋体"/>
                <w:color w:val="auto"/>
                <w:kern w:val="0"/>
                <w:sz w:val="24"/>
                <w:szCs w:val="24"/>
                <w:highlight w:val="none"/>
                <w:lang w:val="en-US"/>
              </w:rPr>
              <w:t>20</w:t>
            </w:r>
            <w:r>
              <w:rPr>
                <w:rFonts w:hint="eastAsia" w:ascii="宋体" w:hAnsi="宋体" w:eastAsia="宋体" w:cs="宋体"/>
                <w:color w:val="auto"/>
                <w:kern w:val="0"/>
                <w:sz w:val="24"/>
                <w:szCs w:val="24"/>
                <w:highlight w:val="none"/>
                <w:lang w:val="en-US" w:eastAsia="zh-CN"/>
              </w:rPr>
              <w:t>25</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lang w:val="en-US"/>
              </w:rPr>
              <w:t>9</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日0：00时起至</w:t>
            </w:r>
            <w:r>
              <w:rPr>
                <w:rFonts w:hint="eastAsia" w:ascii="宋体" w:hAnsi="宋体" w:eastAsia="宋体" w:cs="宋体"/>
                <w:color w:val="auto"/>
                <w:kern w:val="0"/>
                <w:sz w:val="24"/>
                <w:szCs w:val="24"/>
                <w:highlight w:val="none"/>
                <w:lang w:val="en-US"/>
              </w:rPr>
              <w:t>202</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日24：00时止</w:t>
            </w:r>
            <w:r>
              <w:rPr>
                <w:rFonts w:hint="eastAsia" w:ascii="宋体" w:hAnsi="宋体" w:eastAsia="宋体" w:cs="宋体"/>
                <w:color w:val="auto"/>
                <w:kern w:val="0"/>
                <w:sz w:val="24"/>
                <w:szCs w:val="24"/>
                <w:highlight w:val="none"/>
                <w:lang w:val="en-US" w:eastAsia="zh-CN"/>
              </w:rPr>
              <w:t xml:space="preserve">   </w:t>
            </w:r>
          </w:p>
        </w:tc>
        <w:tc>
          <w:tcPr>
            <w:tcW w:w="451" w:type="dxa"/>
            <w:tcBorders>
              <w:top w:val="single" w:color="auto" w:sz="4" w:space="0"/>
              <w:left w:val="single" w:color="auto" w:sz="4" w:space="0"/>
              <w:bottom w:val="single" w:color="auto" w:sz="4" w:space="0"/>
              <w:right w:val="single" w:color="auto" w:sz="4" w:space="0"/>
            </w:tcBorders>
            <w:vAlign w:val="center"/>
          </w:tcPr>
          <w:p w14:paraId="4B274372">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13" w:type="dxa"/>
            <w:tcBorders>
              <w:top w:val="single" w:color="auto" w:sz="4" w:space="0"/>
              <w:left w:val="single" w:color="auto" w:sz="4" w:space="0"/>
              <w:bottom w:val="single" w:color="auto" w:sz="4" w:space="0"/>
              <w:right w:val="single" w:color="auto" w:sz="4" w:space="0"/>
            </w:tcBorders>
            <w:vAlign w:val="center"/>
          </w:tcPr>
          <w:p w14:paraId="3C534B6C">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694" w:type="dxa"/>
            <w:tcBorders>
              <w:top w:val="single" w:color="auto" w:sz="4" w:space="0"/>
              <w:left w:val="single" w:color="auto" w:sz="4" w:space="0"/>
              <w:bottom w:val="single" w:color="auto" w:sz="4" w:space="0"/>
              <w:right w:val="single" w:color="auto" w:sz="4" w:space="0"/>
            </w:tcBorders>
            <w:vAlign w:val="center"/>
          </w:tcPr>
          <w:p w14:paraId="6281545C">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854" w:type="dxa"/>
            <w:tcBorders>
              <w:top w:val="single" w:color="auto" w:sz="4" w:space="0"/>
              <w:left w:val="single" w:color="auto" w:sz="4" w:space="0"/>
              <w:bottom w:val="single" w:color="auto" w:sz="4" w:space="0"/>
              <w:right w:val="single" w:color="auto" w:sz="4" w:space="0"/>
            </w:tcBorders>
            <w:vAlign w:val="center"/>
          </w:tcPr>
          <w:p w14:paraId="168E3D5E">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45" w:type="dxa"/>
            <w:tcBorders>
              <w:top w:val="single" w:color="auto" w:sz="4" w:space="0"/>
              <w:left w:val="single" w:color="auto" w:sz="4" w:space="0"/>
              <w:bottom w:val="single" w:color="auto" w:sz="4" w:space="0"/>
              <w:right w:val="single" w:color="auto" w:sz="4" w:space="0"/>
            </w:tcBorders>
            <w:vAlign w:val="center"/>
          </w:tcPr>
          <w:p w14:paraId="69D500DC">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r>
      <w:tr w14:paraId="5FF777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4" w:type="dxa"/>
            <w:tcBorders>
              <w:top w:val="single" w:color="auto" w:sz="4" w:space="0"/>
              <w:left w:val="single" w:color="auto" w:sz="4" w:space="0"/>
              <w:bottom w:val="single" w:color="auto" w:sz="4" w:space="0"/>
              <w:right w:val="single" w:color="auto" w:sz="4" w:space="0"/>
            </w:tcBorders>
            <w:vAlign w:val="center"/>
          </w:tcPr>
          <w:p w14:paraId="22C9C3BA">
            <w:pPr>
              <w:spacing w:line="420" w:lineRule="exact"/>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3</w:t>
            </w:r>
          </w:p>
        </w:tc>
        <w:tc>
          <w:tcPr>
            <w:tcW w:w="714" w:type="dxa"/>
            <w:tcBorders>
              <w:top w:val="single" w:color="auto" w:sz="4" w:space="0"/>
              <w:left w:val="single" w:color="auto" w:sz="4" w:space="0"/>
              <w:bottom w:val="single" w:color="auto" w:sz="4" w:space="0"/>
              <w:right w:val="single" w:color="auto" w:sz="4" w:space="0"/>
            </w:tcBorders>
            <w:vAlign w:val="center"/>
          </w:tcPr>
          <w:p w14:paraId="31667F41">
            <w:pPr>
              <w:spacing w:line="420" w:lineRule="exact"/>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val="0"/>
                <w:color w:val="auto"/>
                <w:sz w:val="24"/>
                <w:szCs w:val="24"/>
                <w:highlight w:val="none"/>
              </w:rPr>
              <w:t>保险条款</w:t>
            </w:r>
          </w:p>
        </w:tc>
        <w:tc>
          <w:tcPr>
            <w:tcW w:w="5199" w:type="dxa"/>
            <w:tcBorders>
              <w:top w:val="single" w:color="auto" w:sz="4" w:space="0"/>
              <w:left w:val="single" w:color="auto" w:sz="4" w:space="0"/>
              <w:bottom w:val="single" w:color="auto" w:sz="4" w:space="0"/>
              <w:right w:val="single" w:color="auto" w:sz="4" w:space="0"/>
            </w:tcBorders>
            <w:vAlign w:val="center"/>
          </w:tcPr>
          <w:p w14:paraId="07C288AF">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（一）基本险：校（园）方责任保险条款</w:t>
            </w:r>
          </w:p>
          <w:p w14:paraId="0AA6722C">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二</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附加</w:t>
            </w:r>
            <w:r>
              <w:rPr>
                <w:rFonts w:hint="eastAsia" w:ascii="宋体" w:hAnsi="宋体" w:eastAsia="宋体" w:cs="宋体"/>
                <w:color w:val="auto"/>
                <w:kern w:val="0"/>
                <w:sz w:val="24"/>
                <w:szCs w:val="24"/>
                <w:highlight w:val="none"/>
              </w:rPr>
              <w:t>险：</w:t>
            </w:r>
            <w:r>
              <w:rPr>
                <w:rFonts w:hint="eastAsia" w:ascii="宋体" w:hAnsi="宋体" w:eastAsia="宋体" w:cs="宋体"/>
                <w:color w:val="auto"/>
                <w:kern w:val="0"/>
                <w:sz w:val="24"/>
                <w:szCs w:val="24"/>
                <w:highlight w:val="none"/>
                <w:lang w:val="en-US" w:eastAsia="zh-CN"/>
              </w:rPr>
              <w:t>附加</w:t>
            </w:r>
            <w:r>
              <w:rPr>
                <w:rFonts w:hint="eastAsia" w:ascii="宋体" w:hAnsi="宋体" w:eastAsia="宋体" w:cs="宋体"/>
                <w:color w:val="auto"/>
                <w:kern w:val="0"/>
                <w:sz w:val="24"/>
                <w:szCs w:val="24"/>
                <w:highlight w:val="none"/>
              </w:rPr>
              <w:t>校（园）方</w:t>
            </w:r>
            <w:r>
              <w:rPr>
                <w:rFonts w:hint="eastAsia" w:ascii="宋体" w:hAnsi="宋体" w:eastAsia="宋体" w:cs="宋体"/>
                <w:color w:val="auto"/>
                <w:kern w:val="0"/>
                <w:sz w:val="24"/>
                <w:szCs w:val="24"/>
                <w:highlight w:val="none"/>
                <w:lang w:val="en-US" w:eastAsia="zh-CN"/>
              </w:rPr>
              <w:t>无过失</w:t>
            </w:r>
            <w:r>
              <w:rPr>
                <w:rFonts w:hint="eastAsia" w:ascii="宋体" w:hAnsi="宋体" w:eastAsia="宋体" w:cs="宋体"/>
                <w:color w:val="auto"/>
                <w:kern w:val="0"/>
                <w:sz w:val="24"/>
                <w:szCs w:val="24"/>
                <w:highlight w:val="none"/>
              </w:rPr>
              <w:t>责任保险条款</w:t>
            </w:r>
          </w:p>
          <w:p w14:paraId="59676B5E">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三</w:t>
            </w:r>
            <w:r>
              <w:rPr>
                <w:rFonts w:hint="eastAsia" w:ascii="宋体" w:hAnsi="宋体" w:eastAsia="宋体" w:cs="宋体"/>
                <w:color w:val="auto"/>
                <w:kern w:val="0"/>
                <w:sz w:val="24"/>
                <w:szCs w:val="24"/>
                <w:highlight w:val="none"/>
              </w:rPr>
              <w:t>）扩展条款：</w:t>
            </w:r>
          </w:p>
          <w:p w14:paraId="7CBC5F4E">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扩展财产损失保险条款（每次事故每人财产损失责任限额：1万元）</w:t>
            </w:r>
          </w:p>
          <w:p w14:paraId="5F6BDCDA">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扩展交流生保险条款（每次事故每人限额：20万元）</w:t>
            </w:r>
          </w:p>
          <w:p w14:paraId="5BE0E5CE">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扩展自然灾害及不可抗力保险条款</w:t>
            </w:r>
          </w:p>
          <w:p w14:paraId="72DB2BE8">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扩展集体活动保险条款（每次事故每人限额：20万元）</w:t>
            </w:r>
          </w:p>
          <w:p w14:paraId="4EC6C220">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扩展新增学生人数变动保险条款</w:t>
            </w:r>
          </w:p>
          <w:p w14:paraId="7985581F">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扩展学生第三者责任保险条款（每次事故每人第三者责任限额：20万元）</w:t>
            </w:r>
          </w:p>
          <w:p w14:paraId="5C0C8245">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扩展恶劣天气保险条款</w:t>
            </w:r>
          </w:p>
          <w:p w14:paraId="58B38F60">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扩展境外保险条款</w:t>
            </w:r>
          </w:p>
          <w:p w14:paraId="6FF038B2">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扩展校车保险条款</w:t>
            </w:r>
          </w:p>
          <w:p w14:paraId="5804F678">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扩展住宿场所保险条款</w:t>
            </w:r>
          </w:p>
          <w:p w14:paraId="20D2CCA3">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扩展罢工、暴乱、民众骚乱或恶意破坏保险条款</w:t>
            </w:r>
          </w:p>
          <w:p w14:paraId="41518671">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扩展性侵害保险条款</w:t>
            </w:r>
          </w:p>
          <w:p w14:paraId="461798DE">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扩展学业中断保险条款（每日学业中断损失补偿金：30元，每次事故每人学业中断损失责任限额：5000元，每次事故每人学业中断绝对免赔天数：</w:t>
            </w:r>
            <w:r>
              <w:rPr>
                <w:rFonts w:hint="eastAsia" w:ascii="宋体" w:hAnsi="宋体" w:eastAsia="宋体" w:cs="宋体"/>
                <w:color w:val="auto"/>
                <w:kern w:val="0"/>
                <w:sz w:val="24"/>
                <w:szCs w:val="24"/>
                <w:highlight w:val="none"/>
                <w:lang w:val="en-US" w:eastAsia="zh-CN"/>
              </w:rPr>
              <w:t>0</w:t>
            </w:r>
            <w:r>
              <w:rPr>
                <w:rFonts w:hint="eastAsia" w:ascii="宋体" w:hAnsi="宋体" w:eastAsia="宋体" w:cs="宋体"/>
                <w:color w:val="auto"/>
                <w:kern w:val="0"/>
                <w:sz w:val="24"/>
                <w:szCs w:val="24"/>
                <w:highlight w:val="none"/>
              </w:rPr>
              <w:t>天）</w:t>
            </w:r>
          </w:p>
          <w:p w14:paraId="46C997F5">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错误和遗漏条款</w:t>
            </w:r>
          </w:p>
          <w:p w14:paraId="5757C35A">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违反条件条款</w:t>
            </w:r>
          </w:p>
          <w:p w14:paraId="44EF00C4">
            <w:pPr>
              <w:spacing w:line="420" w:lineRule="exact"/>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auto"/>
                <w:kern w:val="0"/>
                <w:sz w:val="24"/>
                <w:szCs w:val="24"/>
                <w:highlight w:val="none"/>
              </w:rPr>
              <w:t>注：上述扩展条款不需要投保人另行缴费，投保人投保基本险即获得上述所有扩展条款保险保障。</w:t>
            </w:r>
          </w:p>
        </w:tc>
        <w:tc>
          <w:tcPr>
            <w:tcW w:w="451" w:type="dxa"/>
            <w:tcBorders>
              <w:top w:val="single" w:color="auto" w:sz="4" w:space="0"/>
              <w:left w:val="single" w:color="auto" w:sz="4" w:space="0"/>
              <w:bottom w:val="single" w:color="auto" w:sz="4" w:space="0"/>
              <w:right w:val="single" w:color="auto" w:sz="4" w:space="0"/>
            </w:tcBorders>
            <w:vAlign w:val="center"/>
          </w:tcPr>
          <w:p w14:paraId="7E53BB5A">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13" w:type="dxa"/>
            <w:tcBorders>
              <w:top w:val="single" w:color="auto" w:sz="4" w:space="0"/>
              <w:left w:val="single" w:color="auto" w:sz="4" w:space="0"/>
              <w:bottom w:val="single" w:color="auto" w:sz="4" w:space="0"/>
              <w:right w:val="single" w:color="auto" w:sz="4" w:space="0"/>
            </w:tcBorders>
            <w:vAlign w:val="center"/>
          </w:tcPr>
          <w:p w14:paraId="6D475737">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694" w:type="dxa"/>
            <w:tcBorders>
              <w:top w:val="single" w:color="auto" w:sz="4" w:space="0"/>
              <w:left w:val="single" w:color="auto" w:sz="4" w:space="0"/>
              <w:bottom w:val="single" w:color="auto" w:sz="4" w:space="0"/>
              <w:right w:val="single" w:color="auto" w:sz="4" w:space="0"/>
            </w:tcBorders>
            <w:vAlign w:val="center"/>
          </w:tcPr>
          <w:p w14:paraId="64E9CBFE">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854" w:type="dxa"/>
            <w:tcBorders>
              <w:top w:val="single" w:color="auto" w:sz="4" w:space="0"/>
              <w:left w:val="single" w:color="auto" w:sz="4" w:space="0"/>
              <w:bottom w:val="single" w:color="auto" w:sz="4" w:space="0"/>
              <w:right w:val="single" w:color="auto" w:sz="4" w:space="0"/>
            </w:tcBorders>
            <w:vAlign w:val="center"/>
          </w:tcPr>
          <w:p w14:paraId="7843C894">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45" w:type="dxa"/>
            <w:tcBorders>
              <w:top w:val="single" w:color="auto" w:sz="4" w:space="0"/>
              <w:left w:val="single" w:color="auto" w:sz="4" w:space="0"/>
              <w:bottom w:val="single" w:color="auto" w:sz="4" w:space="0"/>
              <w:right w:val="single" w:color="auto" w:sz="4" w:space="0"/>
            </w:tcBorders>
            <w:vAlign w:val="center"/>
          </w:tcPr>
          <w:p w14:paraId="5B72D8E4">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r>
      <w:tr w14:paraId="6FB005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4" w:type="dxa"/>
            <w:tcBorders>
              <w:top w:val="single" w:color="auto" w:sz="4" w:space="0"/>
              <w:left w:val="single" w:color="auto" w:sz="4" w:space="0"/>
              <w:bottom w:val="single" w:color="auto" w:sz="4" w:space="0"/>
              <w:right w:val="single" w:color="auto" w:sz="4" w:space="0"/>
            </w:tcBorders>
            <w:vAlign w:val="center"/>
          </w:tcPr>
          <w:p w14:paraId="33BE8612">
            <w:pPr>
              <w:spacing w:line="420" w:lineRule="exact"/>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4</w:t>
            </w:r>
          </w:p>
        </w:tc>
        <w:tc>
          <w:tcPr>
            <w:tcW w:w="714" w:type="dxa"/>
            <w:tcBorders>
              <w:top w:val="single" w:color="auto" w:sz="4" w:space="0"/>
              <w:left w:val="single" w:color="auto" w:sz="4" w:space="0"/>
              <w:bottom w:val="single" w:color="auto" w:sz="4" w:space="0"/>
              <w:right w:val="single" w:color="auto" w:sz="4" w:space="0"/>
            </w:tcBorders>
            <w:vAlign w:val="center"/>
          </w:tcPr>
          <w:p w14:paraId="2F2A3522">
            <w:pPr>
              <w:spacing w:line="360" w:lineRule="auto"/>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val="0"/>
                <w:color w:val="auto"/>
                <w:sz w:val="24"/>
                <w:szCs w:val="24"/>
                <w:highlight w:val="none"/>
              </w:rPr>
              <w:t>基本险责任限额</w:t>
            </w:r>
          </w:p>
        </w:tc>
        <w:tc>
          <w:tcPr>
            <w:tcW w:w="5199" w:type="dxa"/>
            <w:tcBorders>
              <w:top w:val="single" w:color="auto" w:sz="4" w:space="0"/>
              <w:left w:val="single" w:color="auto" w:sz="4" w:space="0"/>
              <w:bottom w:val="single" w:color="auto" w:sz="4" w:space="0"/>
              <w:right w:val="single" w:color="auto" w:sz="4" w:space="0"/>
            </w:tcBorders>
            <w:vAlign w:val="center"/>
          </w:tcPr>
          <w:tbl>
            <w:tblPr>
              <w:tblStyle w:val="7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9"/>
              <w:gridCol w:w="2812"/>
            </w:tblGrid>
            <w:tr w14:paraId="3EA8B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71" w:type="pct"/>
                  <w:shd w:val="clear" w:color="auto" w:fill="F1F1F1"/>
                  <w:noWrap w:val="0"/>
                  <w:vAlign w:val="top"/>
                </w:tcPr>
                <w:p w14:paraId="442EAC73">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每次事故责任限额</w:t>
                  </w:r>
                </w:p>
              </w:tc>
              <w:tc>
                <w:tcPr>
                  <w:tcW w:w="2828" w:type="pct"/>
                  <w:shd w:val="clear" w:color="auto" w:fill="F1F1F1"/>
                  <w:noWrap w:val="0"/>
                  <w:vAlign w:val="top"/>
                </w:tcPr>
                <w:p w14:paraId="730524AB">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每次事故每人责任限额</w:t>
                  </w:r>
                </w:p>
              </w:tc>
            </w:tr>
            <w:tr w14:paraId="0BE56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71" w:type="pct"/>
                  <w:noWrap w:val="0"/>
                  <w:vAlign w:val="top"/>
                </w:tcPr>
                <w:p w14:paraId="26B87308">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6000</w:t>
                  </w:r>
                  <w:r>
                    <w:rPr>
                      <w:rFonts w:hint="eastAsia" w:ascii="宋体" w:hAnsi="宋体" w:eastAsia="宋体" w:cs="宋体"/>
                      <w:color w:val="auto"/>
                      <w:kern w:val="0"/>
                      <w:sz w:val="24"/>
                      <w:szCs w:val="24"/>
                      <w:highlight w:val="none"/>
                    </w:rPr>
                    <w:t>万元</w:t>
                  </w:r>
                </w:p>
              </w:tc>
              <w:tc>
                <w:tcPr>
                  <w:tcW w:w="2828" w:type="pct"/>
                  <w:noWrap w:val="0"/>
                  <w:vAlign w:val="top"/>
                </w:tcPr>
                <w:p w14:paraId="48810C66">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50万元</w:t>
                  </w:r>
                </w:p>
              </w:tc>
            </w:tr>
          </w:tbl>
          <w:p w14:paraId="72BDD2F2">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注：1</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累计责任限额：无；</w:t>
            </w:r>
          </w:p>
          <w:p w14:paraId="65EC71C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eastAsia="zh-CN"/>
              </w:rPr>
              <w:t>在每次事故每人责任限额内：</w:t>
            </w:r>
          </w:p>
          <w:p w14:paraId="6E7DD6C9">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每次事故每人医疗费用责任限额：同每次事故每人责任限额；</w:t>
            </w:r>
          </w:p>
          <w:p w14:paraId="6CB28EB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每次事故每人精神损害抚慰金责任限额：1</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万元；</w:t>
            </w:r>
          </w:p>
          <w:p w14:paraId="7665BFDB">
            <w:pPr>
              <w:spacing w:line="360" w:lineRule="auto"/>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每次事故及累计法律费用责任限额：每次事故责任限额的</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0%</w:t>
            </w:r>
            <w:r>
              <w:rPr>
                <w:rFonts w:hint="eastAsia" w:ascii="宋体" w:hAnsi="宋体" w:eastAsia="宋体" w:cs="宋体"/>
                <w:color w:val="auto"/>
                <w:kern w:val="0"/>
                <w:sz w:val="24"/>
                <w:szCs w:val="24"/>
                <w:highlight w:val="none"/>
                <w:lang w:eastAsia="zh-CN"/>
              </w:rPr>
              <w:t>；</w:t>
            </w:r>
          </w:p>
          <w:p w14:paraId="6AD62403">
            <w:pPr>
              <w:spacing w:line="360" w:lineRule="auto"/>
              <w:ind w:firstLine="480" w:firstLineChars="200"/>
              <w:jc w:val="left"/>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每次事故每人施救费用责任限额：同每次事故每人责任限额</w:t>
            </w:r>
            <w:r>
              <w:rPr>
                <w:rFonts w:hint="eastAsia" w:ascii="宋体" w:hAnsi="宋体" w:eastAsia="宋体" w:cs="宋体"/>
                <w:color w:val="auto"/>
                <w:kern w:val="0"/>
                <w:sz w:val="24"/>
                <w:szCs w:val="24"/>
                <w:highlight w:val="none"/>
                <w:lang w:eastAsia="zh-CN"/>
              </w:rPr>
              <w:t>。</w:t>
            </w:r>
          </w:p>
        </w:tc>
        <w:tc>
          <w:tcPr>
            <w:tcW w:w="451" w:type="dxa"/>
            <w:tcBorders>
              <w:top w:val="single" w:color="auto" w:sz="4" w:space="0"/>
              <w:left w:val="single" w:color="auto" w:sz="4" w:space="0"/>
              <w:bottom w:val="single" w:color="auto" w:sz="4" w:space="0"/>
              <w:right w:val="single" w:color="auto" w:sz="4" w:space="0"/>
            </w:tcBorders>
            <w:vAlign w:val="center"/>
          </w:tcPr>
          <w:p w14:paraId="57340BB0">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13" w:type="dxa"/>
            <w:tcBorders>
              <w:top w:val="single" w:color="auto" w:sz="4" w:space="0"/>
              <w:left w:val="single" w:color="auto" w:sz="4" w:space="0"/>
              <w:bottom w:val="single" w:color="auto" w:sz="4" w:space="0"/>
              <w:right w:val="single" w:color="auto" w:sz="4" w:space="0"/>
            </w:tcBorders>
            <w:vAlign w:val="center"/>
          </w:tcPr>
          <w:p w14:paraId="02B1394E">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694" w:type="dxa"/>
            <w:tcBorders>
              <w:top w:val="single" w:color="auto" w:sz="4" w:space="0"/>
              <w:left w:val="single" w:color="auto" w:sz="4" w:space="0"/>
              <w:bottom w:val="single" w:color="auto" w:sz="4" w:space="0"/>
              <w:right w:val="single" w:color="auto" w:sz="4" w:space="0"/>
            </w:tcBorders>
            <w:vAlign w:val="center"/>
          </w:tcPr>
          <w:p w14:paraId="63F02686">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854" w:type="dxa"/>
            <w:tcBorders>
              <w:top w:val="single" w:color="auto" w:sz="4" w:space="0"/>
              <w:left w:val="single" w:color="auto" w:sz="4" w:space="0"/>
              <w:bottom w:val="single" w:color="auto" w:sz="4" w:space="0"/>
              <w:right w:val="single" w:color="auto" w:sz="4" w:space="0"/>
            </w:tcBorders>
            <w:vAlign w:val="center"/>
          </w:tcPr>
          <w:p w14:paraId="0F02BD93">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45" w:type="dxa"/>
            <w:tcBorders>
              <w:top w:val="single" w:color="auto" w:sz="4" w:space="0"/>
              <w:left w:val="single" w:color="auto" w:sz="4" w:space="0"/>
              <w:bottom w:val="single" w:color="auto" w:sz="4" w:space="0"/>
              <w:right w:val="single" w:color="auto" w:sz="4" w:space="0"/>
            </w:tcBorders>
            <w:vAlign w:val="center"/>
          </w:tcPr>
          <w:p w14:paraId="772F612D">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r>
      <w:tr w14:paraId="23B638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43" w:hRule="atLeast"/>
        </w:trPr>
        <w:tc>
          <w:tcPr>
            <w:tcW w:w="704" w:type="dxa"/>
            <w:tcBorders>
              <w:top w:val="single" w:color="auto" w:sz="4" w:space="0"/>
              <w:left w:val="single" w:color="auto" w:sz="4" w:space="0"/>
              <w:bottom w:val="single" w:color="auto" w:sz="4" w:space="0"/>
              <w:right w:val="single" w:color="auto" w:sz="4" w:space="0"/>
            </w:tcBorders>
            <w:vAlign w:val="center"/>
          </w:tcPr>
          <w:p w14:paraId="552C093A">
            <w:pPr>
              <w:spacing w:line="420" w:lineRule="exact"/>
              <w:jc w:val="center"/>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5</w:t>
            </w:r>
          </w:p>
        </w:tc>
        <w:tc>
          <w:tcPr>
            <w:tcW w:w="714" w:type="dxa"/>
            <w:tcBorders>
              <w:top w:val="single" w:color="auto" w:sz="4" w:space="0"/>
              <w:left w:val="single" w:color="auto" w:sz="4" w:space="0"/>
              <w:bottom w:val="single" w:color="auto" w:sz="4" w:space="0"/>
              <w:right w:val="single" w:color="auto" w:sz="4" w:space="0"/>
            </w:tcBorders>
            <w:vAlign w:val="center"/>
          </w:tcPr>
          <w:p w14:paraId="42CC5BE5">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附加险责任限额</w:t>
            </w:r>
          </w:p>
        </w:tc>
        <w:tc>
          <w:tcPr>
            <w:tcW w:w="5199" w:type="dxa"/>
            <w:tcBorders>
              <w:top w:val="single" w:color="auto" w:sz="4" w:space="0"/>
              <w:left w:val="single" w:color="auto" w:sz="4" w:space="0"/>
              <w:bottom w:val="single" w:color="auto" w:sz="4" w:space="0"/>
              <w:right w:val="single" w:color="auto" w:sz="4" w:space="0"/>
            </w:tcBorders>
            <w:vAlign w:val="center"/>
          </w:tcPr>
          <w:tbl>
            <w:tblPr>
              <w:tblStyle w:val="74"/>
              <w:tblW w:w="49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7"/>
              <w:gridCol w:w="2746"/>
            </w:tblGrid>
            <w:tr w14:paraId="32944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27" w:type="dxa"/>
                  <w:shd w:val="clear" w:color="auto" w:fill="F1F1F1"/>
                  <w:noWrap w:val="0"/>
                  <w:vAlign w:val="top"/>
                </w:tcPr>
                <w:p w14:paraId="5ADB83C6">
                  <w:pPr>
                    <w:widowControl w:val="0"/>
                    <w:spacing w:line="360" w:lineRule="auto"/>
                    <w:jc w:val="center"/>
                    <w:outlineLvl w:val="9"/>
                    <w:rPr>
                      <w:rFonts w:hint="eastAsia"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每次事故责任限额</w:t>
                  </w:r>
                </w:p>
              </w:tc>
              <w:tc>
                <w:tcPr>
                  <w:tcW w:w="2746" w:type="dxa"/>
                  <w:shd w:val="clear" w:color="auto" w:fill="F1F1F1"/>
                  <w:noWrap w:val="0"/>
                  <w:vAlign w:val="top"/>
                </w:tcPr>
                <w:p w14:paraId="5A8FD88C">
                  <w:pPr>
                    <w:widowControl w:val="0"/>
                    <w:spacing w:line="360" w:lineRule="auto"/>
                    <w:jc w:val="center"/>
                    <w:outlineLvl w:val="9"/>
                    <w:rPr>
                      <w:rFonts w:hint="eastAsia"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每次事故每人责任限额</w:t>
                  </w:r>
                </w:p>
              </w:tc>
            </w:tr>
            <w:tr w14:paraId="7A5B4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27" w:type="dxa"/>
                  <w:noWrap w:val="0"/>
                  <w:vAlign w:val="top"/>
                </w:tcPr>
                <w:p w14:paraId="75CADEA6">
                  <w:pPr>
                    <w:widowControl w:val="0"/>
                    <w:spacing w:line="360" w:lineRule="auto"/>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500万元</w:t>
                  </w:r>
                </w:p>
              </w:tc>
              <w:tc>
                <w:tcPr>
                  <w:tcW w:w="2746" w:type="dxa"/>
                  <w:noWrap w:val="0"/>
                  <w:vAlign w:val="top"/>
                </w:tcPr>
                <w:p w14:paraId="3064B8C3">
                  <w:pPr>
                    <w:widowControl w:val="0"/>
                    <w:spacing w:line="360" w:lineRule="auto"/>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60万元</w:t>
                  </w:r>
                </w:p>
              </w:tc>
            </w:tr>
          </w:tbl>
          <w:p w14:paraId="0A59935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注：1.累计责任限额：对应每次事故责任限额的2倍；</w:t>
            </w:r>
          </w:p>
          <w:p w14:paraId="40AD9E09">
            <w:pPr>
              <w:spacing w:line="360" w:lineRule="auto"/>
              <w:ind w:firstLine="480" w:firstLineChars="200"/>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2.每次事故每人医疗费用责任限额：同</w:t>
            </w:r>
            <w:r>
              <w:rPr>
                <w:rFonts w:hint="eastAsia" w:ascii="宋体" w:hAnsi="宋体" w:eastAsia="宋体" w:cs="宋体"/>
                <w:color w:val="auto"/>
                <w:kern w:val="0"/>
                <w:sz w:val="24"/>
                <w:szCs w:val="24"/>
                <w:highlight w:val="none"/>
              </w:rPr>
              <w:t>每次事故每人责任限额</w:t>
            </w:r>
            <w:r>
              <w:rPr>
                <w:rFonts w:hint="eastAsia" w:ascii="宋体" w:hAnsi="宋体" w:eastAsia="宋体" w:cs="宋体"/>
                <w:color w:val="auto"/>
                <w:kern w:val="0"/>
                <w:sz w:val="24"/>
                <w:szCs w:val="24"/>
                <w:highlight w:val="none"/>
                <w:lang w:eastAsia="zh-CN"/>
              </w:rPr>
              <w:t>。</w:t>
            </w:r>
          </w:p>
        </w:tc>
        <w:tc>
          <w:tcPr>
            <w:tcW w:w="451" w:type="dxa"/>
            <w:tcBorders>
              <w:top w:val="single" w:color="auto" w:sz="4" w:space="0"/>
              <w:left w:val="single" w:color="auto" w:sz="4" w:space="0"/>
              <w:bottom w:val="single" w:color="auto" w:sz="4" w:space="0"/>
              <w:right w:val="single" w:color="auto" w:sz="4" w:space="0"/>
            </w:tcBorders>
            <w:vAlign w:val="center"/>
          </w:tcPr>
          <w:p w14:paraId="78BD8F56">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13" w:type="dxa"/>
            <w:tcBorders>
              <w:top w:val="single" w:color="auto" w:sz="4" w:space="0"/>
              <w:left w:val="single" w:color="auto" w:sz="4" w:space="0"/>
              <w:bottom w:val="single" w:color="auto" w:sz="4" w:space="0"/>
              <w:right w:val="single" w:color="auto" w:sz="4" w:space="0"/>
            </w:tcBorders>
            <w:vAlign w:val="center"/>
          </w:tcPr>
          <w:p w14:paraId="0349E4E2">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694" w:type="dxa"/>
            <w:tcBorders>
              <w:top w:val="single" w:color="auto" w:sz="4" w:space="0"/>
              <w:left w:val="single" w:color="auto" w:sz="4" w:space="0"/>
              <w:bottom w:val="single" w:color="auto" w:sz="4" w:space="0"/>
              <w:right w:val="single" w:color="auto" w:sz="4" w:space="0"/>
            </w:tcBorders>
            <w:vAlign w:val="center"/>
          </w:tcPr>
          <w:p w14:paraId="45A4534D">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854" w:type="dxa"/>
            <w:tcBorders>
              <w:top w:val="single" w:color="auto" w:sz="4" w:space="0"/>
              <w:left w:val="single" w:color="auto" w:sz="4" w:space="0"/>
              <w:bottom w:val="single" w:color="auto" w:sz="4" w:space="0"/>
              <w:right w:val="single" w:color="auto" w:sz="4" w:space="0"/>
            </w:tcBorders>
            <w:vAlign w:val="center"/>
          </w:tcPr>
          <w:p w14:paraId="1FE35DF7">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45" w:type="dxa"/>
            <w:tcBorders>
              <w:top w:val="single" w:color="auto" w:sz="4" w:space="0"/>
              <w:left w:val="single" w:color="auto" w:sz="4" w:space="0"/>
              <w:bottom w:val="single" w:color="auto" w:sz="4" w:space="0"/>
              <w:right w:val="single" w:color="auto" w:sz="4" w:space="0"/>
            </w:tcBorders>
            <w:vAlign w:val="center"/>
          </w:tcPr>
          <w:p w14:paraId="037A919F">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r>
      <w:tr w14:paraId="7B7E8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4" w:type="dxa"/>
            <w:tcBorders>
              <w:top w:val="single" w:color="auto" w:sz="4" w:space="0"/>
              <w:left w:val="single" w:color="auto" w:sz="4" w:space="0"/>
              <w:bottom w:val="single" w:color="auto" w:sz="4" w:space="0"/>
              <w:right w:val="single" w:color="auto" w:sz="4" w:space="0"/>
            </w:tcBorders>
            <w:vAlign w:val="center"/>
          </w:tcPr>
          <w:p w14:paraId="2F0E26AA">
            <w:pPr>
              <w:spacing w:line="420" w:lineRule="exact"/>
              <w:jc w:val="center"/>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6</w:t>
            </w:r>
          </w:p>
        </w:tc>
        <w:tc>
          <w:tcPr>
            <w:tcW w:w="714" w:type="dxa"/>
            <w:tcBorders>
              <w:top w:val="single" w:color="auto" w:sz="4" w:space="0"/>
              <w:left w:val="single" w:color="auto" w:sz="4" w:space="0"/>
              <w:bottom w:val="single" w:color="auto" w:sz="4" w:space="0"/>
              <w:right w:val="single" w:color="auto" w:sz="4" w:space="0"/>
            </w:tcBorders>
            <w:shd w:val="clear" w:color="auto" w:fill="auto"/>
            <w:vAlign w:val="center"/>
          </w:tcPr>
          <w:p w14:paraId="5E45D4A4">
            <w:pPr>
              <w:spacing w:line="360" w:lineRule="auto"/>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sz w:val="24"/>
                <w:szCs w:val="24"/>
                <w:highlight w:val="none"/>
              </w:rPr>
              <w:t>免赔额</w:t>
            </w:r>
          </w:p>
        </w:tc>
        <w:tc>
          <w:tcPr>
            <w:tcW w:w="5199" w:type="dxa"/>
            <w:tcBorders>
              <w:top w:val="single" w:color="auto" w:sz="4" w:space="0"/>
              <w:left w:val="single" w:color="auto" w:sz="4" w:space="0"/>
              <w:bottom w:val="single" w:color="auto" w:sz="4" w:space="0"/>
              <w:right w:val="single" w:color="auto" w:sz="4" w:space="0"/>
            </w:tcBorders>
            <w:shd w:val="clear" w:color="auto" w:fill="auto"/>
            <w:vAlign w:val="center"/>
          </w:tcPr>
          <w:p w14:paraId="65BE3CB4">
            <w:pPr>
              <w:spacing w:line="360" w:lineRule="auto"/>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本保险合同</w:t>
            </w:r>
            <w:r>
              <w:rPr>
                <w:rFonts w:hint="eastAsia" w:ascii="宋体" w:hAnsi="宋体" w:eastAsia="宋体" w:cs="宋体"/>
                <w:color w:val="auto"/>
                <w:kern w:val="0"/>
                <w:sz w:val="24"/>
                <w:szCs w:val="24"/>
                <w:highlight w:val="none"/>
              </w:rPr>
              <w:t>无免赔</w:t>
            </w:r>
          </w:p>
        </w:tc>
        <w:tc>
          <w:tcPr>
            <w:tcW w:w="451" w:type="dxa"/>
            <w:tcBorders>
              <w:top w:val="single" w:color="auto" w:sz="4" w:space="0"/>
              <w:left w:val="single" w:color="auto" w:sz="4" w:space="0"/>
              <w:bottom w:val="single" w:color="auto" w:sz="4" w:space="0"/>
              <w:right w:val="single" w:color="auto" w:sz="4" w:space="0"/>
            </w:tcBorders>
            <w:vAlign w:val="center"/>
          </w:tcPr>
          <w:p w14:paraId="39931353">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13" w:type="dxa"/>
            <w:tcBorders>
              <w:top w:val="single" w:color="auto" w:sz="4" w:space="0"/>
              <w:left w:val="single" w:color="auto" w:sz="4" w:space="0"/>
              <w:bottom w:val="single" w:color="auto" w:sz="4" w:space="0"/>
              <w:right w:val="single" w:color="auto" w:sz="4" w:space="0"/>
            </w:tcBorders>
            <w:vAlign w:val="center"/>
          </w:tcPr>
          <w:p w14:paraId="79A3392A">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694" w:type="dxa"/>
            <w:tcBorders>
              <w:top w:val="single" w:color="auto" w:sz="4" w:space="0"/>
              <w:left w:val="single" w:color="auto" w:sz="4" w:space="0"/>
              <w:bottom w:val="single" w:color="auto" w:sz="4" w:space="0"/>
              <w:right w:val="single" w:color="auto" w:sz="4" w:space="0"/>
            </w:tcBorders>
            <w:vAlign w:val="center"/>
          </w:tcPr>
          <w:p w14:paraId="7BDEEF75">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854" w:type="dxa"/>
            <w:tcBorders>
              <w:top w:val="single" w:color="auto" w:sz="4" w:space="0"/>
              <w:left w:val="single" w:color="auto" w:sz="4" w:space="0"/>
              <w:bottom w:val="single" w:color="auto" w:sz="4" w:space="0"/>
              <w:right w:val="single" w:color="auto" w:sz="4" w:space="0"/>
            </w:tcBorders>
            <w:vAlign w:val="center"/>
          </w:tcPr>
          <w:p w14:paraId="43A09C3F">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45" w:type="dxa"/>
            <w:tcBorders>
              <w:top w:val="single" w:color="auto" w:sz="4" w:space="0"/>
              <w:left w:val="single" w:color="auto" w:sz="4" w:space="0"/>
              <w:bottom w:val="single" w:color="auto" w:sz="4" w:space="0"/>
              <w:right w:val="single" w:color="auto" w:sz="4" w:space="0"/>
            </w:tcBorders>
            <w:vAlign w:val="center"/>
          </w:tcPr>
          <w:p w14:paraId="0E6DF9D9">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r>
      <w:tr w14:paraId="00A349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4" w:type="dxa"/>
            <w:tcBorders>
              <w:top w:val="single" w:color="auto" w:sz="4" w:space="0"/>
              <w:left w:val="single" w:color="auto" w:sz="4" w:space="0"/>
              <w:bottom w:val="single" w:color="auto" w:sz="4" w:space="0"/>
              <w:right w:val="single" w:color="auto" w:sz="4" w:space="0"/>
            </w:tcBorders>
            <w:vAlign w:val="center"/>
          </w:tcPr>
          <w:p w14:paraId="7C11FA26">
            <w:pPr>
              <w:spacing w:line="420" w:lineRule="exact"/>
              <w:jc w:val="center"/>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7</w:t>
            </w:r>
          </w:p>
        </w:tc>
        <w:tc>
          <w:tcPr>
            <w:tcW w:w="714" w:type="dxa"/>
            <w:tcBorders>
              <w:top w:val="single" w:color="auto" w:sz="4" w:space="0"/>
              <w:left w:val="single" w:color="auto" w:sz="4" w:space="0"/>
              <w:bottom w:val="single" w:color="auto" w:sz="4" w:space="0"/>
              <w:right w:val="single" w:color="auto" w:sz="4" w:space="0"/>
            </w:tcBorders>
            <w:shd w:val="clear" w:color="auto" w:fill="auto"/>
            <w:vAlign w:val="center"/>
          </w:tcPr>
          <w:p w14:paraId="574562F7">
            <w:pPr>
              <w:spacing w:line="360" w:lineRule="auto"/>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sz w:val="24"/>
                <w:szCs w:val="24"/>
                <w:highlight w:val="none"/>
              </w:rPr>
              <w:t>保险费</w:t>
            </w:r>
            <w:r>
              <w:rPr>
                <w:rFonts w:hint="eastAsia" w:ascii="宋体" w:hAnsi="宋体" w:eastAsia="宋体" w:cs="宋体"/>
                <w:b/>
                <w:bCs w:val="0"/>
                <w:color w:val="auto"/>
                <w:sz w:val="24"/>
                <w:szCs w:val="24"/>
                <w:highlight w:val="none"/>
                <w:lang w:val="en-US" w:eastAsia="zh-CN"/>
              </w:rPr>
              <w:t>单价</w:t>
            </w:r>
          </w:p>
        </w:tc>
        <w:tc>
          <w:tcPr>
            <w:tcW w:w="5199" w:type="dxa"/>
            <w:tcBorders>
              <w:top w:val="single" w:color="auto" w:sz="4" w:space="0"/>
              <w:left w:val="single" w:color="auto" w:sz="4" w:space="0"/>
              <w:bottom w:val="single" w:color="auto" w:sz="4" w:space="0"/>
              <w:right w:val="single" w:color="auto" w:sz="4" w:space="0"/>
            </w:tcBorders>
            <w:shd w:val="clear" w:color="auto" w:fill="auto"/>
            <w:vAlign w:val="center"/>
          </w:tcPr>
          <w:p w14:paraId="64D275F6">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最高限价：10元/人/学年</w:t>
            </w:r>
          </w:p>
        </w:tc>
        <w:tc>
          <w:tcPr>
            <w:tcW w:w="451" w:type="dxa"/>
            <w:tcBorders>
              <w:top w:val="single" w:color="auto" w:sz="4" w:space="0"/>
              <w:left w:val="single" w:color="auto" w:sz="4" w:space="0"/>
              <w:bottom w:val="single" w:color="auto" w:sz="4" w:space="0"/>
              <w:right w:val="single" w:color="auto" w:sz="4" w:space="0"/>
            </w:tcBorders>
            <w:vAlign w:val="center"/>
          </w:tcPr>
          <w:p w14:paraId="5EF311ED">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13" w:type="dxa"/>
            <w:tcBorders>
              <w:top w:val="single" w:color="auto" w:sz="4" w:space="0"/>
              <w:left w:val="single" w:color="auto" w:sz="4" w:space="0"/>
              <w:bottom w:val="single" w:color="auto" w:sz="4" w:space="0"/>
              <w:right w:val="single" w:color="auto" w:sz="4" w:space="0"/>
            </w:tcBorders>
            <w:vAlign w:val="center"/>
          </w:tcPr>
          <w:p w14:paraId="45810E81">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694" w:type="dxa"/>
            <w:tcBorders>
              <w:top w:val="single" w:color="auto" w:sz="4" w:space="0"/>
              <w:left w:val="single" w:color="auto" w:sz="4" w:space="0"/>
              <w:bottom w:val="single" w:color="auto" w:sz="4" w:space="0"/>
              <w:right w:val="single" w:color="auto" w:sz="4" w:space="0"/>
            </w:tcBorders>
            <w:vAlign w:val="center"/>
          </w:tcPr>
          <w:p w14:paraId="2B66853F">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854" w:type="dxa"/>
            <w:tcBorders>
              <w:top w:val="single" w:color="auto" w:sz="4" w:space="0"/>
              <w:left w:val="single" w:color="auto" w:sz="4" w:space="0"/>
              <w:bottom w:val="single" w:color="auto" w:sz="4" w:space="0"/>
              <w:right w:val="single" w:color="auto" w:sz="4" w:space="0"/>
            </w:tcBorders>
            <w:vAlign w:val="center"/>
          </w:tcPr>
          <w:p w14:paraId="192F9532">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45" w:type="dxa"/>
            <w:tcBorders>
              <w:top w:val="single" w:color="auto" w:sz="4" w:space="0"/>
              <w:left w:val="single" w:color="auto" w:sz="4" w:space="0"/>
              <w:bottom w:val="single" w:color="auto" w:sz="4" w:space="0"/>
              <w:right w:val="single" w:color="auto" w:sz="4" w:space="0"/>
            </w:tcBorders>
            <w:vAlign w:val="center"/>
          </w:tcPr>
          <w:p w14:paraId="63388090">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r>
      <w:tr w14:paraId="707D87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4" w:type="dxa"/>
            <w:tcBorders>
              <w:top w:val="single" w:color="auto" w:sz="4" w:space="0"/>
              <w:left w:val="single" w:color="auto" w:sz="4" w:space="0"/>
              <w:bottom w:val="single" w:color="auto" w:sz="4" w:space="0"/>
              <w:right w:val="single" w:color="auto" w:sz="4" w:space="0"/>
            </w:tcBorders>
            <w:vAlign w:val="center"/>
          </w:tcPr>
          <w:p w14:paraId="77A41AB0">
            <w:pPr>
              <w:spacing w:line="420" w:lineRule="exact"/>
              <w:jc w:val="center"/>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8</w:t>
            </w:r>
          </w:p>
        </w:tc>
        <w:tc>
          <w:tcPr>
            <w:tcW w:w="714" w:type="dxa"/>
            <w:tcBorders>
              <w:top w:val="single" w:color="auto" w:sz="4" w:space="0"/>
              <w:left w:val="single" w:color="auto" w:sz="4" w:space="0"/>
              <w:bottom w:val="single" w:color="auto" w:sz="4" w:space="0"/>
              <w:right w:val="single" w:color="auto" w:sz="4" w:space="0"/>
            </w:tcBorders>
            <w:shd w:val="clear" w:color="auto" w:fill="auto"/>
            <w:vAlign w:val="center"/>
          </w:tcPr>
          <w:p w14:paraId="01230263">
            <w:pPr>
              <w:spacing w:line="360" w:lineRule="auto"/>
              <w:jc w:val="left"/>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sz w:val="24"/>
                <w:szCs w:val="24"/>
                <w:highlight w:val="none"/>
              </w:rPr>
              <w:t>保险费</w:t>
            </w:r>
            <w:r>
              <w:rPr>
                <w:rFonts w:hint="eastAsia" w:ascii="宋体" w:hAnsi="宋体" w:eastAsia="宋体" w:cs="宋体"/>
                <w:b/>
                <w:bCs w:val="0"/>
                <w:color w:val="auto"/>
                <w:sz w:val="24"/>
                <w:szCs w:val="24"/>
                <w:highlight w:val="none"/>
                <w:lang w:val="en-US" w:eastAsia="zh-CN"/>
              </w:rPr>
              <w:t>总额</w:t>
            </w:r>
          </w:p>
        </w:tc>
        <w:tc>
          <w:tcPr>
            <w:tcW w:w="5199" w:type="dxa"/>
            <w:tcBorders>
              <w:top w:val="single" w:color="auto" w:sz="4" w:space="0"/>
              <w:left w:val="single" w:color="auto" w:sz="4" w:space="0"/>
              <w:bottom w:val="single" w:color="auto" w:sz="4" w:space="0"/>
              <w:right w:val="single" w:color="auto" w:sz="4" w:space="0"/>
            </w:tcBorders>
            <w:shd w:val="clear" w:color="auto" w:fill="auto"/>
            <w:vAlign w:val="center"/>
          </w:tcPr>
          <w:p w14:paraId="3507DD65">
            <w:pPr>
              <w:spacing w:line="360" w:lineRule="auto"/>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保险费</w:t>
            </w:r>
            <w:r>
              <w:rPr>
                <w:rFonts w:hint="eastAsia" w:ascii="宋体" w:hAnsi="宋体" w:eastAsia="宋体" w:cs="宋体"/>
                <w:color w:val="auto"/>
                <w:kern w:val="0"/>
                <w:sz w:val="24"/>
                <w:szCs w:val="24"/>
                <w:highlight w:val="none"/>
                <w:lang w:val="en-US" w:eastAsia="zh-CN"/>
              </w:rPr>
              <w:t>总额</w:t>
            </w:r>
            <w:r>
              <w:rPr>
                <w:rFonts w:hint="eastAsia" w:ascii="宋体" w:hAnsi="宋体" w:eastAsia="宋体" w:cs="宋体"/>
                <w:color w:val="auto"/>
                <w:kern w:val="0"/>
                <w:sz w:val="24"/>
                <w:szCs w:val="24"/>
                <w:highlight w:val="none"/>
              </w:rPr>
              <w:t xml:space="preserve"> = 保险费</w:t>
            </w:r>
            <w:r>
              <w:rPr>
                <w:rFonts w:hint="eastAsia" w:ascii="宋体" w:hAnsi="宋体" w:eastAsia="宋体" w:cs="宋体"/>
                <w:color w:val="auto"/>
                <w:kern w:val="0"/>
                <w:sz w:val="24"/>
                <w:szCs w:val="24"/>
                <w:highlight w:val="none"/>
                <w:lang w:val="en-US" w:eastAsia="zh-CN"/>
              </w:rPr>
              <w:t>成交单价</w:t>
            </w:r>
            <w:r>
              <w:rPr>
                <w:rFonts w:hint="eastAsia" w:ascii="宋体" w:hAnsi="宋体" w:eastAsia="宋体" w:cs="宋体"/>
                <w:color w:val="auto"/>
                <w:kern w:val="0"/>
                <w:sz w:val="24"/>
                <w:szCs w:val="24"/>
                <w:highlight w:val="none"/>
              </w:rPr>
              <w:t xml:space="preserve"> * 投保学生人数</w:t>
            </w:r>
          </w:p>
        </w:tc>
        <w:tc>
          <w:tcPr>
            <w:tcW w:w="451" w:type="dxa"/>
            <w:tcBorders>
              <w:top w:val="single" w:color="auto" w:sz="4" w:space="0"/>
              <w:left w:val="single" w:color="auto" w:sz="4" w:space="0"/>
              <w:bottom w:val="single" w:color="auto" w:sz="4" w:space="0"/>
              <w:right w:val="single" w:color="auto" w:sz="4" w:space="0"/>
            </w:tcBorders>
            <w:vAlign w:val="center"/>
          </w:tcPr>
          <w:p w14:paraId="066970E2">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13" w:type="dxa"/>
            <w:tcBorders>
              <w:top w:val="single" w:color="auto" w:sz="4" w:space="0"/>
              <w:left w:val="single" w:color="auto" w:sz="4" w:space="0"/>
              <w:bottom w:val="single" w:color="auto" w:sz="4" w:space="0"/>
              <w:right w:val="single" w:color="auto" w:sz="4" w:space="0"/>
            </w:tcBorders>
            <w:vAlign w:val="center"/>
          </w:tcPr>
          <w:p w14:paraId="774238ED">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694" w:type="dxa"/>
            <w:tcBorders>
              <w:top w:val="single" w:color="auto" w:sz="4" w:space="0"/>
              <w:left w:val="single" w:color="auto" w:sz="4" w:space="0"/>
              <w:bottom w:val="single" w:color="auto" w:sz="4" w:space="0"/>
              <w:right w:val="single" w:color="auto" w:sz="4" w:space="0"/>
            </w:tcBorders>
            <w:vAlign w:val="center"/>
          </w:tcPr>
          <w:p w14:paraId="311520D2">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854" w:type="dxa"/>
            <w:tcBorders>
              <w:top w:val="single" w:color="auto" w:sz="4" w:space="0"/>
              <w:left w:val="single" w:color="auto" w:sz="4" w:space="0"/>
              <w:bottom w:val="single" w:color="auto" w:sz="4" w:space="0"/>
              <w:right w:val="single" w:color="auto" w:sz="4" w:space="0"/>
            </w:tcBorders>
            <w:vAlign w:val="center"/>
          </w:tcPr>
          <w:p w14:paraId="0F8D5ABB">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45" w:type="dxa"/>
            <w:tcBorders>
              <w:top w:val="single" w:color="auto" w:sz="4" w:space="0"/>
              <w:left w:val="single" w:color="auto" w:sz="4" w:space="0"/>
              <w:bottom w:val="single" w:color="auto" w:sz="4" w:space="0"/>
              <w:right w:val="single" w:color="auto" w:sz="4" w:space="0"/>
            </w:tcBorders>
            <w:vAlign w:val="center"/>
          </w:tcPr>
          <w:p w14:paraId="4AD7F8DE">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r>
      <w:tr w14:paraId="673ADA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4" w:type="dxa"/>
            <w:tcBorders>
              <w:top w:val="single" w:color="auto" w:sz="4" w:space="0"/>
              <w:left w:val="single" w:color="auto" w:sz="4" w:space="0"/>
              <w:bottom w:val="single" w:color="auto" w:sz="4" w:space="0"/>
              <w:right w:val="single" w:color="auto" w:sz="4" w:space="0"/>
            </w:tcBorders>
            <w:vAlign w:val="center"/>
          </w:tcPr>
          <w:p w14:paraId="3D69CC25">
            <w:pPr>
              <w:spacing w:line="420" w:lineRule="exact"/>
              <w:jc w:val="center"/>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9</w:t>
            </w:r>
          </w:p>
        </w:tc>
        <w:tc>
          <w:tcPr>
            <w:tcW w:w="714" w:type="dxa"/>
            <w:tcBorders>
              <w:top w:val="single" w:color="auto" w:sz="4" w:space="0"/>
              <w:left w:val="single" w:color="auto" w:sz="4" w:space="0"/>
              <w:bottom w:val="single" w:color="auto" w:sz="4" w:space="0"/>
              <w:right w:val="single" w:color="auto" w:sz="4" w:space="0"/>
            </w:tcBorders>
            <w:shd w:val="clear" w:color="auto" w:fill="auto"/>
            <w:vAlign w:val="center"/>
          </w:tcPr>
          <w:p w14:paraId="2BA21E6F">
            <w:pPr>
              <w:spacing w:line="360" w:lineRule="auto"/>
              <w:jc w:val="left"/>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sz w:val="24"/>
                <w:szCs w:val="24"/>
                <w:highlight w:val="none"/>
              </w:rPr>
              <w:t>保费支付</w:t>
            </w:r>
          </w:p>
        </w:tc>
        <w:tc>
          <w:tcPr>
            <w:tcW w:w="5199" w:type="dxa"/>
            <w:tcBorders>
              <w:top w:val="single" w:color="auto" w:sz="4" w:space="0"/>
              <w:left w:val="single" w:color="auto" w:sz="4" w:space="0"/>
              <w:bottom w:val="single" w:color="auto" w:sz="4" w:space="0"/>
              <w:right w:val="single" w:color="auto" w:sz="4" w:space="0"/>
            </w:tcBorders>
            <w:shd w:val="clear" w:color="auto" w:fill="auto"/>
            <w:vAlign w:val="center"/>
          </w:tcPr>
          <w:p w14:paraId="1CDD8F3B">
            <w:pPr>
              <w:pStyle w:val="336"/>
              <w:ind w:left="0" w:leftChars="0" w:firstLine="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见费出单</w:t>
            </w:r>
          </w:p>
        </w:tc>
        <w:tc>
          <w:tcPr>
            <w:tcW w:w="451" w:type="dxa"/>
            <w:tcBorders>
              <w:top w:val="single" w:color="auto" w:sz="4" w:space="0"/>
              <w:left w:val="single" w:color="auto" w:sz="4" w:space="0"/>
              <w:bottom w:val="single" w:color="auto" w:sz="4" w:space="0"/>
              <w:right w:val="single" w:color="auto" w:sz="4" w:space="0"/>
            </w:tcBorders>
            <w:vAlign w:val="center"/>
          </w:tcPr>
          <w:p w14:paraId="69D5083C">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13" w:type="dxa"/>
            <w:tcBorders>
              <w:top w:val="single" w:color="auto" w:sz="4" w:space="0"/>
              <w:left w:val="single" w:color="auto" w:sz="4" w:space="0"/>
              <w:bottom w:val="single" w:color="auto" w:sz="4" w:space="0"/>
              <w:right w:val="single" w:color="auto" w:sz="4" w:space="0"/>
            </w:tcBorders>
            <w:vAlign w:val="center"/>
          </w:tcPr>
          <w:p w14:paraId="796C4C85">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694" w:type="dxa"/>
            <w:tcBorders>
              <w:top w:val="single" w:color="auto" w:sz="4" w:space="0"/>
              <w:left w:val="single" w:color="auto" w:sz="4" w:space="0"/>
              <w:bottom w:val="single" w:color="auto" w:sz="4" w:space="0"/>
              <w:right w:val="single" w:color="auto" w:sz="4" w:space="0"/>
            </w:tcBorders>
            <w:vAlign w:val="center"/>
          </w:tcPr>
          <w:p w14:paraId="4AA31E2C">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854" w:type="dxa"/>
            <w:tcBorders>
              <w:top w:val="single" w:color="auto" w:sz="4" w:space="0"/>
              <w:left w:val="single" w:color="auto" w:sz="4" w:space="0"/>
              <w:bottom w:val="single" w:color="auto" w:sz="4" w:space="0"/>
              <w:right w:val="single" w:color="auto" w:sz="4" w:space="0"/>
            </w:tcBorders>
            <w:vAlign w:val="center"/>
          </w:tcPr>
          <w:p w14:paraId="2F012483">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45" w:type="dxa"/>
            <w:tcBorders>
              <w:top w:val="single" w:color="auto" w:sz="4" w:space="0"/>
              <w:left w:val="single" w:color="auto" w:sz="4" w:space="0"/>
              <w:bottom w:val="single" w:color="auto" w:sz="4" w:space="0"/>
              <w:right w:val="single" w:color="auto" w:sz="4" w:space="0"/>
            </w:tcBorders>
            <w:vAlign w:val="center"/>
          </w:tcPr>
          <w:p w14:paraId="752D9DE9">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r>
      <w:tr w14:paraId="588A75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4" w:type="dxa"/>
            <w:tcBorders>
              <w:top w:val="single" w:color="auto" w:sz="4" w:space="0"/>
              <w:left w:val="single" w:color="auto" w:sz="4" w:space="0"/>
              <w:bottom w:val="single" w:color="auto" w:sz="4" w:space="0"/>
              <w:right w:val="single" w:color="auto" w:sz="4" w:space="0"/>
            </w:tcBorders>
            <w:vAlign w:val="center"/>
          </w:tcPr>
          <w:p w14:paraId="25A19C72">
            <w:pPr>
              <w:spacing w:line="420" w:lineRule="exact"/>
              <w:jc w:val="center"/>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10</w:t>
            </w:r>
          </w:p>
        </w:tc>
        <w:tc>
          <w:tcPr>
            <w:tcW w:w="714" w:type="dxa"/>
            <w:tcBorders>
              <w:top w:val="single" w:color="auto" w:sz="4" w:space="0"/>
              <w:left w:val="single" w:color="auto" w:sz="4" w:space="0"/>
              <w:bottom w:val="single" w:color="auto" w:sz="4" w:space="0"/>
              <w:right w:val="single" w:color="auto" w:sz="4" w:space="0"/>
            </w:tcBorders>
            <w:shd w:val="clear" w:color="auto" w:fill="auto"/>
            <w:vAlign w:val="center"/>
          </w:tcPr>
          <w:p w14:paraId="041693DE">
            <w:pPr>
              <w:spacing w:line="360" w:lineRule="auto"/>
              <w:jc w:val="left"/>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sz w:val="24"/>
                <w:szCs w:val="24"/>
                <w:highlight w:val="none"/>
              </w:rPr>
              <w:t>特别约定</w:t>
            </w:r>
          </w:p>
        </w:tc>
        <w:tc>
          <w:tcPr>
            <w:tcW w:w="5199" w:type="dxa"/>
            <w:tcBorders>
              <w:top w:val="single" w:color="auto" w:sz="4" w:space="0"/>
              <w:left w:val="single" w:color="auto" w:sz="4" w:space="0"/>
              <w:bottom w:val="single" w:color="auto" w:sz="4" w:space="0"/>
              <w:right w:val="single" w:color="auto" w:sz="4" w:space="0"/>
            </w:tcBorders>
            <w:shd w:val="clear" w:color="auto" w:fill="auto"/>
            <w:vAlign w:val="center"/>
          </w:tcPr>
          <w:p w14:paraId="276DAD4E">
            <w:pPr>
              <w:spacing w:line="360" w:lineRule="auto"/>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1.扩展条款的效力高于基本险条款。</w:t>
            </w:r>
          </w:p>
          <w:p w14:paraId="0B2A9E77">
            <w:pPr>
              <w:spacing w:line="360" w:lineRule="auto"/>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2.本保单校方责任险的保险责任地址范围为</w:t>
            </w:r>
            <w:r>
              <w:rPr>
                <w:rFonts w:hint="eastAsia" w:ascii="宋体" w:hAnsi="宋体" w:eastAsia="宋体" w:cs="宋体"/>
                <w:color w:val="auto"/>
                <w:kern w:val="0"/>
                <w:sz w:val="24"/>
                <w:szCs w:val="24"/>
                <w:highlight w:val="none"/>
              </w:rPr>
              <w:t>学生在</w:t>
            </w:r>
            <w:r>
              <w:rPr>
                <w:rFonts w:hint="eastAsia" w:ascii="宋体" w:hAnsi="宋体" w:eastAsia="宋体" w:cs="宋体"/>
                <w:color w:val="auto"/>
                <w:kern w:val="0"/>
                <w:sz w:val="24"/>
                <w:szCs w:val="24"/>
                <w:highlight w:val="none"/>
                <w:lang w:val="en-US" w:eastAsia="zh-CN"/>
              </w:rPr>
              <w:t>被保险人学校</w:t>
            </w:r>
            <w:r>
              <w:rPr>
                <w:rFonts w:hint="eastAsia" w:ascii="宋体" w:hAnsi="宋体" w:eastAsia="宋体" w:cs="宋体"/>
                <w:color w:val="auto"/>
                <w:kern w:val="0"/>
                <w:sz w:val="24"/>
                <w:szCs w:val="24"/>
                <w:highlight w:val="none"/>
                <w:lang w:eastAsia="zh-CN"/>
              </w:rPr>
              <w:t>周边</w:t>
            </w:r>
            <w:r>
              <w:rPr>
                <w:rFonts w:hint="eastAsia" w:ascii="宋体" w:hAnsi="宋体" w:eastAsia="宋体" w:cs="宋体"/>
                <w:color w:val="auto"/>
                <w:kern w:val="0"/>
                <w:sz w:val="24"/>
                <w:szCs w:val="24"/>
                <w:highlight w:val="none"/>
                <w:lang w:val="en-US" w:eastAsia="zh-CN"/>
              </w:rPr>
              <w:t>200米范围内发生意外事故或遭受暴力伤害的。</w:t>
            </w:r>
          </w:p>
          <w:p w14:paraId="7C2C1913">
            <w:pPr>
              <w:spacing w:line="360" w:lineRule="auto"/>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经学生监护人签字同意在被保险人的校舍以外租房住宿的学生，一旦发生保险责任范围内的保险事故，造成赔偿纠纷的影响到校方的正常教学，需经过山东大学、承保公司协商沟通，在保险责任保额的10%的范围内给予通融赔付。</w:t>
            </w:r>
          </w:p>
          <w:p w14:paraId="2BAC7D6B">
            <w:pPr>
              <w:spacing w:line="360" w:lineRule="auto"/>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4.在校学生参加修学分金工实习期间发生保险事故，有带队教师全程陪同的情况下，属于保险责任。</w:t>
            </w:r>
          </w:p>
          <w:p w14:paraId="637DB8F2">
            <w:pPr>
              <w:spacing w:line="360" w:lineRule="auto"/>
              <w:jc w:val="left"/>
              <w:outlineLvl w:val="9"/>
              <w:rPr>
                <w:rFonts w:hint="eastAsia" w:ascii="宋体" w:hAnsi="宋体" w:eastAsia="宋体" w:cs="宋体"/>
                <w:kern w:val="2"/>
                <w:sz w:val="24"/>
                <w:szCs w:val="24"/>
                <w:lang w:val="en-US" w:eastAsia="zh-CN" w:bidi="ar-SA"/>
              </w:rPr>
            </w:pPr>
            <w:r>
              <w:rPr>
                <w:rFonts w:hint="eastAsia" w:ascii="宋体" w:hAnsi="宋体" w:eastAsia="宋体" w:cs="宋体"/>
                <w:bCs w:val="0"/>
                <w:color w:val="auto"/>
                <w:kern w:val="0"/>
                <w:sz w:val="24"/>
                <w:szCs w:val="24"/>
                <w:highlight w:val="none"/>
                <w:lang w:val="en-US" w:eastAsia="zh-CN" w:bidi="ar-SA"/>
              </w:rPr>
              <w:t>5.本保单承保的在册学生，可能因为学校教育教学安排，会在山东大学济南校区、青岛校区、威海校区三大校区之间交流活动。出险时本保单不因出险地而拒赔，只要在承保名单内且属于保险责任的，保单负责赔偿。</w:t>
            </w:r>
          </w:p>
        </w:tc>
        <w:tc>
          <w:tcPr>
            <w:tcW w:w="451" w:type="dxa"/>
            <w:tcBorders>
              <w:top w:val="single" w:color="auto" w:sz="4" w:space="0"/>
              <w:left w:val="single" w:color="auto" w:sz="4" w:space="0"/>
              <w:bottom w:val="single" w:color="auto" w:sz="4" w:space="0"/>
              <w:right w:val="single" w:color="auto" w:sz="4" w:space="0"/>
            </w:tcBorders>
            <w:vAlign w:val="center"/>
          </w:tcPr>
          <w:p w14:paraId="59DF8518">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13" w:type="dxa"/>
            <w:tcBorders>
              <w:top w:val="single" w:color="auto" w:sz="4" w:space="0"/>
              <w:left w:val="single" w:color="auto" w:sz="4" w:space="0"/>
              <w:bottom w:val="single" w:color="auto" w:sz="4" w:space="0"/>
              <w:right w:val="single" w:color="auto" w:sz="4" w:space="0"/>
            </w:tcBorders>
            <w:vAlign w:val="center"/>
          </w:tcPr>
          <w:p w14:paraId="3B76B443">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694" w:type="dxa"/>
            <w:tcBorders>
              <w:top w:val="single" w:color="auto" w:sz="4" w:space="0"/>
              <w:left w:val="single" w:color="auto" w:sz="4" w:space="0"/>
              <w:bottom w:val="single" w:color="auto" w:sz="4" w:space="0"/>
              <w:right w:val="single" w:color="auto" w:sz="4" w:space="0"/>
            </w:tcBorders>
            <w:vAlign w:val="center"/>
          </w:tcPr>
          <w:p w14:paraId="27F8895E">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854" w:type="dxa"/>
            <w:tcBorders>
              <w:top w:val="single" w:color="auto" w:sz="4" w:space="0"/>
              <w:left w:val="single" w:color="auto" w:sz="4" w:space="0"/>
              <w:bottom w:val="single" w:color="auto" w:sz="4" w:space="0"/>
              <w:right w:val="single" w:color="auto" w:sz="4" w:space="0"/>
            </w:tcBorders>
            <w:vAlign w:val="center"/>
          </w:tcPr>
          <w:p w14:paraId="3BF34509">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45" w:type="dxa"/>
            <w:tcBorders>
              <w:top w:val="single" w:color="auto" w:sz="4" w:space="0"/>
              <w:left w:val="single" w:color="auto" w:sz="4" w:space="0"/>
              <w:bottom w:val="single" w:color="auto" w:sz="4" w:space="0"/>
              <w:right w:val="single" w:color="auto" w:sz="4" w:space="0"/>
            </w:tcBorders>
            <w:vAlign w:val="center"/>
          </w:tcPr>
          <w:p w14:paraId="7A3ADAE5">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r>
      <w:tr w14:paraId="5EABA0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4" w:type="dxa"/>
            <w:tcBorders>
              <w:top w:val="single" w:color="auto" w:sz="4" w:space="0"/>
              <w:left w:val="single" w:color="auto" w:sz="4" w:space="0"/>
              <w:bottom w:val="single" w:color="auto" w:sz="4" w:space="0"/>
              <w:right w:val="single" w:color="auto" w:sz="4" w:space="0"/>
            </w:tcBorders>
            <w:vAlign w:val="center"/>
          </w:tcPr>
          <w:p w14:paraId="4EBF319F">
            <w:pPr>
              <w:spacing w:line="420" w:lineRule="exact"/>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w:t>
            </w:r>
          </w:p>
        </w:tc>
        <w:tc>
          <w:tcPr>
            <w:tcW w:w="714" w:type="dxa"/>
            <w:tcBorders>
              <w:top w:val="single" w:color="auto" w:sz="4" w:space="0"/>
              <w:left w:val="single" w:color="auto" w:sz="4" w:space="0"/>
              <w:bottom w:val="single" w:color="auto" w:sz="4" w:space="0"/>
              <w:right w:val="single" w:color="auto" w:sz="4" w:space="0"/>
            </w:tcBorders>
            <w:vAlign w:val="center"/>
          </w:tcPr>
          <w:p w14:paraId="17DF6F84">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199" w:type="dxa"/>
            <w:tcBorders>
              <w:top w:val="single" w:color="auto" w:sz="4" w:space="0"/>
              <w:left w:val="single" w:color="auto" w:sz="4" w:space="0"/>
              <w:bottom w:val="single" w:color="auto" w:sz="4" w:space="0"/>
              <w:right w:val="single" w:color="auto" w:sz="4" w:space="0"/>
            </w:tcBorders>
            <w:vAlign w:val="center"/>
          </w:tcPr>
          <w:p w14:paraId="71C5CAC1">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451" w:type="dxa"/>
            <w:tcBorders>
              <w:top w:val="single" w:color="auto" w:sz="4" w:space="0"/>
              <w:left w:val="single" w:color="auto" w:sz="4" w:space="0"/>
              <w:bottom w:val="single" w:color="auto" w:sz="4" w:space="0"/>
              <w:right w:val="single" w:color="auto" w:sz="4" w:space="0"/>
            </w:tcBorders>
            <w:vAlign w:val="center"/>
          </w:tcPr>
          <w:p w14:paraId="4C0049F8">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13" w:type="dxa"/>
            <w:tcBorders>
              <w:top w:val="single" w:color="auto" w:sz="4" w:space="0"/>
              <w:left w:val="single" w:color="auto" w:sz="4" w:space="0"/>
              <w:bottom w:val="single" w:color="auto" w:sz="4" w:space="0"/>
              <w:right w:val="single" w:color="auto" w:sz="4" w:space="0"/>
            </w:tcBorders>
            <w:vAlign w:val="center"/>
          </w:tcPr>
          <w:p w14:paraId="422292AC">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694" w:type="dxa"/>
            <w:tcBorders>
              <w:top w:val="single" w:color="auto" w:sz="4" w:space="0"/>
              <w:left w:val="single" w:color="auto" w:sz="4" w:space="0"/>
              <w:bottom w:val="single" w:color="auto" w:sz="4" w:space="0"/>
              <w:right w:val="single" w:color="auto" w:sz="4" w:space="0"/>
            </w:tcBorders>
            <w:vAlign w:val="center"/>
          </w:tcPr>
          <w:p w14:paraId="4361B9AF">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854" w:type="dxa"/>
            <w:tcBorders>
              <w:top w:val="single" w:color="auto" w:sz="4" w:space="0"/>
              <w:left w:val="single" w:color="auto" w:sz="4" w:space="0"/>
              <w:bottom w:val="single" w:color="auto" w:sz="4" w:space="0"/>
              <w:right w:val="single" w:color="auto" w:sz="4" w:space="0"/>
            </w:tcBorders>
            <w:vAlign w:val="center"/>
          </w:tcPr>
          <w:p w14:paraId="171D4951">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c>
          <w:tcPr>
            <w:tcW w:w="545" w:type="dxa"/>
            <w:tcBorders>
              <w:top w:val="single" w:color="auto" w:sz="4" w:space="0"/>
              <w:left w:val="single" w:color="auto" w:sz="4" w:space="0"/>
              <w:bottom w:val="single" w:color="auto" w:sz="4" w:space="0"/>
              <w:right w:val="single" w:color="auto" w:sz="4" w:space="0"/>
            </w:tcBorders>
            <w:vAlign w:val="center"/>
          </w:tcPr>
          <w:p w14:paraId="59925AA0">
            <w:pPr>
              <w:spacing w:line="420" w:lineRule="exact"/>
              <w:jc w:val="center"/>
              <w:rPr>
                <w:rFonts w:ascii="宋体" w:hAnsi="宋体" w:eastAsia="宋体" w:cs="宋体"/>
                <w:b/>
                <w:bCs/>
                <w:color w:val="000000" w:themeColor="text1"/>
                <w:sz w:val="24"/>
                <w:highlight w:val="none"/>
                <w14:textFill>
                  <w14:solidFill>
                    <w14:schemeClr w14:val="tx1"/>
                  </w14:solidFill>
                </w14:textFill>
              </w:rPr>
            </w:pPr>
          </w:p>
        </w:tc>
      </w:tr>
    </w:tbl>
    <w:p w14:paraId="7944381A">
      <w:pPr>
        <w:spacing w:line="420" w:lineRule="exact"/>
        <w:ind w:right="187"/>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注:1.此表必须按要求填写，如缺此表按无效投标处理。</w:t>
      </w:r>
    </w:p>
    <w:p w14:paraId="4B7CFA17">
      <w:pPr>
        <w:spacing w:line="420" w:lineRule="exact"/>
        <w:ind w:left="361" w:right="187"/>
        <w:rPr>
          <w:rFonts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2.供应商承诺（盖章）：此表</w:t>
      </w:r>
      <w:r>
        <w:rPr>
          <w:rFonts w:hint="eastAsia" w:ascii="宋体" w:hAnsi="宋体" w:eastAsia="宋体" w:cs="宋体"/>
          <w:b/>
          <w:bCs/>
          <w:color w:val="000000" w:themeColor="text1"/>
          <w:kern w:val="0"/>
          <w:sz w:val="24"/>
          <w:highlight w:val="none"/>
          <w14:textFill>
            <w14:solidFill>
              <w14:schemeClr w14:val="tx1"/>
            </w14:solidFill>
          </w14:textFill>
        </w:rPr>
        <w:t>与电子投标文件一致。</w:t>
      </w:r>
    </w:p>
    <w:p w14:paraId="14931C53">
      <w:pPr>
        <w:spacing w:line="420" w:lineRule="exact"/>
        <w:ind w:right="187"/>
        <w:rPr>
          <w:rFonts w:ascii="宋体" w:hAnsi="宋体" w:eastAsia="宋体" w:cs="宋体"/>
          <w:bCs/>
          <w:color w:val="000000" w:themeColor="text1"/>
          <w:sz w:val="24"/>
          <w:highlight w:val="none"/>
          <w14:textFill>
            <w14:solidFill>
              <w14:schemeClr w14:val="tx1"/>
            </w14:solidFill>
          </w14:textFill>
        </w:rPr>
      </w:pPr>
    </w:p>
    <w:p w14:paraId="6AB25911">
      <w:pPr>
        <w:spacing w:line="420" w:lineRule="exact"/>
        <w:ind w:right="187"/>
        <w:rPr>
          <w:rFonts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供应商名称（公章）：</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570FD4DD">
      <w:pPr>
        <w:spacing w:line="420" w:lineRule="exact"/>
        <w:ind w:right="187"/>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法定代表人或授权代理人签字（或盖章）：</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w:t>
      </w:r>
    </w:p>
    <w:p w14:paraId="15660D83">
      <w:pPr>
        <w:spacing w:line="420" w:lineRule="exact"/>
        <w:ind w:firstLine="630" w:firstLineChars="30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年   月   日</w:t>
      </w:r>
    </w:p>
    <w:p w14:paraId="07210B4C">
      <w:pPr>
        <w:spacing w:line="300" w:lineRule="exact"/>
        <w:ind w:right="187"/>
        <w:jc w:val="right"/>
        <w:rPr>
          <w:rFonts w:ascii="宋体" w:hAnsi="宋体" w:eastAsia="宋体" w:cs="宋体"/>
          <w:bCs/>
          <w:color w:val="000000" w:themeColor="text1"/>
          <w:sz w:val="24"/>
          <w:highlight w:val="none"/>
          <w14:textFill>
            <w14:solidFill>
              <w14:schemeClr w14:val="tx1"/>
            </w14:solidFill>
          </w14:textFill>
        </w:rPr>
      </w:pPr>
    </w:p>
    <w:p w14:paraId="4DE7CC62">
      <w:pPr>
        <w:spacing w:before="120" w:after="120" w:line="360" w:lineRule="exact"/>
        <w:jc w:val="right"/>
        <w:rPr>
          <w:rFonts w:ascii="宋体" w:hAnsi="宋体" w:eastAsia="宋体" w:cs="宋体"/>
          <w:color w:val="000000" w:themeColor="text1"/>
          <w:sz w:val="24"/>
          <w:highlight w:val="none"/>
          <w14:textFill>
            <w14:solidFill>
              <w14:schemeClr w14:val="tx1"/>
            </w14:solidFill>
          </w14:textFill>
        </w:rPr>
        <w:sectPr>
          <w:headerReference r:id="rId9" w:type="default"/>
          <w:footerReference r:id="rId10" w:type="default"/>
          <w:pgSz w:w="11905" w:h="16838"/>
          <w:pgMar w:top="1418" w:right="1418" w:bottom="1418" w:left="1418" w:header="851" w:footer="822" w:gutter="0"/>
          <w:pgNumType w:fmt="decimal"/>
          <w:cols w:space="720" w:num="1"/>
          <w:docGrid w:linePitch="290" w:charSpace="0"/>
        </w:sectPr>
      </w:pPr>
    </w:p>
    <w:p w14:paraId="39ACD745">
      <w:pPr>
        <w:spacing w:line="480" w:lineRule="exact"/>
        <w:outlineLvl w:val="1"/>
        <w:rPr>
          <w:rFonts w:ascii="宋体" w:hAnsi="宋体" w:eastAsia="宋体" w:cs="宋体"/>
          <w:b/>
          <w:color w:val="000000" w:themeColor="text1"/>
          <w:sz w:val="28"/>
          <w:szCs w:val="28"/>
          <w:highlight w:val="none"/>
          <w14:textFill>
            <w14:solidFill>
              <w14:schemeClr w14:val="tx1"/>
            </w14:solidFill>
          </w14:textFill>
        </w:rPr>
      </w:pPr>
      <w:bookmarkStart w:id="129" w:name="_Toc525121065"/>
      <w:bookmarkEnd w:id="129"/>
      <w:bookmarkStart w:id="130" w:name="_Toc6078"/>
      <w:r>
        <w:rPr>
          <w:rFonts w:hint="eastAsia" w:ascii="宋体" w:hAnsi="宋体" w:eastAsia="宋体" w:cs="宋体"/>
          <w:b/>
          <w:color w:val="000000" w:themeColor="text1"/>
          <w:sz w:val="28"/>
          <w:szCs w:val="28"/>
          <w:highlight w:val="none"/>
          <w14:textFill>
            <w14:solidFill>
              <w14:schemeClr w14:val="tx1"/>
            </w14:solidFill>
          </w14:textFill>
        </w:rPr>
        <w:t>附件六：业绩一览表</w:t>
      </w:r>
      <w:bookmarkEnd w:id="130"/>
    </w:p>
    <w:p w14:paraId="36CB326E">
      <w:pPr>
        <w:rPr>
          <w:rFonts w:ascii="宋体" w:hAnsi="宋体" w:eastAsia="宋体" w:cs="宋体"/>
          <w:color w:val="000000" w:themeColor="text1"/>
          <w:sz w:val="24"/>
          <w:highlight w:val="none"/>
          <w14:textFill>
            <w14:solidFill>
              <w14:schemeClr w14:val="tx1"/>
            </w14:solidFill>
          </w14:textFill>
        </w:rPr>
      </w:pPr>
    </w:p>
    <w:p w14:paraId="2C5A80ED">
      <w:pPr>
        <w:spacing w:line="460" w:lineRule="exact"/>
        <w:jc w:val="center"/>
        <w:rPr>
          <w:rFonts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业绩一览表</w:t>
      </w:r>
    </w:p>
    <w:p w14:paraId="2710CB35">
      <w:pPr>
        <w:pStyle w:val="30"/>
        <w:spacing w:after="0" w:line="460" w:lineRule="exact"/>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（2022年</w:t>
      </w:r>
      <w:r>
        <w:rPr>
          <w:rFonts w:hint="eastAsia" w:ascii="宋体" w:hAnsi="宋体" w:eastAsia="宋体" w:cs="宋体"/>
          <w:b/>
          <w:color w:val="000000" w:themeColor="text1"/>
          <w:sz w:val="24"/>
          <w:highlight w:val="none"/>
          <w:lang w:val="en-US" w:eastAsia="zh-CN"/>
          <w14:textFill>
            <w14:solidFill>
              <w14:schemeClr w14:val="tx1"/>
            </w14:solidFill>
          </w14:textFill>
        </w:rPr>
        <w:t>0</w:t>
      </w:r>
      <w:r>
        <w:rPr>
          <w:rFonts w:hint="eastAsia" w:ascii="宋体" w:hAnsi="宋体" w:eastAsia="宋体" w:cs="宋体"/>
          <w:b/>
          <w:color w:val="000000" w:themeColor="text1"/>
          <w:sz w:val="24"/>
          <w:highlight w:val="none"/>
          <w14:textFill>
            <w14:solidFill>
              <w14:schemeClr w14:val="tx1"/>
            </w14:solidFill>
          </w14:textFill>
        </w:rPr>
        <w:t>5月</w:t>
      </w:r>
      <w:r>
        <w:rPr>
          <w:rFonts w:hint="eastAsia" w:ascii="宋体" w:hAnsi="宋体" w:eastAsia="宋体" w:cs="宋体"/>
          <w:b/>
          <w:color w:val="000000" w:themeColor="text1"/>
          <w:sz w:val="24"/>
          <w:highlight w:val="none"/>
          <w:lang w:val="en-US" w:eastAsia="zh-CN"/>
          <w14:textFill>
            <w14:solidFill>
              <w14:schemeClr w14:val="tx1"/>
            </w14:solidFill>
          </w14:textFill>
        </w:rPr>
        <w:t>0</w:t>
      </w:r>
      <w:r>
        <w:rPr>
          <w:rFonts w:hint="eastAsia" w:ascii="宋体" w:hAnsi="宋体" w:eastAsia="宋体" w:cs="宋体"/>
          <w:b/>
          <w:color w:val="000000" w:themeColor="text1"/>
          <w:sz w:val="24"/>
          <w:highlight w:val="none"/>
          <w14:textFill>
            <w14:solidFill>
              <w14:schemeClr w14:val="tx1"/>
            </w14:solidFill>
          </w14:textFill>
        </w:rPr>
        <w:t>1日至今）</w:t>
      </w:r>
    </w:p>
    <w:p w14:paraId="4A507231">
      <w:pPr>
        <w:spacing w:line="420" w:lineRule="exact"/>
        <w:ind w:right="187" w:firstLine="240" w:firstLineChars="1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项目编号：</w:t>
      </w:r>
      <w:r>
        <w:rPr>
          <w:rFonts w:hint="eastAsia" w:ascii="宋体" w:hAnsi="宋体" w:eastAsia="宋体" w:cs="宋体"/>
          <w:color w:val="000000" w:themeColor="text1"/>
          <w:sz w:val="24"/>
          <w:highlight w:val="none"/>
          <w:lang w:eastAsia="zh-CN"/>
          <w14:textFill>
            <w14:solidFill>
              <w14:schemeClr w14:val="tx1"/>
            </w14:solidFill>
          </w14:textFill>
        </w:rPr>
        <w:t>SDJDGD20250048-Q015</w:t>
      </w:r>
      <w:r>
        <w:rPr>
          <w:rFonts w:hint="eastAsia" w:ascii="宋体" w:hAnsi="宋体" w:eastAsia="宋体" w:cs="宋体"/>
          <w:color w:val="000000" w:themeColor="text1"/>
          <w:sz w:val="24"/>
          <w:highlight w:val="none"/>
          <w14:textFill>
            <w14:solidFill>
              <w14:schemeClr w14:val="tx1"/>
            </w14:solidFill>
          </w14:textFill>
        </w:rPr>
        <w:t xml:space="preserve">   </w:t>
      </w:r>
    </w:p>
    <w:p w14:paraId="0B3995A6">
      <w:pPr>
        <w:spacing w:line="420" w:lineRule="exact"/>
        <w:ind w:right="187" w:firstLine="240" w:firstLineChars="10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项目名称：</w:t>
      </w:r>
      <w:r>
        <w:rPr>
          <w:rFonts w:hint="eastAsia" w:ascii="宋体" w:hAnsi="宋体" w:eastAsia="宋体" w:cs="宋体"/>
          <w:color w:val="000000" w:themeColor="text1"/>
          <w:sz w:val="24"/>
          <w:highlight w:val="none"/>
          <w:lang w:eastAsia="zh-CN"/>
          <w14:textFill>
            <w14:solidFill>
              <w14:schemeClr w14:val="tx1"/>
            </w14:solidFill>
          </w14:textFill>
        </w:rPr>
        <w:t>山东大学本科生、研究生校方责任保险服务项目</w:t>
      </w:r>
      <w:r>
        <w:rPr>
          <w:rFonts w:hint="eastAsia" w:ascii="宋体" w:hAnsi="宋体" w:eastAsia="宋体" w:cs="宋体"/>
          <w:color w:val="000000" w:themeColor="text1"/>
          <w:sz w:val="24"/>
          <w:highlight w:val="none"/>
          <w14:textFill>
            <w14:solidFill>
              <w14:schemeClr w14:val="tx1"/>
            </w14:solidFill>
          </w14:textFill>
        </w:rPr>
        <w:t xml:space="preserve">   </w:t>
      </w:r>
    </w:p>
    <w:tbl>
      <w:tblPr>
        <w:tblStyle w:val="74"/>
        <w:tblW w:w="9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4"/>
        <w:gridCol w:w="1610"/>
        <w:gridCol w:w="2007"/>
        <w:gridCol w:w="1467"/>
        <w:gridCol w:w="1400"/>
        <w:gridCol w:w="1870"/>
      </w:tblGrid>
      <w:tr w14:paraId="2FF30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84" w:type="dxa"/>
            <w:vAlign w:val="center"/>
          </w:tcPr>
          <w:p w14:paraId="3B2EBE99">
            <w:pPr>
              <w:tabs>
                <w:tab w:val="left" w:pos="720"/>
                <w:tab w:val="left" w:pos="1440"/>
                <w:tab w:val="left" w:pos="1620"/>
              </w:tabs>
              <w:spacing w:line="420" w:lineRule="exact"/>
              <w:ind w:left="191" w:right="187"/>
              <w:jc w:val="center"/>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序号</w:t>
            </w:r>
          </w:p>
        </w:tc>
        <w:tc>
          <w:tcPr>
            <w:tcW w:w="1610" w:type="dxa"/>
            <w:vAlign w:val="center"/>
          </w:tcPr>
          <w:p w14:paraId="0B52BD64">
            <w:pPr>
              <w:tabs>
                <w:tab w:val="left" w:pos="720"/>
                <w:tab w:val="left" w:pos="1440"/>
                <w:tab w:val="left" w:pos="1620"/>
              </w:tabs>
              <w:spacing w:line="420" w:lineRule="exact"/>
              <w:ind w:right="187"/>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合同名称</w:t>
            </w:r>
          </w:p>
        </w:tc>
        <w:tc>
          <w:tcPr>
            <w:tcW w:w="2007" w:type="dxa"/>
            <w:vAlign w:val="center"/>
          </w:tcPr>
          <w:p w14:paraId="00385596">
            <w:pPr>
              <w:tabs>
                <w:tab w:val="left" w:pos="720"/>
                <w:tab w:val="left" w:pos="1440"/>
                <w:tab w:val="left" w:pos="1620"/>
              </w:tabs>
              <w:spacing w:line="420" w:lineRule="exact"/>
              <w:ind w:right="187"/>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合同签订时间</w:t>
            </w:r>
          </w:p>
        </w:tc>
        <w:tc>
          <w:tcPr>
            <w:tcW w:w="1467" w:type="dxa"/>
            <w:vAlign w:val="center"/>
          </w:tcPr>
          <w:p w14:paraId="0C380E13">
            <w:pPr>
              <w:tabs>
                <w:tab w:val="left" w:pos="720"/>
                <w:tab w:val="left" w:pos="1440"/>
                <w:tab w:val="left" w:pos="1620"/>
              </w:tabs>
              <w:spacing w:line="420" w:lineRule="exact"/>
              <w:ind w:left="191" w:right="187"/>
              <w:jc w:val="center"/>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采购人</w:t>
            </w:r>
          </w:p>
        </w:tc>
        <w:tc>
          <w:tcPr>
            <w:tcW w:w="1400" w:type="dxa"/>
            <w:vAlign w:val="center"/>
          </w:tcPr>
          <w:p w14:paraId="5D809351">
            <w:pPr>
              <w:tabs>
                <w:tab w:val="left" w:pos="720"/>
                <w:tab w:val="left" w:pos="1440"/>
                <w:tab w:val="left" w:pos="1620"/>
              </w:tabs>
              <w:spacing w:line="420" w:lineRule="exact"/>
              <w:ind w:left="191" w:right="187"/>
              <w:jc w:val="center"/>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联系人</w:t>
            </w:r>
          </w:p>
        </w:tc>
        <w:tc>
          <w:tcPr>
            <w:tcW w:w="1870" w:type="dxa"/>
            <w:vAlign w:val="center"/>
          </w:tcPr>
          <w:p w14:paraId="28A07D49">
            <w:pPr>
              <w:tabs>
                <w:tab w:val="left" w:pos="720"/>
                <w:tab w:val="left" w:pos="1440"/>
                <w:tab w:val="left" w:pos="1620"/>
              </w:tabs>
              <w:spacing w:line="420" w:lineRule="exact"/>
              <w:ind w:left="191" w:right="187"/>
              <w:jc w:val="center"/>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联系电话</w:t>
            </w:r>
          </w:p>
        </w:tc>
      </w:tr>
      <w:tr w14:paraId="21298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084" w:type="dxa"/>
            <w:vAlign w:val="center"/>
          </w:tcPr>
          <w:p w14:paraId="1A99C090">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610" w:type="dxa"/>
            <w:vAlign w:val="center"/>
          </w:tcPr>
          <w:p w14:paraId="177D02EC">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2007" w:type="dxa"/>
            <w:vAlign w:val="center"/>
          </w:tcPr>
          <w:p w14:paraId="31E5CA76">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67" w:type="dxa"/>
            <w:vAlign w:val="center"/>
          </w:tcPr>
          <w:p w14:paraId="5794E995">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00" w:type="dxa"/>
            <w:vAlign w:val="center"/>
          </w:tcPr>
          <w:p w14:paraId="06D1D55F">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870" w:type="dxa"/>
            <w:vAlign w:val="center"/>
          </w:tcPr>
          <w:p w14:paraId="3AF341A1">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r>
      <w:tr w14:paraId="15F72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084" w:type="dxa"/>
            <w:vAlign w:val="center"/>
          </w:tcPr>
          <w:p w14:paraId="510A20EF">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610" w:type="dxa"/>
            <w:vAlign w:val="center"/>
          </w:tcPr>
          <w:p w14:paraId="0C9E3EFA">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2007" w:type="dxa"/>
            <w:vAlign w:val="center"/>
          </w:tcPr>
          <w:p w14:paraId="2DE2C19B">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67" w:type="dxa"/>
            <w:vAlign w:val="center"/>
          </w:tcPr>
          <w:p w14:paraId="6F2A2768">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00" w:type="dxa"/>
            <w:vAlign w:val="center"/>
          </w:tcPr>
          <w:p w14:paraId="3F36A14A">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870" w:type="dxa"/>
            <w:vAlign w:val="center"/>
          </w:tcPr>
          <w:p w14:paraId="2DD66BED">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r>
      <w:tr w14:paraId="72155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084" w:type="dxa"/>
            <w:vAlign w:val="center"/>
          </w:tcPr>
          <w:p w14:paraId="459F5AC0">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610" w:type="dxa"/>
            <w:vAlign w:val="center"/>
          </w:tcPr>
          <w:p w14:paraId="0D69635A">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2007" w:type="dxa"/>
            <w:vAlign w:val="center"/>
          </w:tcPr>
          <w:p w14:paraId="1F1520E1">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67" w:type="dxa"/>
            <w:vAlign w:val="center"/>
          </w:tcPr>
          <w:p w14:paraId="089B1F86">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00" w:type="dxa"/>
            <w:vAlign w:val="center"/>
          </w:tcPr>
          <w:p w14:paraId="42150B9B">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870" w:type="dxa"/>
            <w:vAlign w:val="center"/>
          </w:tcPr>
          <w:p w14:paraId="3C6B0E6D">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r>
      <w:tr w14:paraId="0E8EE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084" w:type="dxa"/>
            <w:vAlign w:val="center"/>
          </w:tcPr>
          <w:p w14:paraId="370F9499">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610" w:type="dxa"/>
            <w:vAlign w:val="center"/>
          </w:tcPr>
          <w:p w14:paraId="6BC48EB7">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2007" w:type="dxa"/>
            <w:vAlign w:val="center"/>
          </w:tcPr>
          <w:p w14:paraId="6EA3FA37">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67" w:type="dxa"/>
            <w:vAlign w:val="center"/>
          </w:tcPr>
          <w:p w14:paraId="23C2F403">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00" w:type="dxa"/>
            <w:vAlign w:val="center"/>
          </w:tcPr>
          <w:p w14:paraId="0917DD74">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870" w:type="dxa"/>
            <w:vAlign w:val="center"/>
          </w:tcPr>
          <w:p w14:paraId="73974DC1">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r>
      <w:tr w14:paraId="4CFC3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084" w:type="dxa"/>
            <w:vAlign w:val="center"/>
          </w:tcPr>
          <w:p w14:paraId="1A876B9B">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610" w:type="dxa"/>
            <w:vAlign w:val="center"/>
          </w:tcPr>
          <w:p w14:paraId="5837E6EF">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2007" w:type="dxa"/>
            <w:vAlign w:val="center"/>
          </w:tcPr>
          <w:p w14:paraId="73A33F8E">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67" w:type="dxa"/>
            <w:vAlign w:val="center"/>
          </w:tcPr>
          <w:p w14:paraId="58CA1788">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00" w:type="dxa"/>
            <w:vAlign w:val="center"/>
          </w:tcPr>
          <w:p w14:paraId="5BF59A71">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870" w:type="dxa"/>
            <w:vAlign w:val="center"/>
          </w:tcPr>
          <w:p w14:paraId="7832B950">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r>
      <w:tr w14:paraId="58E0C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084" w:type="dxa"/>
            <w:vAlign w:val="center"/>
          </w:tcPr>
          <w:p w14:paraId="01F8EE44">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610" w:type="dxa"/>
            <w:vAlign w:val="center"/>
          </w:tcPr>
          <w:p w14:paraId="45D94DAA">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2007" w:type="dxa"/>
            <w:vAlign w:val="center"/>
          </w:tcPr>
          <w:p w14:paraId="3C855DFC">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67" w:type="dxa"/>
            <w:vAlign w:val="center"/>
          </w:tcPr>
          <w:p w14:paraId="63735440">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00" w:type="dxa"/>
            <w:vAlign w:val="center"/>
          </w:tcPr>
          <w:p w14:paraId="5A7414EF">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870" w:type="dxa"/>
            <w:vAlign w:val="center"/>
          </w:tcPr>
          <w:p w14:paraId="3253EE11">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r>
      <w:tr w14:paraId="35B26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084" w:type="dxa"/>
            <w:vAlign w:val="center"/>
          </w:tcPr>
          <w:p w14:paraId="4191233A">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610" w:type="dxa"/>
            <w:vAlign w:val="center"/>
          </w:tcPr>
          <w:p w14:paraId="7801334C">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2007" w:type="dxa"/>
            <w:vAlign w:val="center"/>
          </w:tcPr>
          <w:p w14:paraId="6119D289">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67" w:type="dxa"/>
            <w:vAlign w:val="center"/>
          </w:tcPr>
          <w:p w14:paraId="36AEA936">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00" w:type="dxa"/>
            <w:vAlign w:val="center"/>
          </w:tcPr>
          <w:p w14:paraId="659E557B">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870" w:type="dxa"/>
            <w:vAlign w:val="center"/>
          </w:tcPr>
          <w:p w14:paraId="064239DC">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r>
      <w:tr w14:paraId="1CADF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084" w:type="dxa"/>
            <w:vAlign w:val="center"/>
          </w:tcPr>
          <w:p w14:paraId="195F4141">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610" w:type="dxa"/>
            <w:vAlign w:val="center"/>
          </w:tcPr>
          <w:p w14:paraId="7657076B">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2007" w:type="dxa"/>
            <w:vAlign w:val="center"/>
          </w:tcPr>
          <w:p w14:paraId="03C4858B">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67" w:type="dxa"/>
            <w:vAlign w:val="center"/>
          </w:tcPr>
          <w:p w14:paraId="2543C7BE">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00" w:type="dxa"/>
            <w:vAlign w:val="center"/>
          </w:tcPr>
          <w:p w14:paraId="345277E0">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870" w:type="dxa"/>
            <w:vAlign w:val="center"/>
          </w:tcPr>
          <w:p w14:paraId="5ACD9A86">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r>
      <w:tr w14:paraId="28D97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084" w:type="dxa"/>
            <w:vAlign w:val="center"/>
          </w:tcPr>
          <w:p w14:paraId="5823221D">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610" w:type="dxa"/>
            <w:vAlign w:val="center"/>
          </w:tcPr>
          <w:p w14:paraId="56E0930B">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2007" w:type="dxa"/>
            <w:vAlign w:val="center"/>
          </w:tcPr>
          <w:p w14:paraId="0075E50B">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67" w:type="dxa"/>
            <w:vAlign w:val="center"/>
          </w:tcPr>
          <w:p w14:paraId="45E07485">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00" w:type="dxa"/>
            <w:vAlign w:val="center"/>
          </w:tcPr>
          <w:p w14:paraId="4EE2DB86">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870" w:type="dxa"/>
            <w:vAlign w:val="center"/>
          </w:tcPr>
          <w:p w14:paraId="700C7460">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r>
      <w:tr w14:paraId="11C5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084" w:type="dxa"/>
            <w:vAlign w:val="center"/>
          </w:tcPr>
          <w:p w14:paraId="39FAD4A4">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610" w:type="dxa"/>
            <w:vAlign w:val="center"/>
          </w:tcPr>
          <w:p w14:paraId="66BC5E75">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2007" w:type="dxa"/>
            <w:vAlign w:val="center"/>
          </w:tcPr>
          <w:p w14:paraId="6380A843">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67" w:type="dxa"/>
            <w:vAlign w:val="center"/>
          </w:tcPr>
          <w:p w14:paraId="59C3F28C">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00" w:type="dxa"/>
            <w:vAlign w:val="center"/>
          </w:tcPr>
          <w:p w14:paraId="4D3CC764">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870" w:type="dxa"/>
            <w:vAlign w:val="center"/>
          </w:tcPr>
          <w:p w14:paraId="2FBA1BB3">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r>
      <w:tr w14:paraId="488B6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084" w:type="dxa"/>
            <w:vAlign w:val="center"/>
          </w:tcPr>
          <w:p w14:paraId="5D76249E">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610" w:type="dxa"/>
            <w:vAlign w:val="center"/>
          </w:tcPr>
          <w:p w14:paraId="18679AA4">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2007" w:type="dxa"/>
            <w:vAlign w:val="center"/>
          </w:tcPr>
          <w:p w14:paraId="59A445DE">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67" w:type="dxa"/>
            <w:vAlign w:val="center"/>
          </w:tcPr>
          <w:p w14:paraId="0E1929A5">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400" w:type="dxa"/>
            <w:vAlign w:val="center"/>
          </w:tcPr>
          <w:p w14:paraId="765F6A2B">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c>
          <w:tcPr>
            <w:tcW w:w="1870" w:type="dxa"/>
            <w:vAlign w:val="center"/>
          </w:tcPr>
          <w:p w14:paraId="4578DB8C">
            <w:pPr>
              <w:tabs>
                <w:tab w:val="left" w:pos="720"/>
                <w:tab w:val="left" w:pos="1440"/>
                <w:tab w:val="left" w:pos="1620"/>
              </w:tabs>
              <w:spacing w:line="420" w:lineRule="exact"/>
              <w:ind w:left="191" w:right="187"/>
              <w:jc w:val="center"/>
              <w:rPr>
                <w:rFonts w:ascii="宋体" w:hAnsi="宋体" w:eastAsia="宋体" w:cs="宋体"/>
                <w:color w:val="000000" w:themeColor="text1"/>
                <w:sz w:val="24"/>
                <w:highlight w:val="none"/>
                <w14:textFill>
                  <w14:solidFill>
                    <w14:schemeClr w14:val="tx1"/>
                  </w14:solidFill>
                </w14:textFill>
              </w:rPr>
            </w:pPr>
          </w:p>
        </w:tc>
      </w:tr>
    </w:tbl>
    <w:p w14:paraId="26209FD7">
      <w:pPr>
        <w:pStyle w:val="31"/>
        <w:spacing w:line="420" w:lineRule="exact"/>
        <w:ind w:left="0" w:leftChars="0" w:firstLine="0" w:firstLineChars="0"/>
        <w:rPr>
          <w:rFonts w:ascii="宋体" w:hAnsi="宋体" w:eastAsia="宋体" w:cs="宋体"/>
          <w:b/>
          <w:bCs/>
          <w:color w:val="000000" w:themeColor="text1"/>
          <w:sz w:val="24"/>
          <w:highlight w:val="none"/>
          <w:u w:val="single"/>
          <w14:textFill>
            <w14:solidFill>
              <w14:schemeClr w14:val="tx1"/>
            </w14:solidFill>
          </w14:textFill>
        </w:rPr>
      </w:pPr>
      <w:r>
        <w:rPr>
          <w:rFonts w:hint="eastAsia" w:ascii="宋体" w:hAnsi="宋体" w:eastAsia="宋体" w:cs="宋体"/>
          <w:b/>
          <w:bCs/>
          <w:color w:val="000000" w:themeColor="text1"/>
          <w:sz w:val="24"/>
          <w:highlight w:val="none"/>
          <w:u w:val="single"/>
          <w14:textFill>
            <w14:solidFill>
              <w14:schemeClr w14:val="tx1"/>
            </w14:solidFill>
          </w14:textFill>
        </w:rPr>
        <w:t>注：此表中须附相应业绩证明材料扫描件，并对其真实性负责。</w:t>
      </w:r>
    </w:p>
    <w:p w14:paraId="4CA0BEEA">
      <w:pPr>
        <w:spacing w:line="420" w:lineRule="exact"/>
        <w:ind w:right="187"/>
        <w:rPr>
          <w:rFonts w:ascii="宋体" w:hAnsi="宋体" w:eastAsia="宋体" w:cs="宋体"/>
          <w:bCs/>
          <w:color w:val="000000" w:themeColor="text1"/>
          <w:sz w:val="24"/>
          <w:highlight w:val="none"/>
          <w14:textFill>
            <w14:solidFill>
              <w14:schemeClr w14:val="tx1"/>
            </w14:solidFill>
          </w14:textFill>
        </w:rPr>
      </w:pPr>
    </w:p>
    <w:p w14:paraId="4DC8FF9B">
      <w:pPr>
        <w:spacing w:line="420" w:lineRule="exact"/>
        <w:ind w:right="187"/>
        <w:rPr>
          <w:rFonts w:ascii="宋体" w:hAnsi="宋体" w:eastAsia="宋体" w:cs="宋体"/>
          <w:color w:val="000000" w:themeColor="text1"/>
          <w:highlight w:val="none"/>
          <w14:textFill>
            <w14:solidFill>
              <w14:schemeClr w14:val="tx1"/>
            </w14:solidFill>
          </w14:textFill>
        </w:rPr>
      </w:pPr>
    </w:p>
    <w:p w14:paraId="3302CD07">
      <w:pPr>
        <w:spacing w:line="420" w:lineRule="exact"/>
        <w:ind w:right="187"/>
        <w:rPr>
          <w:rFonts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供应商名称（公章）：</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0D8058B7">
      <w:pPr>
        <w:spacing w:line="420" w:lineRule="exact"/>
        <w:ind w:right="187"/>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法定代表人或授权代理人签字（或盖章）：</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w:t>
      </w:r>
    </w:p>
    <w:p w14:paraId="0FD82FC9">
      <w:pPr>
        <w:spacing w:line="420" w:lineRule="exact"/>
        <w:ind w:firstLine="630" w:firstLineChars="30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年   月   日</w:t>
      </w:r>
    </w:p>
    <w:p w14:paraId="73ADFA8C">
      <w:pPr>
        <w:pStyle w:val="136"/>
        <w:ind w:firstLine="0" w:firstLineChars="0"/>
        <w:outlineLvl w:val="1"/>
        <w:rPr>
          <w:rFonts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131" w:name="_Toc25636"/>
      <w:r>
        <w:rPr>
          <w:rFonts w:hint="eastAsia" w:ascii="宋体" w:hAnsi="宋体" w:eastAsia="宋体" w:cs="宋体"/>
          <w:b/>
          <w:color w:val="000000" w:themeColor="text1"/>
          <w:sz w:val="28"/>
          <w:szCs w:val="28"/>
          <w:highlight w:val="none"/>
          <w14:textFill>
            <w14:solidFill>
              <w14:schemeClr w14:val="tx1"/>
            </w14:solidFill>
          </w14:textFill>
        </w:rPr>
        <w:t>附件七：商务条款响应一览表</w:t>
      </w:r>
      <w:bookmarkEnd w:id="131"/>
    </w:p>
    <w:p w14:paraId="7471C677">
      <w:pPr>
        <w:rPr>
          <w:rFonts w:ascii="宋体" w:hAnsi="宋体" w:eastAsia="宋体" w:cs="宋体"/>
          <w:b/>
          <w:color w:val="000000" w:themeColor="text1"/>
          <w:sz w:val="28"/>
          <w:szCs w:val="28"/>
          <w:highlight w:val="none"/>
          <w14:textFill>
            <w14:solidFill>
              <w14:schemeClr w14:val="tx1"/>
            </w14:solidFill>
          </w14:textFill>
        </w:rPr>
      </w:pPr>
      <w:bookmarkStart w:id="132" w:name="_Toc467768650"/>
      <w:bookmarkStart w:id="133" w:name="_Toc467865516"/>
    </w:p>
    <w:p w14:paraId="4BD7BBF1">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t>山东大学本科生、研究生校方责任保险服务项目</w:t>
      </w:r>
    </w:p>
    <w:bookmarkEnd w:id="132"/>
    <w:bookmarkEnd w:id="133"/>
    <w:p w14:paraId="2E51D801">
      <w:pPr>
        <w:jc w:val="center"/>
        <w:rPr>
          <w:rFonts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商务条款响应一览表</w:t>
      </w:r>
    </w:p>
    <w:p w14:paraId="14D874D5">
      <w:pPr>
        <w:spacing w:line="420" w:lineRule="exact"/>
        <w:ind w:right="187" w:firstLine="240" w:firstLineChars="1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项目编号：</w:t>
      </w:r>
      <w:r>
        <w:rPr>
          <w:rFonts w:hint="eastAsia" w:ascii="宋体" w:hAnsi="宋体" w:eastAsia="宋体" w:cs="宋体"/>
          <w:color w:val="000000" w:themeColor="text1"/>
          <w:sz w:val="24"/>
          <w:highlight w:val="none"/>
          <w:lang w:eastAsia="zh-CN"/>
          <w14:textFill>
            <w14:solidFill>
              <w14:schemeClr w14:val="tx1"/>
            </w14:solidFill>
          </w14:textFill>
        </w:rPr>
        <w:t>SDJDGD20250048-Q015</w:t>
      </w:r>
      <w:r>
        <w:rPr>
          <w:rFonts w:hint="eastAsia" w:ascii="宋体" w:hAnsi="宋体" w:eastAsia="宋体" w:cs="宋体"/>
          <w:color w:val="000000" w:themeColor="text1"/>
          <w:sz w:val="24"/>
          <w:highlight w:val="none"/>
          <w14:textFill>
            <w14:solidFill>
              <w14:schemeClr w14:val="tx1"/>
            </w14:solidFill>
          </w14:textFill>
        </w:rPr>
        <w:t xml:space="preserve">   </w:t>
      </w:r>
    </w:p>
    <w:p w14:paraId="4F06DA62">
      <w:pPr>
        <w:spacing w:line="420" w:lineRule="exact"/>
        <w:ind w:right="187" w:firstLine="240" w:firstLineChars="100"/>
        <w:rPr>
          <w:rFonts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项目名称：</w:t>
      </w:r>
      <w:r>
        <w:rPr>
          <w:rFonts w:hint="eastAsia" w:ascii="宋体" w:hAnsi="宋体" w:eastAsia="宋体" w:cs="宋体"/>
          <w:color w:val="000000" w:themeColor="text1"/>
          <w:sz w:val="24"/>
          <w:highlight w:val="none"/>
          <w:lang w:eastAsia="zh-CN"/>
          <w14:textFill>
            <w14:solidFill>
              <w14:schemeClr w14:val="tx1"/>
            </w14:solidFill>
          </w14:textFill>
        </w:rPr>
        <w:t>山东大学本科生、研究生校方责任保险服务项目</w:t>
      </w:r>
      <w:r>
        <w:rPr>
          <w:rFonts w:hint="eastAsia" w:ascii="宋体" w:hAnsi="宋体" w:eastAsia="宋体" w:cs="宋体"/>
          <w:color w:val="000000" w:themeColor="text1"/>
          <w:sz w:val="24"/>
          <w:highlight w:val="none"/>
          <w14:textFill>
            <w14:solidFill>
              <w14:schemeClr w14:val="tx1"/>
            </w14:solidFill>
          </w14:textFill>
        </w:rPr>
        <w:t xml:space="preserve">   </w:t>
      </w:r>
    </w:p>
    <w:p w14:paraId="7838A271">
      <w:pPr>
        <w:spacing w:line="420" w:lineRule="exact"/>
        <w:ind w:left="642" w:leftChars="200" w:right="187" w:hanging="222" w:hangingChars="92"/>
        <w:rPr>
          <w:rFonts w:hint="eastAsia" w:ascii="宋体" w:hAnsi="宋体" w:eastAsia="宋体" w:cs="宋体"/>
          <w:b/>
          <w:bCs/>
          <w:color w:val="000000" w:themeColor="text1"/>
          <w:sz w:val="24"/>
          <w:highlight w:val="none"/>
          <w14:textFill>
            <w14:solidFill>
              <w14:schemeClr w14:val="tx1"/>
            </w14:solidFill>
          </w14:textFill>
        </w:rPr>
      </w:pPr>
    </w:p>
    <w:tbl>
      <w:tblPr>
        <w:tblStyle w:val="74"/>
        <w:tblW w:w="4996"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219"/>
        <w:gridCol w:w="1483"/>
        <w:gridCol w:w="4415"/>
        <w:gridCol w:w="2161"/>
      </w:tblGrid>
      <w:tr w14:paraId="53C9D6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219" w:type="dxa"/>
            <w:tcBorders>
              <w:top w:val="single" w:color="auto" w:sz="4" w:space="0"/>
              <w:left w:val="single" w:color="auto" w:sz="4" w:space="0"/>
              <w:bottom w:val="single" w:color="auto" w:sz="4" w:space="0"/>
              <w:right w:val="single" w:color="auto" w:sz="4" w:space="0"/>
            </w:tcBorders>
            <w:noWrap w:val="0"/>
            <w:vAlign w:val="center"/>
          </w:tcPr>
          <w:p w14:paraId="39A01517">
            <w:pPr>
              <w:spacing w:line="420" w:lineRule="exact"/>
              <w:jc w:val="center"/>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项目</w:t>
            </w:r>
          </w:p>
          <w:p w14:paraId="1C5025EB">
            <w:pPr>
              <w:spacing w:line="420" w:lineRule="exact"/>
              <w:jc w:val="center"/>
              <w:rPr>
                <w:b/>
                <w:bCs/>
                <w:sz w:val="28"/>
              </w:rPr>
            </w:pPr>
            <w:r>
              <w:rPr>
                <w:rFonts w:hint="eastAsia" w:ascii="宋体" w:hAnsi="宋体" w:eastAsia="宋体" w:cs="宋体"/>
                <w:b/>
                <w:bCs/>
                <w:color w:val="000000" w:themeColor="text1"/>
                <w:sz w:val="24"/>
                <w:highlight w:val="none"/>
                <w14:textFill>
                  <w14:solidFill>
                    <w14:schemeClr w14:val="tx1"/>
                  </w14:solidFill>
                </w14:textFill>
              </w:rPr>
              <w:t>序号</w:t>
            </w:r>
          </w:p>
        </w:tc>
        <w:tc>
          <w:tcPr>
            <w:tcW w:w="1483" w:type="dxa"/>
            <w:tcBorders>
              <w:top w:val="single" w:color="auto" w:sz="4" w:space="0"/>
              <w:left w:val="single" w:color="auto" w:sz="4" w:space="0"/>
              <w:bottom w:val="single" w:color="auto" w:sz="4" w:space="0"/>
              <w:right w:val="single" w:color="auto" w:sz="4" w:space="0"/>
            </w:tcBorders>
            <w:noWrap w:val="0"/>
            <w:vAlign w:val="center"/>
          </w:tcPr>
          <w:p w14:paraId="7AB60B60">
            <w:pPr>
              <w:spacing w:line="420" w:lineRule="exact"/>
              <w:jc w:val="center"/>
              <w:rPr>
                <w:rFonts w:hint="eastAsia" w:ascii="Times New Roman" w:hAnsi="Times New Roman" w:eastAsia="宋体" w:cs="Times New Roman"/>
                <w:b/>
                <w:bCs/>
                <w:sz w:val="28"/>
              </w:rPr>
            </w:pPr>
            <w:r>
              <w:rPr>
                <w:rFonts w:hint="eastAsia" w:ascii="宋体" w:hAnsi="宋体" w:eastAsia="宋体" w:cs="宋体"/>
                <w:b/>
                <w:bCs/>
                <w:color w:val="000000" w:themeColor="text1"/>
                <w:sz w:val="24"/>
                <w:highlight w:val="none"/>
                <w14:textFill>
                  <w14:solidFill>
                    <w14:schemeClr w14:val="tx1"/>
                  </w14:solidFill>
                </w14:textFill>
              </w:rPr>
              <w:t>项目名称</w:t>
            </w:r>
          </w:p>
        </w:tc>
        <w:tc>
          <w:tcPr>
            <w:tcW w:w="4415" w:type="dxa"/>
            <w:tcBorders>
              <w:top w:val="single" w:color="auto" w:sz="4" w:space="0"/>
              <w:left w:val="single" w:color="auto" w:sz="4" w:space="0"/>
              <w:bottom w:val="single" w:color="auto" w:sz="4" w:space="0"/>
              <w:right w:val="single" w:color="auto" w:sz="4" w:space="0"/>
            </w:tcBorders>
            <w:noWrap w:val="0"/>
            <w:vAlign w:val="center"/>
          </w:tcPr>
          <w:p w14:paraId="2148BD34">
            <w:pPr>
              <w:spacing w:line="420" w:lineRule="exact"/>
              <w:jc w:val="center"/>
              <w:rPr>
                <w:rFonts w:hint="eastAsia" w:ascii="Times New Roman" w:hAnsi="Times New Roman" w:eastAsia="宋体" w:cs="Times New Roman"/>
                <w:b/>
                <w:bCs/>
                <w:sz w:val="28"/>
              </w:rPr>
            </w:pPr>
            <w:r>
              <w:rPr>
                <w:rFonts w:hint="eastAsia" w:ascii="宋体" w:hAnsi="宋体" w:eastAsia="宋体" w:cs="宋体"/>
                <w:b/>
                <w:bCs/>
                <w:color w:val="000000" w:themeColor="text1"/>
                <w:sz w:val="24"/>
                <w:highlight w:val="none"/>
                <w14:textFill>
                  <w14:solidFill>
                    <w14:schemeClr w14:val="tx1"/>
                  </w14:solidFill>
                </w14:textFill>
              </w:rPr>
              <w:t>采购人要求</w:t>
            </w:r>
          </w:p>
        </w:tc>
        <w:tc>
          <w:tcPr>
            <w:tcW w:w="2161" w:type="dxa"/>
            <w:tcBorders>
              <w:top w:val="single" w:color="auto" w:sz="4" w:space="0"/>
              <w:left w:val="single" w:color="auto" w:sz="4" w:space="0"/>
              <w:bottom w:val="single" w:color="auto" w:sz="4" w:space="0"/>
              <w:right w:val="single" w:color="auto" w:sz="4" w:space="0"/>
            </w:tcBorders>
            <w:noWrap w:val="0"/>
            <w:vAlign w:val="center"/>
          </w:tcPr>
          <w:p w14:paraId="7E6EB4C8">
            <w:pPr>
              <w:spacing w:line="420" w:lineRule="exact"/>
              <w:jc w:val="center"/>
              <w:rPr>
                <w:rFonts w:hint="eastAsia" w:ascii="Times New Roman" w:hAnsi="Times New Roman" w:eastAsia="宋体" w:cs="Times New Roman"/>
                <w:b/>
                <w:bCs/>
                <w:sz w:val="28"/>
              </w:rPr>
            </w:pPr>
            <w:r>
              <w:rPr>
                <w:rFonts w:hint="eastAsia" w:ascii="宋体" w:hAnsi="宋体" w:eastAsia="宋体" w:cs="宋体"/>
                <w:b/>
                <w:bCs/>
                <w:color w:val="000000" w:themeColor="text1"/>
                <w:sz w:val="24"/>
                <w:highlight w:val="none"/>
                <w14:textFill>
                  <w14:solidFill>
                    <w14:schemeClr w14:val="tx1"/>
                  </w14:solidFill>
                </w14:textFill>
              </w:rPr>
              <w:t>供应商响应</w:t>
            </w:r>
          </w:p>
        </w:tc>
      </w:tr>
      <w:tr w14:paraId="5639A0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219" w:type="dxa"/>
            <w:tcBorders>
              <w:top w:val="single" w:color="auto" w:sz="4" w:space="0"/>
              <w:left w:val="single" w:color="auto" w:sz="4" w:space="0"/>
              <w:bottom w:val="single" w:color="auto" w:sz="4" w:space="0"/>
              <w:right w:val="single" w:color="auto" w:sz="4" w:space="0"/>
            </w:tcBorders>
            <w:noWrap w:val="0"/>
            <w:vAlign w:val="center"/>
          </w:tcPr>
          <w:p w14:paraId="4A860B7F">
            <w:pPr>
              <w:jc w:val="center"/>
              <w:rPr>
                <w:rFonts w:ascii="宋体" w:hAnsi="宋体"/>
                <w:b/>
                <w:bCs/>
                <w:sz w:val="24"/>
              </w:rPr>
            </w:pPr>
            <w:r>
              <w:rPr>
                <w:rFonts w:hint="eastAsia" w:ascii="宋体" w:hAnsi="宋体" w:eastAsia="宋体" w:cs="宋体"/>
                <w:b/>
                <w:bCs/>
                <w:sz w:val="24"/>
                <w:szCs w:val="24"/>
              </w:rPr>
              <w:t>1</w:t>
            </w:r>
          </w:p>
        </w:tc>
        <w:tc>
          <w:tcPr>
            <w:tcW w:w="1483" w:type="dxa"/>
            <w:tcBorders>
              <w:top w:val="single" w:color="auto" w:sz="4" w:space="0"/>
              <w:left w:val="single" w:color="auto" w:sz="4" w:space="0"/>
              <w:bottom w:val="single" w:color="auto" w:sz="4" w:space="0"/>
              <w:right w:val="single" w:color="auto" w:sz="4" w:space="0"/>
            </w:tcBorders>
            <w:noWrap w:val="0"/>
            <w:vAlign w:val="center"/>
          </w:tcPr>
          <w:p w14:paraId="193659C1">
            <w:pPr>
              <w:jc w:val="center"/>
              <w:rPr>
                <w:sz w:val="24"/>
              </w:rPr>
            </w:pPr>
            <w:r>
              <w:rPr>
                <w:rFonts w:hint="eastAsia" w:ascii="宋体" w:hAnsi="宋体" w:eastAsia="宋体" w:cs="宋体"/>
                <w:sz w:val="24"/>
                <w:szCs w:val="24"/>
                <w:lang w:val="en-US" w:eastAsia="zh-CN"/>
              </w:rPr>
              <w:t>预算金额</w:t>
            </w:r>
          </w:p>
        </w:tc>
        <w:tc>
          <w:tcPr>
            <w:tcW w:w="4415" w:type="dxa"/>
            <w:tcBorders>
              <w:top w:val="single" w:color="auto" w:sz="4" w:space="0"/>
              <w:left w:val="single" w:color="auto" w:sz="4" w:space="0"/>
              <w:bottom w:val="single" w:color="auto" w:sz="4" w:space="0"/>
              <w:right w:val="single" w:color="auto" w:sz="4" w:space="0"/>
            </w:tcBorders>
            <w:noWrap w:val="0"/>
            <w:vAlign w:val="center"/>
          </w:tcPr>
          <w:p w14:paraId="3E1A334C">
            <w:pPr>
              <w:rPr>
                <w:rFonts w:ascii="宋体" w:hAnsi="宋体"/>
              </w:rPr>
            </w:pPr>
            <w:r>
              <w:rPr>
                <w:rFonts w:hint="eastAsia" w:ascii="宋体" w:hAnsi="宋体" w:eastAsia="宋体" w:cs="宋体"/>
                <w:bCs/>
                <w:color w:val="auto"/>
                <w:sz w:val="24"/>
                <w:szCs w:val="24"/>
                <w:lang w:val="en-US" w:eastAsia="zh-CN"/>
              </w:rPr>
              <w:t>人民币：最高限价10元/人/学年</w:t>
            </w:r>
            <w:r>
              <w:rPr>
                <w:rFonts w:hint="eastAsia" w:ascii="宋体" w:hAnsi="宋体" w:eastAsia="宋体" w:cs="宋体"/>
                <w:bCs/>
                <w:color w:val="auto"/>
                <w:sz w:val="24"/>
                <w:szCs w:val="24"/>
              </w:rPr>
              <w:t>。</w:t>
            </w:r>
          </w:p>
        </w:tc>
        <w:tc>
          <w:tcPr>
            <w:tcW w:w="2161" w:type="dxa"/>
            <w:tcBorders>
              <w:top w:val="single" w:color="auto" w:sz="4" w:space="0"/>
              <w:left w:val="single" w:color="auto" w:sz="4" w:space="0"/>
              <w:bottom w:val="single" w:color="auto" w:sz="4" w:space="0"/>
              <w:right w:val="single" w:color="auto" w:sz="4" w:space="0"/>
            </w:tcBorders>
            <w:noWrap w:val="0"/>
            <w:vAlign w:val="center"/>
          </w:tcPr>
          <w:p w14:paraId="2C0DAF07">
            <w:pPr>
              <w:jc w:val="center"/>
              <w:rPr>
                <w:rFonts w:ascii="宋体" w:hAnsi="宋体"/>
              </w:rPr>
            </w:pPr>
          </w:p>
        </w:tc>
      </w:tr>
      <w:tr w14:paraId="5CA21D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219" w:type="dxa"/>
            <w:tcBorders>
              <w:top w:val="single" w:color="auto" w:sz="4" w:space="0"/>
              <w:left w:val="single" w:color="auto" w:sz="4" w:space="0"/>
              <w:bottom w:val="single" w:color="auto" w:sz="4" w:space="0"/>
              <w:right w:val="single" w:color="auto" w:sz="4" w:space="0"/>
            </w:tcBorders>
            <w:noWrap w:val="0"/>
            <w:vAlign w:val="center"/>
          </w:tcPr>
          <w:p w14:paraId="3D6E02DC">
            <w:pPr>
              <w:jc w:val="center"/>
              <w:rPr>
                <w:b/>
                <w:bCs/>
                <w:sz w:val="24"/>
              </w:rPr>
            </w:pPr>
            <w:r>
              <w:rPr>
                <w:rFonts w:hint="eastAsia" w:ascii="宋体" w:hAnsi="宋体" w:eastAsia="宋体" w:cs="宋体"/>
                <w:b/>
                <w:bCs/>
                <w:sz w:val="24"/>
                <w:szCs w:val="24"/>
              </w:rPr>
              <w:t>2</w:t>
            </w:r>
          </w:p>
        </w:tc>
        <w:tc>
          <w:tcPr>
            <w:tcW w:w="1483" w:type="dxa"/>
            <w:tcBorders>
              <w:top w:val="single" w:color="auto" w:sz="4" w:space="0"/>
              <w:left w:val="single" w:color="auto" w:sz="4" w:space="0"/>
              <w:bottom w:val="single" w:color="auto" w:sz="4" w:space="0"/>
              <w:right w:val="single" w:color="auto" w:sz="4" w:space="0"/>
            </w:tcBorders>
            <w:noWrap w:val="0"/>
            <w:vAlign w:val="center"/>
          </w:tcPr>
          <w:p w14:paraId="74958F31">
            <w:pPr>
              <w:jc w:val="center"/>
              <w:rPr>
                <w:rFonts w:hint="default" w:eastAsia="宋体"/>
                <w:sz w:val="24"/>
                <w:lang w:val="en-US" w:eastAsia="zh-CN"/>
              </w:rPr>
            </w:pPr>
            <w:r>
              <w:rPr>
                <w:rFonts w:hint="eastAsia" w:ascii="宋体" w:hAnsi="宋体" w:eastAsia="宋体" w:cs="宋体"/>
                <w:sz w:val="24"/>
                <w:szCs w:val="24"/>
                <w:lang w:val="en-US" w:eastAsia="zh-CN"/>
              </w:rPr>
              <w:t>服务期</w:t>
            </w:r>
          </w:p>
        </w:tc>
        <w:tc>
          <w:tcPr>
            <w:tcW w:w="4415" w:type="dxa"/>
            <w:tcBorders>
              <w:top w:val="single" w:color="auto" w:sz="4" w:space="0"/>
              <w:left w:val="single" w:color="auto" w:sz="4" w:space="0"/>
              <w:bottom w:val="single" w:color="auto" w:sz="4" w:space="0"/>
              <w:right w:val="single" w:color="auto" w:sz="4" w:space="0"/>
            </w:tcBorders>
            <w:noWrap w:val="0"/>
            <w:vAlign w:val="center"/>
          </w:tcPr>
          <w:p w14:paraId="7C587D9F">
            <w:pPr>
              <w:rPr>
                <w:rFonts w:hint="default" w:ascii="宋体" w:hAnsi="宋体"/>
                <w:lang w:val="en-US" w:eastAsia="zh-CN"/>
              </w:rPr>
            </w:pPr>
            <w:r>
              <w:rPr>
                <w:rFonts w:hint="eastAsia" w:ascii="宋体" w:hAnsi="宋体" w:eastAsia="宋体" w:cs="宋体"/>
                <w:sz w:val="24"/>
                <w:szCs w:val="24"/>
                <w:lang w:val="en-US" w:eastAsia="zh-CN"/>
              </w:rPr>
              <w:t>本项目履行期限三年，服务合同一年一签（采购人在年度预算能保障的前提下，根据成交人服务质量自主决定是否与成交人续签下一年合同）。</w:t>
            </w:r>
          </w:p>
        </w:tc>
        <w:tc>
          <w:tcPr>
            <w:tcW w:w="2161" w:type="dxa"/>
            <w:tcBorders>
              <w:top w:val="single" w:color="auto" w:sz="4" w:space="0"/>
              <w:left w:val="single" w:color="auto" w:sz="4" w:space="0"/>
              <w:bottom w:val="single" w:color="auto" w:sz="4" w:space="0"/>
              <w:right w:val="single" w:color="auto" w:sz="4" w:space="0"/>
            </w:tcBorders>
            <w:noWrap w:val="0"/>
            <w:vAlign w:val="center"/>
          </w:tcPr>
          <w:p w14:paraId="07A4BF15">
            <w:pPr>
              <w:jc w:val="center"/>
              <w:rPr>
                <w:rFonts w:ascii="宋体" w:hAnsi="宋体"/>
              </w:rPr>
            </w:pPr>
          </w:p>
        </w:tc>
      </w:tr>
      <w:tr w14:paraId="25CBE8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219" w:type="dxa"/>
            <w:tcBorders>
              <w:top w:val="single" w:color="auto" w:sz="4" w:space="0"/>
              <w:left w:val="single" w:color="auto" w:sz="4" w:space="0"/>
              <w:bottom w:val="single" w:color="auto" w:sz="4" w:space="0"/>
              <w:right w:val="single" w:color="auto" w:sz="4" w:space="0"/>
            </w:tcBorders>
            <w:noWrap w:val="0"/>
            <w:vAlign w:val="center"/>
          </w:tcPr>
          <w:p w14:paraId="1DECD34B">
            <w:pPr>
              <w:jc w:val="center"/>
              <w:rPr>
                <w:b/>
                <w:bCs/>
                <w:sz w:val="24"/>
              </w:rPr>
            </w:pPr>
            <w:r>
              <w:rPr>
                <w:rFonts w:hint="eastAsia" w:ascii="宋体" w:hAnsi="宋体" w:eastAsia="宋体" w:cs="宋体"/>
                <w:b/>
                <w:bCs/>
                <w:sz w:val="24"/>
                <w:szCs w:val="24"/>
              </w:rPr>
              <w:t>3</w:t>
            </w:r>
          </w:p>
        </w:tc>
        <w:tc>
          <w:tcPr>
            <w:tcW w:w="1483" w:type="dxa"/>
            <w:tcBorders>
              <w:top w:val="single" w:color="auto" w:sz="4" w:space="0"/>
              <w:left w:val="single" w:color="auto" w:sz="4" w:space="0"/>
              <w:bottom w:val="single" w:color="auto" w:sz="4" w:space="0"/>
              <w:right w:val="single" w:color="auto" w:sz="4" w:space="0"/>
            </w:tcBorders>
            <w:noWrap w:val="0"/>
            <w:vAlign w:val="center"/>
          </w:tcPr>
          <w:p w14:paraId="2060FE28">
            <w:pPr>
              <w:jc w:val="center"/>
              <w:rPr>
                <w:sz w:val="24"/>
              </w:rPr>
            </w:pPr>
            <w:r>
              <w:rPr>
                <w:rFonts w:hint="eastAsia" w:ascii="宋体" w:hAnsi="宋体" w:eastAsia="宋体" w:cs="宋体"/>
                <w:sz w:val="24"/>
                <w:szCs w:val="24"/>
              </w:rPr>
              <w:t>付款方式</w:t>
            </w:r>
          </w:p>
        </w:tc>
        <w:tc>
          <w:tcPr>
            <w:tcW w:w="4415" w:type="dxa"/>
            <w:tcBorders>
              <w:top w:val="single" w:color="auto" w:sz="4" w:space="0"/>
              <w:left w:val="single" w:color="auto" w:sz="4" w:space="0"/>
              <w:bottom w:val="single" w:color="auto" w:sz="4" w:space="0"/>
              <w:right w:val="single" w:color="auto" w:sz="4" w:space="0"/>
            </w:tcBorders>
            <w:noWrap w:val="0"/>
            <w:vAlign w:val="center"/>
          </w:tcPr>
          <w:p w14:paraId="5D970242">
            <w:pPr>
              <w:rPr>
                <w:rFonts w:ascii="宋体" w:hAnsi="宋体"/>
              </w:rPr>
            </w:pPr>
            <w:r>
              <w:rPr>
                <w:rFonts w:hint="eastAsia" w:ascii="宋体" w:hAnsi="宋体" w:eastAsia="宋体" w:cs="宋体"/>
                <w:b w:val="0"/>
                <w:bCs/>
                <w:color w:val="auto"/>
                <w:kern w:val="2"/>
                <w:sz w:val="24"/>
                <w:szCs w:val="24"/>
              </w:rPr>
              <w:t>每年结算一次，待参保人数确定后付款。</w:t>
            </w:r>
          </w:p>
        </w:tc>
        <w:tc>
          <w:tcPr>
            <w:tcW w:w="2161" w:type="dxa"/>
            <w:tcBorders>
              <w:top w:val="single" w:color="auto" w:sz="4" w:space="0"/>
              <w:left w:val="single" w:color="auto" w:sz="4" w:space="0"/>
              <w:bottom w:val="single" w:color="auto" w:sz="4" w:space="0"/>
              <w:right w:val="single" w:color="auto" w:sz="4" w:space="0"/>
            </w:tcBorders>
            <w:noWrap w:val="0"/>
            <w:vAlign w:val="center"/>
          </w:tcPr>
          <w:p w14:paraId="7411E2D9">
            <w:pPr>
              <w:jc w:val="center"/>
              <w:rPr>
                <w:rFonts w:ascii="宋体" w:hAnsi="宋体"/>
              </w:rPr>
            </w:pPr>
          </w:p>
        </w:tc>
      </w:tr>
      <w:tr w14:paraId="0C861B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219" w:type="dxa"/>
            <w:tcBorders>
              <w:top w:val="single" w:color="auto" w:sz="4" w:space="0"/>
              <w:left w:val="single" w:color="auto" w:sz="4" w:space="0"/>
              <w:bottom w:val="single" w:color="auto" w:sz="4" w:space="0"/>
              <w:right w:val="single" w:color="auto" w:sz="4" w:space="0"/>
            </w:tcBorders>
            <w:noWrap w:val="0"/>
            <w:vAlign w:val="center"/>
          </w:tcPr>
          <w:p w14:paraId="41084060">
            <w:pPr>
              <w:jc w:val="center"/>
            </w:pPr>
            <w:r>
              <w:rPr>
                <w:rFonts w:hint="eastAsia" w:ascii="宋体" w:hAnsi="宋体" w:eastAsia="宋体" w:cs="宋体"/>
                <w:b/>
                <w:bCs/>
                <w:sz w:val="24"/>
                <w:szCs w:val="24"/>
                <w:lang w:val="en-US" w:eastAsia="zh-CN"/>
              </w:rPr>
              <w:t>4</w:t>
            </w:r>
          </w:p>
        </w:tc>
        <w:tc>
          <w:tcPr>
            <w:tcW w:w="1483" w:type="dxa"/>
            <w:tcBorders>
              <w:top w:val="single" w:color="auto" w:sz="4" w:space="0"/>
              <w:left w:val="single" w:color="auto" w:sz="4" w:space="0"/>
              <w:bottom w:val="single" w:color="auto" w:sz="4" w:space="0"/>
              <w:right w:val="single" w:color="auto" w:sz="4" w:space="0"/>
            </w:tcBorders>
            <w:noWrap w:val="0"/>
            <w:vAlign w:val="center"/>
          </w:tcPr>
          <w:p w14:paraId="1F338C32">
            <w:pPr>
              <w:jc w:val="center"/>
            </w:pPr>
            <w:r>
              <w:rPr>
                <w:rFonts w:hint="eastAsia" w:ascii="宋体" w:hAnsi="宋体" w:eastAsia="宋体" w:cs="宋体"/>
                <w:kern w:val="2"/>
                <w:sz w:val="24"/>
                <w:szCs w:val="24"/>
              </w:rPr>
              <w:t>验收</w:t>
            </w:r>
          </w:p>
        </w:tc>
        <w:tc>
          <w:tcPr>
            <w:tcW w:w="4415" w:type="dxa"/>
            <w:tcBorders>
              <w:top w:val="single" w:color="auto" w:sz="4" w:space="0"/>
              <w:left w:val="single" w:color="auto" w:sz="4" w:space="0"/>
              <w:bottom w:val="single" w:color="auto" w:sz="4" w:space="0"/>
              <w:right w:val="single" w:color="auto" w:sz="4" w:space="0"/>
            </w:tcBorders>
            <w:noWrap w:val="0"/>
            <w:vAlign w:val="center"/>
          </w:tcPr>
          <w:p w14:paraId="41982C12">
            <w:r>
              <w:rPr>
                <w:rFonts w:hint="eastAsia" w:ascii="宋体" w:hAnsi="宋体" w:eastAsia="宋体" w:cs="宋体"/>
                <w:bCs/>
                <w:color w:val="auto"/>
                <w:sz w:val="24"/>
                <w:szCs w:val="24"/>
                <w:lang w:val="en-US" w:eastAsia="zh-CN"/>
              </w:rPr>
              <w:t>服务每年完成后</w:t>
            </w:r>
            <w:r>
              <w:rPr>
                <w:rFonts w:hint="eastAsia" w:ascii="宋体" w:hAnsi="宋体" w:eastAsia="宋体" w:cs="宋体"/>
                <w:bCs/>
                <w:color w:val="auto"/>
                <w:sz w:val="24"/>
                <w:szCs w:val="24"/>
              </w:rPr>
              <w:t>，采购人应对服务的成果进行详细而全面的检验。</w:t>
            </w:r>
          </w:p>
        </w:tc>
        <w:tc>
          <w:tcPr>
            <w:tcW w:w="2161" w:type="dxa"/>
            <w:tcBorders>
              <w:top w:val="single" w:color="auto" w:sz="4" w:space="0"/>
              <w:left w:val="single" w:color="auto" w:sz="4" w:space="0"/>
              <w:bottom w:val="single" w:color="auto" w:sz="4" w:space="0"/>
              <w:right w:val="single" w:color="auto" w:sz="4" w:space="0"/>
            </w:tcBorders>
            <w:noWrap w:val="0"/>
            <w:vAlign w:val="top"/>
          </w:tcPr>
          <w:p w14:paraId="78CCA6FB"/>
        </w:tc>
      </w:tr>
      <w:tr w14:paraId="233809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219" w:type="dxa"/>
            <w:tcBorders>
              <w:top w:val="single" w:color="auto" w:sz="4" w:space="0"/>
              <w:left w:val="single" w:color="auto" w:sz="4" w:space="0"/>
              <w:bottom w:val="single" w:color="auto" w:sz="4" w:space="0"/>
              <w:right w:val="single" w:color="auto" w:sz="4" w:space="0"/>
            </w:tcBorders>
            <w:noWrap w:val="0"/>
            <w:vAlign w:val="center"/>
          </w:tcPr>
          <w:p w14:paraId="4E565631">
            <w:pPr>
              <w:jc w:val="center"/>
            </w:pPr>
            <w:r>
              <w:rPr>
                <w:rFonts w:hint="eastAsia" w:ascii="宋体" w:hAnsi="宋体" w:eastAsia="宋体" w:cs="宋体"/>
                <w:b/>
                <w:bCs/>
                <w:sz w:val="24"/>
                <w:szCs w:val="24"/>
                <w:lang w:val="en-US" w:eastAsia="zh-CN"/>
              </w:rPr>
              <w:t>5</w:t>
            </w:r>
          </w:p>
        </w:tc>
        <w:tc>
          <w:tcPr>
            <w:tcW w:w="1483" w:type="dxa"/>
            <w:tcBorders>
              <w:top w:val="single" w:color="auto" w:sz="4" w:space="0"/>
              <w:left w:val="single" w:color="auto" w:sz="4" w:space="0"/>
              <w:bottom w:val="single" w:color="auto" w:sz="4" w:space="0"/>
              <w:right w:val="single" w:color="auto" w:sz="4" w:space="0"/>
            </w:tcBorders>
            <w:noWrap w:val="0"/>
            <w:vAlign w:val="center"/>
          </w:tcPr>
          <w:p w14:paraId="68A7BA2E">
            <w:pPr>
              <w:jc w:val="center"/>
            </w:pPr>
            <w:r>
              <w:rPr>
                <w:rFonts w:hint="eastAsia" w:ascii="宋体" w:hAnsi="宋体" w:eastAsia="宋体" w:cs="宋体"/>
                <w:sz w:val="24"/>
                <w:szCs w:val="24"/>
              </w:rPr>
              <w:t>其他条款</w:t>
            </w:r>
          </w:p>
        </w:tc>
        <w:tc>
          <w:tcPr>
            <w:tcW w:w="4415" w:type="dxa"/>
            <w:tcBorders>
              <w:top w:val="single" w:color="auto" w:sz="4" w:space="0"/>
              <w:left w:val="single" w:color="auto" w:sz="4" w:space="0"/>
              <w:bottom w:val="single" w:color="auto" w:sz="4" w:space="0"/>
              <w:right w:val="single" w:color="auto" w:sz="4" w:space="0"/>
            </w:tcBorders>
            <w:noWrap w:val="0"/>
            <w:vAlign w:val="top"/>
          </w:tcPr>
          <w:p w14:paraId="325736DC">
            <w:pPr>
              <w:numPr>
                <w:ilvl w:val="0"/>
                <w:numId w:val="0"/>
              </w:numPr>
              <w:ind w:left="0" w:leftChars="0" w:firstLine="0" w:firstLineChars="0"/>
            </w:pPr>
            <w:r>
              <w:rPr>
                <w:rFonts w:hint="eastAsia" w:ascii="宋体" w:hAnsi="宋体" w:eastAsia="宋体" w:cs="宋体"/>
                <w:b w:val="0"/>
                <w:bCs/>
                <w:color w:val="auto"/>
                <w:sz w:val="24"/>
                <w:szCs w:val="24"/>
                <w:lang w:val="en-US" w:eastAsia="zh-CN"/>
              </w:rPr>
              <w:t>本项目接受联合体投标，组成联合体的成员数量不得超过两个。</w:t>
            </w:r>
          </w:p>
        </w:tc>
        <w:tc>
          <w:tcPr>
            <w:tcW w:w="2161" w:type="dxa"/>
            <w:tcBorders>
              <w:top w:val="single" w:color="auto" w:sz="4" w:space="0"/>
              <w:left w:val="single" w:color="auto" w:sz="4" w:space="0"/>
              <w:bottom w:val="single" w:color="auto" w:sz="4" w:space="0"/>
              <w:right w:val="single" w:color="auto" w:sz="4" w:space="0"/>
            </w:tcBorders>
            <w:noWrap w:val="0"/>
            <w:vAlign w:val="top"/>
          </w:tcPr>
          <w:p w14:paraId="648E13DE"/>
        </w:tc>
      </w:tr>
    </w:tbl>
    <w:p w14:paraId="6D3E2CD1">
      <w:pPr>
        <w:spacing w:line="420" w:lineRule="exact"/>
        <w:ind w:left="642" w:leftChars="200" w:right="187" w:hanging="222" w:hangingChars="92"/>
        <w:rPr>
          <w:rFonts w:hint="eastAsia" w:ascii="宋体" w:hAnsi="宋体" w:eastAsia="宋体" w:cs="宋体"/>
          <w:b/>
          <w:bCs/>
          <w:color w:val="000000" w:themeColor="text1"/>
          <w:sz w:val="24"/>
          <w:highlight w:val="none"/>
          <w14:textFill>
            <w14:solidFill>
              <w14:schemeClr w14:val="tx1"/>
            </w14:solidFill>
          </w14:textFill>
        </w:rPr>
      </w:pPr>
    </w:p>
    <w:p w14:paraId="69928776">
      <w:pPr>
        <w:spacing w:line="420" w:lineRule="exact"/>
        <w:ind w:left="642" w:leftChars="200" w:right="187" w:hanging="222" w:hangingChars="92"/>
        <w:rPr>
          <w:rFonts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注：供应商承诺（盖章）：此表</w:t>
      </w:r>
      <w:r>
        <w:rPr>
          <w:rFonts w:hint="eastAsia" w:ascii="宋体" w:hAnsi="宋体" w:eastAsia="宋体" w:cs="宋体"/>
          <w:b/>
          <w:bCs/>
          <w:color w:val="000000" w:themeColor="text1"/>
          <w:kern w:val="0"/>
          <w:sz w:val="24"/>
          <w:highlight w:val="none"/>
          <w14:textFill>
            <w14:solidFill>
              <w14:schemeClr w14:val="tx1"/>
            </w14:solidFill>
          </w14:textFill>
        </w:rPr>
        <w:t>与电子投标文件一致。</w:t>
      </w:r>
    </w:p>
    <w:p w14:paraId="35639FB2">
      <w:pPr>
        <w:pStyle w:val="136"/>
        <w:ind w:firstLine="0" w:firstLineChars="0"/>
        <w:rPr>
          <w:rFonts w:ascii="宋体" w:hAnsi="宋体" w:eastAsia="宋体" w:cs="宋体"/>
          <w:b/>
          <w:bCs/>
          <w:color w:val="000000" w:themeColor="text1"/>
          <w:sz w:val="24"/>
          <w:highlight w:val="none"/>
          <w14:textFill>
            <w14:solidFill>
              <w14:schemeClr w14:val="tx1"/>
            </w14:solidFill>
          </w14:textFill>
        </w:rPr>
      </w:pPr>
    </w:p>
    <w:p w14:paraId="49F243BC">
      <w:pPr>
        <w:pStyle w:val="136"/>
        <w:ind w:firstLine="0" w:firstLineChars="0"/>
        <w:rPr>
          <w:rFonts w:ascii="宋体" w:hAnsi="宋体" w:eastAsia="宋体" w:cs="宋体"/>
          <w:bCs/>
          <w:color w:val="000000" w:themeColor="text1"/>
          <w:sz w:val="24"/>
          <w:highlight w:val="none"/>
          <w14:textFill>
            <w14:solidFill>
              <w14:schemeClr w14:val="tx1"/>
            </w14:solidFill>
          </w14:textFill>
        </w:rPr>
      </w:pPr>
    </w:p>
    <w:p w14:paraId="6E1D557E">
      <w:pPr>
        <w:spacing w:line="420" w:lineRule="exact"/>
        <w:ind w:right="187"/>
        <w:rPr>
          <w:rFonts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供应商名称（公章）：</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7665A693">
      <w:pPr>
        <w:spacing w:line="420" w:lineRule="exact"/>
        <w:ind w:right="187"/>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法定代表人或授权代理人签字（或盖章）：</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w:t>
      </w:r>
    </w:p>
    <w:p w14:paraId="34B45382">
      <w:pPr>
        <w:spacing w:line="420" w:lineRule="exact"/>
        <w:ind w:firstLine="630" w:firstLineChars="30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年   月   日</w:t>
      </w:r>
    </w:p>
    <w:p w14:paraId="04F470AE">
      <w:pPr>
        <w:spacing w:line="480" w:lineRule="exact"/>
        <w:outlineLvl w:val="0"/>
        <w:rPr>
          <w:rFonts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br w:type="page"/>
      </w:r>
      <w:bookmarkStart w:id="134" w:name="_Toc116125659"/>
      <w:bookmarkStart w:id="135" w:name="_Toc14638"/>
      <w:r>
        <w:rPr>
          <w:rFonts w:hint="eastAsia" w:ascii="宋体" w:hAnsi="宋体" w:eastAsia="宋体" w:cs="宋体"/>
          <w:b/>
          <w:color w:val="000000" w:themeColor="text1"/>
          <w:sz w:val="28"/>
          <w:szCs w:val="28"/>
          <w:highlight w:val="none"/>
          <w14:textFill>
            <w14:solidFill>
              <w14:schemeClr w14:val="tx1"/>
            </w14:solidFill>
          </w14:textFill>
        </w:rPr>
        <w:t>附件八: 技术人员配置</w:t>
      </w:r>
      <w:bookmarkEnd w:id="134"/>
      <w:bookmarkEnd w:id="135"/>
    </w:p>
    <w:p w14:paraId="30937D82">
      <w:pPr>
        <w:pStyle w:val="136"/>
        <w:ind w:firstLine="0" w:firstLineChars="0"/>
        <w:rPr>
          <w:rFonts w:ascii="宋体" w:hAnsi="宋体" w:eastAsia="宋体" w:cs="宋体"/>
          <w:color w:val="000000" w:themeColor="text1"/>
          <w:highlight w:val="none"/>
          <w14:textFill>
            <w14:solidFill>
              <w14:schemeClr w14:val="tx1"/>
            </w14:solidFill>
          </w14:textFill>
        </w:rPr>
      </w:pPr>
    </w:p>
    <w:p w14:paraId="2542A3D8">
      <w:pPr>
        <w:widowControl/>
        <w:spacing w:before="240" w:beforeLines="100" w:line="360" w:lineRule="auto"/>
        <w:jc w:val="center"/>
        <w:rPr>
          <w:rFonts w:ascii="宋体" w:hAnsi="宋体" w:eastAsia="宋体" w:cs="宋体"/>
          <w:b/>
          <w:bCs/>
          <w:color w:val="000000" w:themeColor="text1"/>
          <w:kern w:val="28"/>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技术人员配置</w:t>
      </w:r>
    </w:p>
    <w:tbl>
      <w:tblPr>
        <w:tblStyle w:val="7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0"/>
        <w:gridCol w:w="1160"/>
        <w:gridCol w:w="1160"/>
        <w:gridCol w:w="1161"/>
        <w:gridCol w:w="1161"/>
        <w:gridCol w:w="1161"/>
        <w:gridCol w:w="1161"/>
        <w:gridCol w:w="1161"/>
      </w:tblGrid>
      <w:tr w14:paraId="7A88A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25" w:type="pct"/>
            <w:tcBorders>
              <w:top w:val="single" w:color="auto" w:sz="4" w:space="0"/>
              <w:left w:val="single" w:color="auto" w:sz="4" w:space="0"/>
              <w:bottom w:val="single" w:color="auto" w:sz="4" w:space="0"/>
              <w:right w:val="single" w:color="auto" w:sz="4" w:space="0"/>
            </w:tcBorders>
            <w:vAlign w:val="center"/>
          </w:tcPr>
          <w:p w14:paraId="0894511E">
            <w:pPr>
              <w:widowControl/>
              <w:spacing w:line="420" w:lineRule="exact"/>
              <w:jc w:val="center"/>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序号</w:t>
            </w:r>
          </w:p>
        </w:tc>
        <w:tc>
          <w:tcPr>
            <w:tcW w:w="625" w:type="pct"/>
            <w:tcBorders>
              <w:top w:val="single" w:color="auto" w:sz="4" w:space="0"/>
              <w:left w:val="single" w:color="auto" w:sz="4" w:space="0"/>
              <w:bottom w:val="single" w:color="auto" w:sz="4" w:space="0"/>
              <w:right w:val="single" w:color="auto" w:sz="4" w:space="0"/>
            </w:tcBorders>
            <w:vAlign w:val="center"/>
          </w:tcPr>
          <w:p w14:paraId="3CF88F7D">
            <w:pPr>
              <w:widowControl/>
              <w:spacing w:line="420" w:lineRule="exact"/>
              <w:jc w:val="center"/>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姓名</w:t>
            </w:r>
          </w:p>
        </w:tc>
        <w:tc>
          <w:tcPr>
            <w:tcW w:w="625" w:type="pct"/>
            <w:tcBorders>
              <w:top w:val="single" w:color="auto" w:sz="4" w:space="0"/>
              <w:left w:val="single" w:color="auto" w:sz="4" w:space="0"/>
              <w:bottom w:val="single" w:color="auto" w:sz="4" w:space="0"/>
              <w:right w:val="single" w:color="auto" w:sz="4" w:space="0"/>
            </w:tcBorders>
            <w:vAlign w:val="center"/>
          </w:tcPr>
          <w:p w14:paraId="26A592F7">
            <w:pPr>
              <w:widowControl/>
              <w:spacing w:line="420" w:lineRule="exact"/>
              <w:jc w:val="center"/>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性别</w:t>
            </w:r>
          </w:p>
        </w:tc>
        <w:tc>
          <w:tcPr>
            <w:tcW w:w="625" w:type="pct"/>
            <w:tcBorders>
              <w:top w:val="single" w:color="auto" w:sz="4" w:space="0"/>
              <w:left w:val="single" w:color="auto" w:sz="4" w:space="0"/>
              <w:bottom w:val="single" w:color="auto" w:sz="4" w:space="0"/>
              <w:right w:val="single" w:color="auto" w:sz="4" w:space="0"/>
            </w:tcBorders>
            <w:vAlign w:val="center"/>
          </w:tcPr>
          <w:p w14:paraId="3903DE6E">
            <w:pPr>
              <w:widowControl/>
              <w:spacing w:line="420" w:lineRule="exact"/>
              <w:jc w:val="center"/>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年龄</w:t>
            </w:r>
          </w:p>
        </w:tc>
        <w:tc>
          <w:tcPr>
            <w:tcW w:w="625" w:type="pct"/>
            <w:tcBorders>
              <w:top w:val="single" w:color="auto" w:sz="4" w:space="0"/>
              <w:left w:val="single" w:color="auto" w:sz="4" w:space="0"/>
              <w:bottom w:val="single" w:color="auto" w:sz="4" w:space="0"/>
              <w:right w:val="single" w:color="auto" w:sz="4" w:space="0"/>
            </w:tcBorders>
            <w:vAlign w:val="center"/>
          </w:tcPr>
          <w:p w14:paraId="6478ED7D">
            <w:pPr>
              <w:widowControl/>
              <w:spacing w:line="420" w:lineRule="exact"/>
              <w:jc w:val="center"/>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学历</w:t>
            </w:r>
          </w:p>
        </w:tc>
        <w:tc>
          <w:tcPr>
            <w:tcW w:w="625" w:type="pct"/>
            <w:tcBorders>
              <w:top w:val="single" w:color="auto" w:sz="4" w:space="0"/>
              <w:left w:val="single" w:color="auto" w:sz="4" w:space="0"/>
              <w:bottom w:val="single" w:color="auto" w:sz="4" w:space="0"/>
              <w:right w:val="single" w:color="auto" w:sz="4" w:space="0"/>
            </w:tcBorders>
            <w:vAlign w:val="center"/>
          </w:tcPr>
          <w:p w14:paraId="0E3BB1D9">
            <w:pPr>
              <w:widowControl/>
              <w:spacing w:line="420" w:lineRule="exact"/>
              <w:jc w:val="center"/>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职称</w:t>
            </w:r>
          </w:p>
        </w:tc>
        <w:tc>
          <w:tcPr>
            <w:tcW w:w="625" w:type="pct"/>
            <w:tcBorders>
              <w:top w:val="single" w:color="auto" w:sz="4" w:space="0"/>
              <w:left w:val="single" w:color="auto" w:sz="4" w:space="0"/>
              <w:bottom w:val="single" w:color="auto" w:sz="4" w:space="0"/>
              <w:right w:val="single" w:color="auto" w:sz="4" w:space="0"/>
            </w:tcBorders>
            <w:vAlign w:val="center"/>
          </w:tcPr>
          <w:p w14:paraId="232298B7">
            <w:pPr>
              <w:widowControl/>
              <w:spacing w:line="420" w:lineRule="exact"/>
              <w:jc w:val="center"/>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岗位</w:t>
            </w:r>
          </w:p>
        </w:tc>
        <w:tc>
          <w:tcPr>
            <w:tcW w:w="625" w:type="pct"/>
            <w:tcBorders>
              <w:top w:val="single" w:color="auto" w:sz="4" w:space="0"/>
              <w:left w:val="single" w:color="auto" w:sz="4" w:space="0"/>
              <w:bottom w:val="single" w:color="auto" w:sz="4" w:space="0"/>
              <w:right w:val="single" w:color="auto" w:sz="4" w:space="0"/>
            </w:tcBorders>
            <w:vAlign w:val="center"/>
          </w:tcPr>
          <w:p w14:paraId="014977E1">
            <w:pPr>
              <w:widowControl/>
              <w:spacing w:line="420" w:lineRule="exact"/>
              <w:jc w:val="center"/>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备注</w:t>
            </w:r>
          </w:p>
        </w:tc>
      </w:tr>
      <w:tr w14:paraId="0C9DB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25" w:type="pct"/>
            <w:tcBorders>
              <w:top w:val="single" w:color="auto" w:sz="4" w:space="0"/>
              <w:left w:val="single" w:color="auto" w:sz="4" w:space="0"/>
              <w:bottom w:val="single" w:color="auto" w:sz="4" w:space="0"/>
              <w:right w:val="single" w:color="auto" w:sz="4" w:space="0"/>
            </w:tcBorders>
            <w:vAlign w:val="center"/>
          </w:tcPr>
          <w:p w14:paraId="6851B2A9">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213FDD61">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2A1C9FDE">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272DC205">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21790067">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3A1126F1">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3F0FB5E1">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58C159C5">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r>
      <w:tr w14:paraId="4C74E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25" w:type="pct"/>
            <w:tcBorders>
              <w:top w:val="single" w:color="auto" w:sz="4" w:space="0"/>
              <w:left w:val="single" w:color="auto" w:sz="4" w:space="0"/>
              <w:bottom w:val="single" w:color="auto" w:sz="4" w:space="0"/>
              <w:right w:val="single" w:color="auto" w:sz="4" w:space="0"/>
            </w:tcBorders>
            <w:vAlign w:val="center"/>
          </w:tcPr>
          <w:p w14:paraId="1A695C95">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57118BF5">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573308F3">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5BEB2F0A">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68786786">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6E287829">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2196C019">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2F5434A8">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r>
      <w:tr w14:paraId="39AF8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25" w:type="pct"/>
            <w:tcBorders>
              <w:top w:val="single" w:color="auto" w:sz="4" w:space="0"/>
              <w:left w:val="single" w:color="auto" w:sz="4" w:space="0"/>
              <w:bottom w:val="single" w:color="auto" w:sz="4" w:space="0"/>
              <w:right w:val="single" w:color="auto" w:sz="4" w:space="0"/>
            </w:tcBorders>
            <w:vAlign w:val="center"/>
          </w:tcPr>
          <w:p w14:paraId="3BA86717">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4687B612">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5F60ACC6">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1AD118C6">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62B02C89">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1BA95DFC">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4B875AB2">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22AF49D0">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r>
      <w:tr w14:paraId="1CDDC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25" w:type="pct"/>
            <w:tcBorders>
              <w:top w:val="single" w:color="auto" w:sz="4" w:space="0"/>
              <w:left w:val="single" w:color="auto" w:sz="4" w:space="0"/>
              <w:bottom w:val="single" w:color="auto" w:sz="4" w:space="0"/>
              <w:right w:val="single" w:color="auto" w:sz="4" w:space="0"/>
            </w:tcBorders>
            <w:vAlign w:val="center"/>
          </w:tcPr>
          <w:p w14:paraId="1CE7B3E8">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7FED7CF5">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54DFAD40">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24065FF8">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239C8044">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45F17C02">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5C2F2141">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171BB43A">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r>
      <w:tr w14:paraId="556AF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25" w:type="pct"/>
            <w:tcBorders>
              <w:top w:val="single" w:color="auto" w:sz="4" w:space="0"/>
              <w:left w:val="single" w:color="auto" w:sz="4" w:space="0"/>
              <w:bottom w:val="single" w:color="auto" w:sz="4" w:space="0"/>
              <w:right w:val="single" w:color="auto" w:sz="4" w:space="0"/>
            </w:tcBorders>
            <w:vAlign w:val="center"/>
          </w:tcPr>
          <w:p w14:paraId="02412199">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17B297D7">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3977E1DC">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47207BBB">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4437815C">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206A8AC1">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3259C9E8">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39A3A12C">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r>
      <w:tr w14:paraId="2F6AD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25" w:type="pct"/>
            <w:tcBorders>
              <w:top w:val="single" w:color="auto" w:sz="4" w:space="0"/>
              <w:left w:val="single" w:color="auto" w:sz="4" w:space="0"/>
              <w:bottom w:val="single" w:color="auto" w:sz="4" w:space="0"/>
              <w:right w:val="single" w:color="auto" w:sz="4" w:space="0"/>
            </w:tcBorders>
            <w:vAlign w:val="center"/>
          </w:tcPr>
          <w:p w14:paraId="02B7C20F">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5E9C7DEF">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3498146A">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49540824">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37C91A8E">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390C8C62">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31725A6D">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0B03E4BD">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r>
      <w:tr w14:paraId="378B7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25" w:type="pct"/>
            <w:tcBorders>
              <w:top w:val="single" w:color="auto" w:sz="4" w:space="0"/>
              <w:left w:val="single" w:color="auto" w:sz="4" w:space="0"/>
              <w:bottom w:val="single" w:color="auto" w:sz="4" w:space="0"/>
              <w:right w:val="single" w:color="auto" w:sz="4" w:space="0"/>
            </w:tcBorders>
            <w:vAlign w:val="center"/>
          </w:tcPr>
          <w:p w14:paraId="2FFA7100">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35CDEBB6">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37D86F5F">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05356994">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6D2012FA">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0284F437">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41998AF7">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3A750D49">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r>
      <w:tr w14:paraId="46C24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25" w:type="pct"/>
            <w:tcBorders>
              <w:top w:val="single" w:color="auto" w:sz="4" w:space="0"/>
              <w:left w:val="single" w:color="auto" w:sz="4" w:space="0"/>
              <w:bottom w:val="single" w:color="auto" w:sz="4" w:space="0"/>
              <w:right w:val="single" w:color="auto" w:sz="4" w:space="0"/>
            </w:tcBorders>
            <w:vAlign w:val="center"/>
          </w:tcPr>
          <w:p w14:paraId="7C162ACB">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79749AFD">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096AD5D2">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6299A125">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3AC7E9B3">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225D4907">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6FC75294">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4CB7EB14">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r>
      <w:tr w14:paraId="45146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25" w:type="pct"/>
            <w:tcBorders>
              <w:top w:val="single" w:color="auto" w:sz="4" w:space="0"/>
              <w:left w:val="single" w:color="auto" w:sz="4" w:space="0"/>
              <w:bottom w:val="single" w:color="auto" w:sz="4" w:space="0"/>
              <w:right w:val="single" w:color="auto" w:sz="4" w:space="0"/>
            </w:tcBorders>
            <w:vAlign w:val="center"/>
          </w:tcPr>
          <w:p w14:paraId="27141145">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47E75A75">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118624E8">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6242890F">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2D90E7CE">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2B199E22">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10D43F18">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39852CCC">
            <w:pPr>
              <w:widowControl/>
              <w:spacing w:line="420" w:lineRule="exact"/>
              <w:jc w:val="center"/>
              <w:rPr>
                <w:rFonts w:ascii="宋体" w:hAnsi="宋体" w:eastAsia="宋体"/>
                <w:color w:val="000000" w:themeColor="text1"/>
                <w:szCs w:val="21"/>
                <w:highlight w:val="none"/>
                <w14:textFill>
                  <w14:solidFill>
                    <w14:schemeClr w14:val="tx1"/>
                  </w14:solidFill>
                </w14:textFill>
              </w:rPr>
            </w:pPr>
          </w:p>
        </w:tc>
      </w:tr>
      <w:tr w14:paraId="3D54F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25" w:type="pct"/>
            <w:tcBorders>
              <w:top w:val="single" w:color="auto" w:sz="4" w:space="0"/>
              <w:left w:val="single" w:color="auto" w:sz="4" w:space="0"/>
              <w:bottom w:val="single" w:color="auto" w:sz="4" w:space="0"/>
              <w:right w:val="single" w:color="auto" w:sz="4" w:space="0"/>
            </w:tcBorders>
            <w:vAlign w:val="center"/>
          </w:tcPr>
          <w:p w14:paraId="3ABF48A2">
            <w:pPr>
              <w:widowControl/>
              <w:spacing w:line="420" w:lineRule="exact"/>
              <w:jc w:val="center"/>
              <w:rPr>
                <w:rFonts w:ascii="宋体" w:hAnsi="宋体" w:eastAsia="宋体" w:cs="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57523116">
            <w:pPr>
              <w:widowControl/>
              <w:spacing w:line="420" w:lineRule="exact"/>
              <w:jc w:val="center"/>
              <w:rPr>
                <w:rFonts w:ascii="宋体" w:hAnsi="宋体" w:eastAsia="宋体" w:cs="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073208B7">
            <w:pPr>
              <w:widowControl/>
              <w:spacing w:line="420" w:lineRule="exact"/>
              <w:jc w:val="center"/>
              <w:rPr>
                <w:rFonts w:ascii="宋体" w:hAnsi="宋体" w:eastAsia="宋体" w:cs="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2585014A">
            <w:pPr>
              <w:widowControl/>
              <w:spacing w:line="420" w:lineRule="exact"/>
              <w:jc w:val="center"/>
              <w:rPr>
                <w:rFonts w:ascii="宋体" w:hAnsi="宋体" w:eastAsia="宋体" w:cs="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7A8F3F2F">
            <w:pPr>
              <w:widowControl/>
              <w:spacing w:line="420" w:lineRule="exact"/>
              <w:jc w:val="center"/>
              <w:rPr>
                <w:rFonts w:ascii="宋体" w:hAnsi="宋体" w:eastAsia="宋体" w:cs="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6477DCF7">
            <w:pPr>
              <w:widowControl/>
              <w:spacing w:line="420" w:lineRule="exact"/>
              <w:jc w:val="center"/>
              <w:rPr>
                <w:rFonts w:ascii="宋体" w:hAnsi="宋体" w:eastAsia="宋体" w:cs="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6564E956">
            <w:pPr>
              <w:widowControl/>
              <w:spacing w:line="420" w:lineRule="exact"/>
              <w:jc w:val="center"/>
              <w:rPr>
                <w:rFonts w:ascii="宋体" w:hAnsi="宋体" w:eastAsia="宋体" w:cs="宋体"/>
                <w:color w:val="000000" w:themeColor="text1"/>
                <w:szCs w:val="21"/>
                <w:highlight w:val="none"/>
                <w14:textFill>
                  <w14:solidFill>
                    <w14:schemeClr w14:val="tx1"/>
                  </w14:solidFill>
                </w14:textFill>
              </w:rPr>
            </w:pPr>
          </w:p>
        </w:tc>
        <w:tc>
          <w:tcPr>
            <w:tcW w:w="625" w:type="pct"/>
            <w:tcBorders>
              <w:top w:val="single" w:color="auto" w:sz="4" w:space="0"/>
              <w:left w:val="single" w:color="auto" w:sz="4" w:space="0"/>
              <w:bottom w:val="single" w:color="auto" w:sz="4" w:space="0"/>
              <w:right w:val="single" w:color="auto" w:sz="4" w:space="0"/>
            </w:tcBorders>
            <w:vAlign w:val="center"/>
          </w:tcPr>
          <w:p w14:paraId="6B5880E0">
            <w:pPr>
              <w:widowControl/>
              <w:spacing w:line="420" w:lineRule="exact"/>
              <w:jc w:val="center"/>
              <w:rPr>
                <w:rFonts w:ascii="宋体" w:hAnsi="宋体" w:eastAsia="宋体" w:cs="宋体"/>
                <w:color w:val="000000" w:themeColor="text1"/>
                <w:szCs w:val="21"/>
                <w:highlight w:val="none"/>
                <w14:textFill>
                  <w14:solidFill>
                    <w14:schemeClr w14:val="tx1"/>
                  </w14:solidFill>
                </w14:textFill>
              </w:rPr>
            </w:pPr>
          </w:p>
        </w:tc>
      </w:tr>
    </w:tbl>
    <w:p w14:paraId="005A1181">
      <w:pPr>
        <w:widowControl/>
        <w:spacing w:line="48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此表可扩张使用。</w:t>
      </w:r>
    </w:p>
    <w:p w14:paraId="1A5E3138">
      <w:pPr>
        <w:widowControl/>
        <w:spacing w:line="420" w:lineRule="exact"/>
        <w:rPr>
          <w:rFonts w:ascii="宋体" w:hAnsi="宋体" w:eastAsia="宋体" w:cs="宋体"/>
          <w:color w:val="000000" w:themeColor="text1"/>
          <w:sz w:val="24"/>
          <w:highlight w:val="none"/>
          <w14:textFill>
            <w14:solidFill>
              <w14:schemeClr w14:val="tx1"/>
            </w14:solidFill>
          </w14:textFill>
        </w:rPr>
      </w:pPr>
    </w:p>
    <w:p w14:paraId="2A930365">
      <w:pPr>
        <w:widowControl/>
        <w:spacing w:line="420" w:lineRule="exact"/>
        <w:rPr>
          <w:rFonts w:ascii="宋体" w:hAnsi="宋体" w:eastAsia="宋体" w:cs="宋体"/>
          <w:color w:val="000000" w:themeColor="text1"/>
          <w:highlight w:val="none"/>
          <w14:textFill>
            <w14:solidFill>
              <w14:schemeClr w14:val="tx1"/>
            </w14:solidFill>
          </w14:textFill>
        </w:rPr>
      </w:pPr>
    </w:p>
    <w:p w14:paraId="64F5F790">
      <w:pPr>
        <w:spacing w:line="420" w:lineRule="exact"/>
        <w:ind w:right="187"/>
        <w:rPr>
          <w:rFonts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供应商名称（电子公章）：</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4B27325E">
      <w:pPr>
        <w:spacing w:line="420" w:lineRule="exact"/>
        <w:ind w:right="187"/>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法定代表人或授权代理人签字（或盖章）：</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w:t>
      </w:r>
    </w:p>
    <w:p w14:paraId="39C41EEF">
      <w:pPr>
        <w:spacing w:line="420" w:lineRule="exact"/>
        <w:ind w:firstLine="630" w:firstLineChars="30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年   月   日</w:t>
      </w:r>
    </w:p>
    <w:p w14:paraId="33E3880C">
      <w:pPr>
        <w:rPr>
          <w:rFonts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br w:type="page"/>
      </w:r>
    </w:p>
    <w:p w14:paraId="3AE70A4E">
      <w:pPr>
        <w:spacing w:line="360" w:lineRule="exact"/>
        <w:ind w:right="307"/>
        <w:jc w:val="left"/>
        <w:outlineLvl w:val="1"/>
        <w:rPr>
          <w:rFonts w:ascii="宋体" w:hAnsi="宋体" w:eastAsia="宋体" w:cs="宋体"/>
          <w:b/>
          <w:color w:val="000000" w:themeColor="text1"/>
          <w:sz w:val="28"/>
          <w:szCs w:val="28"/>
          <w:highlight w:val="none"/>
          <w14:textFill>
            <w14:solidFill>
              <w14:schemeClr w14:val="tx1"/>
            </w14:solidFill>
          </w14:textFill>
        </w:rPr>
      </w:pPr>
      <w:bookmarkStart w:id="136" w:name="_Toc4815"/>
      <w:r>
        <w:rPr>
          <w:rFonts w:hint="eastAsia" w:ascii="宋体" w:hAnsi="宋体" w:eastAsia="宋体" w:cs="宋体"/>
          <w:b/>
          <w:color w:val="000000" w:themeColor="text1"/>
          <w:sz w:val="28"/>
          <w:szCs w:val="28"/>
          <w:highlight w:val="none"/>
          <w14:textFill>
            <w14:solidFill>
              <w14:schemeClr w14:val="tx1"/>
            </w14:solidFill>
          </w14:textFill>
        </w:rPr>
        <w:t>附件九：供应商资格证明文件（部分）</w:t>
      </w:r>
      <w:bookmarkEnd w:id="136"/>
    </w:p>
    <w:p w14:paraId="4C8312EC">
      <w:pPr>
        <w:spacing w:line="540" w:lineRule="exact"/>
        <w:rPr>
          <w:rFonts w:ascii="宋体" w:hAnsi="宋体" w:eastAsia="宋体" w:cs="宋体"/>
          <w:b/>
          <w:color w:val="000000" w:themeColor="text1"/>
          <w:sz w:val="28"/>
          <w:szCs w:val="28"/>
          <w:highlight w:val="none"/>
          <w14:textFill>
            <w14:solidFill>
              <w14:schemeClr w14:val="tx1"/>
            </w14:solidFill>
          </w14:textFill>
        </w:rPr>
      </w:pPr>
    </w:p>
    <w:p w14:paraId="5B79D79A">
      <w:pPr>
        <w:spacing w:line="540" w:lineRule="exact"/>
        <w:jc w:val="center"/>
        <w:outlineLvl w:val="2"/>
        <w:rPr>
          <w:rFonts w:ascii="宋体" w:hAnsi="宋体" w:eastAsia="宋体" w:cs="宋体"/>
          <w:b/>
          <w:color w:val="000000" w:themeColor="text1"/>
          <w:sz w:val="28"/>
          <w:szCs w:val="28"/>
          <w:highlight w:val="none"/>
          <w14:textFill>
            <w14:solidFill>
              <w14:schemeClr w14:val="tx1"/>
            </w14:solidFill>
          </w14:textFill>
        </w:rPr>
      </w:pPr>
      <w:bookmarkStart w:id="137" w:name="_Toc9568"/>
      <w:r>
        <w:rPr>
          <w:rFonts w:hint="eastAsia" w:ascii="宋体" w:hAnsi="宋体" w:eastAsia="宋体" w:cs="宋体"/>
          <w:b/>
          <w:color w:val="000000" w:themeColor="text1"/>
          <w:sz w:val="28"/>
          <w:szCs w:val="28"/>
          <w:highlight w:val="none"/>
          <w14:textFill>
            <w14:solidFill>
              <w14:schemeClr w14:val="tx1"/>
            </w14:solidFill>
          </w14:textFill>
        </w:rPr>
        <w:t>格式1：供应商资信证明文件</w:t>
      </w:r>
      <w:bookmarkEnd w:id="137"/>
    </w:p>
    <w:p w14:paraId="6C51100D">
      <w:pPr>
        <w:spacing w:line="540" w:lineRule="exact"/>
        <w:rPr>
          <w:rFonts w:ascii="宋体" w:hAnsi="宋体" w:eastAsia="宋体" w:cs="宋体"/>
          <w:color w:val="000000" w:themeColor="text1"/>
          <w:kern w:val="0"/>
          <w:sz w:val="32"/>
          <w:szCs w:val="32"/>
          <w:highlight w:val="none"/>
          <w14:textFill>
            <w14:solidFill>
              <w14:schemeClr w14:val="tx1"/>
            </w14:solidFill>
          </w14:textFill>
        </w:rPr>
      </w:pPr>
    </w:p>
    <w:p w14:paraId="7CE1AC25">
      <w:pPr>
        <w:spacing w:line="540" w:lineRule="exact"/>
        <w:ind w:firstLine="616" w:firstLineChars="257"/>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供应商需提交</w:t>
      </w:r>
      <w:r>
        <w:rPr>
          <w:rFonts w:hint="eastAsia" w:ascii="宋体" w:hAnsi="宋体" w:eastAsia="宋体" w:cs="宋体"/>
          <w:color w:val="000000" w:themeColor="text1"/>
          <w:kern w:val="0"/>
          <w:sz w:val="24"/>
          <w:highlight w:val="none"/>
          <w:lang w:val="en-US" w:eastAsia="zh-CN"/>
          <w14:textFill>
            <w14:solidFill>
              <w14:schemeClr w14:val="tx1"/>
            </w14:solidFill>
          </w14:textFill>
        </w:rPr>
        <w:t>2023年或</w:t>
      </w:r>
      <w:r>
        <w:rPr>
          <w:rFonts w:hint="eastAsia" w:ascii="宋体" w:hAnsi="宋体" w:eastAsia="宋体" w:cs="宋体"/>
          <w:color w:val="000000" w:themeColor="text1"/>
          <w:kern w:val="0"/>
          <w:sz w:val="24"/>
          <w:highlight w:val="none"/>
          <w14:textFill>
            <w14:solidFill>
              <w14:schemeClr w14:val="tx1"/>
            </w14:solidFill>
          </w14:textFill>
        </w:rPr>
        <w:t>202</w:t>
      </w:r>
      <w:r>
        <w:rPr>
          <w:rFonts w:hint="eastAsia" w:ascii="宋体" w:hAnsi="宋体" w:eastAsia="宋体" w:cs="宋体"/>
          <w:color w:val="000000" w:themeColor="text1"/>
          <w:kern w:val="0"/>
          <w:sz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highlight w:val="none"/>
          <w14:textFill>
            <w14:solidFill>
              <w14:schemeClr w14:val="tx1"/>
            </w14:solidFill>
          </w14:textFill>
        </w:rPr>
        <w:t>年度</w:t>
      </w:r>
      <w:r>
        <w:rPr>
          <w:rFonts w:hint="eastAsia" w:ascii="宋体" w:hAnsi="宋体" w:eastAsia="宋体" w:cs="宋体"/>
          <w:color w:val="000000" w:themeColor="text1"/>
          <w:kern w:val="0"/>
          <w:sz w:val="24"/>
          <w:highlight w:val="none"/>
          <w:lang w:eastAsia="zh-CN"/>
          <w14:textFill>
            <w14:solidFill>
              <w14:schemeClr w14:val="tx1"/>
            </w14:solidFill>
          </w14:textFill>
        </w:rPr>
        <w:t>财务报表</w:t>
      </w:r>
      <w:r>
        <w:rPr>
          <w:rFonts w:hint="eastAsia" w:ascii="宋体" w:hAnsi="宋体" w:eastAsia="宋体" w:cs="宋体"/>
          <w:color w:val="000000" w:themeColor="text1"/>
          <w:kern w:val="0"/>
          <w:sz w:val="24"/>
          <w:highlight w:val="none"/>
          <w14:textFill>
            <w14:solidFill>
              <w14:schemeClr w14:val="tx1"/>
            </w14:solidFill>
          </w14:textFill>
        </w:rPr>
        <w:t>扫描件或银行出具的资信证明。</w:t>
      </w:r>
    </w:p>
    <w:p w14:paraId="7895F728">
      <w:pPr>
        <w:spacing w:line="540" w:lineRule="exact"/>
        <w:ind w:firstLine="616" w:firstLineChars="257"/>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说明：</w:t>
      </w:r>
    </w:p>
    <w:p w14:paraId="2C37B324">
      <w:pPr>
        <w:spacing w:line="540" w:lineRule="exact"/>
        <w:ind w:firstLine="616" w:firstLineChars="257"/>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w:t>
      </w:r>
      <w:r>
        <w:rPr>
          <w:rFonts w:hint="eastAsia" w:ascii="宋体" w:hAnsi="宋体" w:eastAsia="宋体" w:cs="宋体"/>
          <w:color w:val="000000" w:themeColor="text1"/>
          <w:kern w:val="0"/>
          <w:sz w:val="24"/>
          <w:highlight w:val="none"/>
          <w:lang w:val="en-US" w:eastAsia="zh-CN"/>
          <w14:textFill>
            <w14:solidFill>
              <w14:schemeClr w14:val="tx1"/>
            </w14:solidFill>
          </w14:textFill>
        </w:rPr>
        <w:t>2023年或</w:t>
      </w:r>
      <w:r>
        <w:rPr>
          <w:rFonts w:hint="eastAsia" w:ascii="宋体" w:hAnsi="宋体" w:eastAsia="宋体" w:cs="宋体"/>
          <w:color w:val="000000" w:themeColor="text1"/>
          <w:kern w:val="0"/>
          <w:sz w:val="24"/>
          <w:highlight w:val="none"/>
          <w14:textFill>
            <w14:solidFill>
              <w14:schemeClr w14:val="tx1"/>
            </w14:solidFill>
          </w14:textFill>
        </w:rPr>
        <w:t>202</w:t>
      </w:r>
      <w:r>
        <w:rPr>
          <w:rFonts w:hint="eastAsia" w:ascii="宋体" w:hAnsi="宋体" w:eastAsia="宋体" w:cs="宋体"/>
          <w:color w:val="000000" w:themeColor="text1"/>
          <w:kern w:val="0"/>
          <w:sz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highlight w:val="none"/>
          <w14:textFill>
            <w14:solidFill>
              <w14:schemeClr w14:val="tx1"/>
            </w14:solidFill>
          </w14:textFill>
        </w:rPr>
        <w:t>年度</w:t>
      </w:r>
      <w:r>
        <w:rPr>
          <w:rFonts w:hint="eastAsia" w:ascii="宋体" w:hAnsi="宋体" w:eastAsia="宋体" w:cs="宋体"/>
          <w:color w:val="000000" w:themeColor="text1"/>
          <w:kern w:val="0"/>
          <w:sz w:val="24"/>
          <w:highlight w:val="none"/>
          <w:lang w:eastAsia="zh-CN"/>
          <w14:textFill>
            <w14:solidFill>
              <w14:schemeClr w14:val="tx1"/>
            </w14:solidFill>
          </w14:textFill>
        </w:rPr>
        <w:t>财务报表</w:t>
      </w:r>
      <w:r>
        <w:rPr>
          <w:rFonts w:hint="eastAsia" w:ascii="宋体" w:hAnsi="宋体" w:eastAsia="宋体" w:cs="宋体"/>
          <w:color w:val="000000" w:themeColor="text1"/>
          <w:kern w:val="0"/>
          <w:sz w:val="24"/>
          <w:highlight w:val="none"/>
          <w14:textFill>
            <w14:solidFill>
              <w14:schemeClr w14:val="tx1"/>
            </w14:solidFill>
          </w14:textFill>
        </w:rPr>
        <w:t>扫描件需加盖本单位公章。</w:t>
      </w:r>
    </w:p>
    <w:p w14:paraId="6FE03E6C">
      <w:pPr>
        <w:spacing w:line="540" w:lineRule="exact"/>
        <w:ind w:firstLine="616" w:firstLineChars="257"/>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2、银行资信证明可提供原件，也可提供银行在开标日前三个月内开具资信证明的扫描件（若资信证明注明扫描件无效，需提交正本）。若提供的是扫描件，山东大学招标采购办公室保留审核原件的权利。</w:t>
      </w:r>
    </w:p>
    <w:p w14:paraId="08C7A6FB">
      <w:pPr>
        <w:spacing w:line="540" w:lineRule="exact"/>
        <w:ind w:firstLine="616" w:firstLineChars="257"/>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3、银行资信证明应能说明该供应商与银行之间业务往来正常，企业信誉良好等。银行出具的存款证明不能替代银行资信证明。</w:t>
      </w:r>
    </w:p>
    <w:p w14:paraId="6E5D9477">
      <w:pPr>
        <w:spacing w:line="480" w:lineRule="exact"/>
        <w:jc w:val="center"/>
        <w:outlineLvl w:val="2"/>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138" w:name="_Toc21057"/>
      <w:r>
        <w:rPr>
          <w:rFonts w:hint="eastAsia" w:ascii="宋体" w:hAnsi="宋体" w:eastAsia="宋体" w:cs="宋体"/>
          <w:b/>
          <w:bCs/>
          <w:color w:val="000000" w:themeColor="text1"/>
          <w:sz w:val="28"/>
          <w:szCs w:val="28"/>
          <w:highlight w:val="none"/>
          <w14:textFill>
            <w14:solidFill>
              <w14:schemeClr w14:val="tx1"/>
            </w14:solidFill>
          </w14:textFill>
        </w:rPr>
        <w:t>格式2：参加政府采购活动前3年内在经营活动中没有重大违法记录的书面声明</w:t>
      </w:r>
      <w:bookmarkEnd w:id="138"/>
    </w:p>
    <w:p w14:paraId="17159CA8">
      <w:pPr>
        <w:adjustRightInd w:val="0"/>
        <w:snapToGrid w:val="0"/>
        <w:spacing w:line="540" w:lineRule="exact"/>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山东大学：</w:t>
      </w:r>
    </w:p>
    <w:p w14:paraId="3327A396">
      <w:pPr>
        <w:adjustRightInd w:val="0"/>
        <w:snapToGrid w:val="0"/>
        <w:spacing w:line="540" w:lineRule="exact"/>
        <w:ind w:firstLine="480" w:firstLineChars="20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我公司在参加本次招标采购活动前三年内，在经营活动中没有重大违法记录，严格遵守国家有关法律、法规及相关政策。（重大违法记录是指，供应商因违法经营受到刑事处罚或者责令停产停业、吊销许可证或者执照、较大数额罚款等行政处罚）</w:t>
      </w:r>
    </w:p>
    <w:p w14:paraId="12BB8112">
      <w:pPr>
        <w:adjustRightInd w:val="0"/>
        <w:snapToGrid w:val="0"/>
        <w:spacing w:line="540" w:lineRule="exact"/>
        <w:jc w:val="left"/>
        <w:rPr>
          <w:rFonts w:ascii="宋体" w:hAnsi="宋体" w:eastAsia="宋体" w:cs="宋体"/>
          <w:color w:val="000000" w:themeColor="text1"/>
          <w:sz w:val="24"/>
          <w:highlight w:val="none"/>
          <w14:textFill>
            <w14:solidFill>
              <w14:schemeClr w14:val="tx1"/>
            </w14:solidFill>
          </w14:textFill>
        </w:rPr>
      </w:pPr>
    </w:p>
    <w:p w14:paraId="3E533F45">
      <w:pPr>
        <w:adjustRightInd w:val="0"/>
        <w:snapToGrid w:val="0"/>
        <w:spacing w:line="540" w:lineRule="exact"/>
        <w:ind w:firstLine="480" w:firstLineChars="20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特此声明。</w:t>
      </w:r>
    </w:p>
    <w:p w14:paraId="1AAF0898">
      <w:pPr>
        <w:spacing w:line="540" w:lineRule="exact"/>
        <w:ind w:right="187"/>
        <w:rPr>
          <w:rFonts w:ascii="宋体" w:hAnsi="宋体" w:eastAsia="宋体" w:cs="宋体"/>
          <w:bCs/>
          <w:color w:val="000000" w:themeColor="text1"/>
          <w:sz w:val="24"/>
          <w:highlight w:val="none"/>
          <w14:textFill>
            <w14:solidFill>
              <w14:schemeClr w14:val="tx1"/>
            </w14:solidFill>
          </w14:textFill>
        </w:rPr>
      </w:pPr>
    </w:p>
    <w:p w14:paraId="47E9707B">
      <w:pPr>
        <w:spacing w:line="420" w:lineRule="exact"/>
        <w:ind w:right="187"/>
        <w:rPr>
          <w:rFonts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供应商名称（公章）：</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618D008A">
      <w:pPr>
        <w:spacing w:line="420" w:lineRule="exact"/>
        <w:ind w:right="187"/>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法定代表人或授权代理人签字（或盖章）：</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w:t>
      </w:r>
    </w:p>
    <w:p w14:paraId="795A9083">
      <w:pPr>
        <w:spacing w:line="420" w:lineRule="exact"/>
        <w:ind w:firstLine="630" w:firstLineChars="30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年   月   日</w:t>
      </w:r>
    </w:p>
    <w:p w14:paraId="6DDB3AF5">
      <w:pPr>
        <w:spacing w:line="540" w:lineRule="exact"/>
        <w:ind w:right="187"/>
        <w:rPr>
          <w:rFonts w:ascii="宋体" w:hAnsi="宋体" w:eastAsia="宋体" w:cs="宋体"/>
          <w:bCs/>
          <w:color w:val="000000" w:themeColor="text1"/>
          <w:sz w:val="24"/>
          <w:highlight w:val="none"/>
          <w14:textFill>
            <w14:solidFill>
              <w14:schemeClr w14:val="tx1"/>
            </w14:solidFill>
          </w14:textFill>
        </w:rPr>
        <w:sectPr>
          <w:pgSz w:w="11905" w:h="16838"/>
          <w:pgMar w:top="1418" w:right="1418" w:bottom="1418" w:left="1418" w:header="851" w:footer="822" w:gutter="0"/>
          <w:pgNumType w:fmt="decimal"/>
          <w:cols w:space="720" w:num="1"/>
          <w:docGrid w:linePitch="290" w:charSpace="0"/>
        </w:sectPr>
      </w:pPr>
    </w:p>
    <w:p w14:paraId="5F6E4BE9">
      <w:pPr>
        <w:spacing w:line="480" w:lineRule="exact"/>
        <w:jc w:val="center"/>
        <w:outlineLvl w:val="2"/>
        <w:rPr>
          <w:rFonts w:ascii="宋体" w:hAnsi="宋体" w:eastAsia="宋体" w:cs="宋体"/>
          <w:b/>
          <w:color w:val="000000" w:themeColor="text1"/>
          <w:sz w:val="28"/>
          <w:szCs w:val="28"/>
          <w:highlight w:val="none"/>
          <w14:textFill>
            <w14:solidFill>
              <w14:schemeClr w14:val="tx1"/>
            </w14:solidFill>
          </w14:textFill>
        </w:rPr>
      </w:pPr>
      <w:bookmarkStart w:id="139" w:name="_Toc30324825"/>
      <w:bookmarkEnd w:id="139"/>
      <w:bookmarkStart w:id="140" w:name="_Toc5394"/>
      <w:r>
        <w:rPr>
          <w:rFonts w:hint="eastAsia" w:ascii="宋体" w:hAnsi="宋体" w:eastAsia="宋体" w:cs="宋体"/>
          <w:b/>
          <w:color w:val="000000" w:themeColor="text1"/>
          <w:sz w:val="28"/>
          <w:szCs w:val="28"/>
          <w:highlight w:val="none"/>
          <w14:textFill>
            <w14:solidFill>
              <w14:schemeClr w14:val="tx1"/>
            </w14:solidFill>
          </w14:textFill>
        </w:rPr>
        <w:t>格式3:</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b/>
          <w:color w:val="000000" w:themeColor="text1"/>
          <w:sz w:val="28"/>
          <w:szCs w:val="28"/>
          <w:highlight w:val="none"/>
          <w14:textFill>
            <w14:solidFill>
              <w14:schemeClr w14:val="tx1"/>
            </w14:solidFill>
          </w14:textFill>
        </w:rPr>
        <w:t>供应商依法缴纳税收和社会保障资金的证明材料</w:t>
      </w:r>
      <w:bookmarkEnd w:id="140"/>
    </w:p>
    <w:p w14:paraId="25632295">
      <w:pPr>
        <w:spacing w:line="480" w:lineRule="exact"/>
        <w:rPr>
          <w:rFonts w:ascii="宋体" w:hAnsi="宋体" w:eastAsia="宋体" w:cs="宋体"/>
          <w:color w:val="000000" w:themeColor="text1"/>
          <w:highlight w:val="none"/>
          <w14:textFill>
            <w14:solidFill>
              <w14:schemeClr w14:val="tx1"/>
            </w14:solidFill>
          </w14:textFill>
        </w:rPr>
      </w:pPr>
    </w:p>
    <w:p w14:paraId="6732680C">
      <w:pPr>
        <w:pStyle w:val="11"/>
        <w:tabs>
          <w:tab w:val="left" w:pos="0"/>
        </w:tabs>
        <w:spacing w:line="540" w:lineRule="exact"/>
        <w:ind w:left="143" w:leftChars="68" w:firstLine="482" w:firstLineChars="200"/>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附</w:t>
      </w:r>
      <w:r>
        <w:rPr>
          <w:rFonts w:hint="eastAsia" w:ascii="宋体" w:hAnsi="宋体" w:eastAsia="宋体" w:cs="宋体"/>
          <w:b/>
          <w:color w:val="000000" w:themeColor="text1"/>
          <w:sz w:val="24"/>
          <w:highlight w:val="none"/>
          <w:lang w:eastAsia="zh-CN"/>
          <w14:textFill>
            <w14:solidFill>
              <w14:schemeClr w14:val="tx1"/>
            </w14:solidFill>
          </w14:textFill>
        </w:rPr>
        <w:t>2024年10月</w:t>
      </w:r>
      <w:r>
        <w:rPr>
          <w:rFonts w:hint="eastAsia" w:ascii="宋体" w:hAnsi="宋体" w:eastAsia="宋体" w:cs="宋体"/>
          <w:b/>
          <w:color w:val="000000" w:themeColor="text1"/>
          <w:sz w:val="24"/>
          <w:highlight w:val="none"/>
          <w14:textFill>
            <w14:solidFill>
              <w14:schemeClr w14:val="tx1"/>
            </w14:solidFill>
          </w14:textFill>
        </w:rPr>
        <w:t>至今任意一个月</w:t>
      </w:r>
      <w:r>
        <w:rPr>
          <w:rFonts w:hint="eastAsia" w:ascii="宋体" w:hAnsi="宋体" w:eastAsia="宋体" w:cs="宋体"/>
          <w:b/>
          <w:bCs/>
          <w:color w:val="000000" w:themeColor="text1"/>
          <w:sz w:val="24"/>
          <w:highlight w:val="none"/>
          <w14:textFill>
            <w14:solidFill>
              <w14:schemeClr w14:val="tx1"/>
            </w14:solidFill>
          </w14:textFill>
        </w:rPr>
        <w:t>供应商依法缴纳税收和社会保障资金的证明材料或供应商认为其不属于依法缴纳税收/社保单位的书面声明文件及证明材料；</w:t>
      </w:r>
    </w:p>
    <w:p w14:paraId="13CE7DDD">
      <w:pPr>
        <w:pStyle w:val="11"/>
        <w:tabs>
          <w:tab w:val="left" w:pos="0"/>
        </w:tabs>
        <w:spacing w:line="540" w:lineRule="exact"/>
        <w:ind w:left="143" w:leftChars="68" w:firstLine="0" w:firstLineChars="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w:t>
      </w:r>
      <w:r>
        <w:rPr>
          <w:rFonts w:hint="eastAsia" w:ascii="宋体" w:hAnsi="宋体" w:eastAsia="宋体" w:cs="宋体"/>
          <w:b/>
          <w:color w:val="000000" w:themeColor="text1"/>
          <w:sz w:val="24"/>
          <w:highlight w:val="none"/>
          <w:lang w:eastAsia="zh-CN"/>
          <w14:textFill>
            <w14:solidFill>
              <w14:schemeClr w14:val="tx1"/>
            </w14:solidFill>
          </w14:textFill>
        </w:rPr>
        <w:t>2024年10月</w:t>
      </w:r>
      <w:r>
        <w:rPr>
          <w:rFonts w:hint="eastAsia" w:ascii="宋体" w:hAnsi="宋体" w:eastAsia="宋体" w:cs="宋体"/>
          <w:b/>
          <w:color w:val="000000" w:themeColor="text1"/>
          <w:sz w:val="24"/>
          <w:highlight w:val="none"/>
          <w14:textFill>
            <w14:solidFill>
              <w14:schemeClr w14:val="tx1"/>
            </w14:solidFill>
          </w14:textFill>
        </w:rPr>
        <w:t>至今任意一个月</w:t>
      </w:r>
      <w:r>
        <w:rPr>
          <w:rFonts w:hint="eastAsia" w:ascii="宋体" w:hAnsi="宋体" w:eastAsia="宋体" w:cs="宋体"/>
          <w:bCs/>
          <w:color w:val="000000" w:themeColor="text1"/>
          <w:sz w:val="24"/>
          <w:highlight w:val="none"/>
          <w14:textFill>
            <w14:solidFill>
              <w14:schemeClr w14:val="tx1"/>
            </w14:solidFill>
          </w14:textFill>
        </w:rPr>
        <w:t>供应商依法缴纳税收证明，例如税收完税证明、电子缴税付款凭证等；</w:t>
      </w:r>
    </w:p>
    <w:p w14:paraId="73BF312B">
      <w:pPr>
        <w:pStyle w:val="11"/>
        <w:tabs>
          <w:tab w:val="left" w:pos="0"/>
        </w:tabs>
        <w:spacing w:line="540" w:lineRule="exact"/>
        <w:ind w:left="143" w:leftChars="68" w:firstLine="0" w:firstLineChars="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w:t>
      </w:r>
      <w:r>
        <w:rPr>
          <w:rFonts w:hint="eastAsia" w:ascii="宋体" w:hAnsi="宋体" w:eastAsia="宋体" w:cs="宋体"/>
          <w:b/>
          <w:color w:val="000000" w:themeColor="text1"/>
          <w:sz w:val="24"/>
          <w:highlight w:val="none"/>
          <w:lang w:eastAsia="zh-CN"/>
          <w14:textFill>
            <w14:solidFill>
              <w14:schemeClr w14:val="tx1"/>
            </w14:solidFill>
          </w14:textFill>
        </w:rPr>
        <w:t>2024年10月</w:t>
      </w:r>
      <w:r>
        <w:rPr>
          <w:rFonts w:hint="eastAsia" w:ascii="宋体" w:hAnsi="宋体" w:eastAsia="宋体" w:cs="宋体"/>
          <w:b/>
          <w:color w:val="000000" w:themeColor="text1"/>
          <w:sz w:val="24"/>
          <w:highlight w:val="none"/>
          <w14:textFill>
            <w14:solidFill>
              <w14:schemeClr w14:val="tx1"/>
            </w14:solidFill>
          </w14:textFill>
        </w:rPr>
        <w:t>至今任意一个月</w:t>
      </w:r>
      <w:r>
        <w:rPr>
          <w:rFonts w:hint="eastAsia" w:ascii="宋体" w:hAnsi="宋体" w:eastAsia="宋体" w:cs="宋体"/>
          <w:bCs/>
          <w:color w:val="000000" w:themeColor="text1"/>
          <w:sz w:val="24"/>
          <w:highlight w:val="none"/>
          <w14:textFill>
            <w14:solidFill>
              <w14:schemeClr w14:val="tx1"/>
            </w14:solidFill>
          </w14:textFill>
        </w:rPr>
        <w:t>供应商依法缴纳社会保障金的证明材料，例如社会保险基金专用票据、社会保险个人权益记录单等；</w:t>
      </w:r>
    </w:p>
    <w:p w14:paraId="08CE2D12">
      <w:pPr>
        <w:pStyle w:val="11"/>
        <w:tabs>
          <w:tab w:val="left" w:pos="0"/>
        </w:tabs>
        <w:spacing w:line="540" w:lineRule="exact"/>
        <w:ind w:left="197" w:leftChars="47" w:hanging="98" w:hangingChars="41"/>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（3）供应商认为其不属于依法缴纳税收/社保单位的书面声明文件及证明材料。</w:t>
      </w:r>
    </w:p>
    <w:p w14:paraId="68A3B51F">
      <w:pPr>
        <w:pStyle w:val="11"/>
        <w:tabs>
          <w:tab w:val="left" w:pos="0"/>
        </w:tabs>
        <w:spacing w:line="540" w:lineRule="exact"/>
        <w:ind w:left="130" w:leftChars="15" w:hanging="99" w:hangingChars="41"/>
        <w:jc w:val="center"/>
        <w:outlineLvl w:val="2"/>
        <w:rPr>
          <w:rFonts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br w:type="page"/>
      </w:r>
      <w:bookmarkStart w:id="141" w:name="_Toc19122"/>
      <w:r>
        <w:rPr>
          <w:rFonts w:hint="eastAsia" w:ascii="宋体" w:hAnsi="宋体" w:eastAsia="宋体" w:cs="宋体"/>
          <w:b/>
          <w:color w:val="000000" w:themeColor="text1"/>
          <w:sz w:val="28"/>
          <w:szCs w:val="28"/>
          <w:highlight w:val="none"/>
          <w14:textFill>
            <w14:solidFill>
              <w14:schemeClr w14:val="tx1"/>
            </w14:solidFill>
          </w14:textFill>
        </w:rPr>
        <w:t>格式4：履行合同所必需的设备和专业技术能力的证明材料</w:t>
      </w:r>
      <w:bookmarkEnd w:id="141"/>
    </w:p>
    <w:p w14:paraId="6B685F32">
      <w:pPr>
        <w:pStyle w:val="11"/>
        <w:tabs>
          <w:tab w:val="left" w:pos="0"/>
        </w:tabs>
        <w:spacing w:line="540" w:lineRule="exact"/>
        <w:ind w:left="121" w:leftChars="11" w:hanging="98" w:hangingChars="41"/>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（如履行合同的设备、场地、技术人员等）。</w:t>
      </w:r>
    </w:p>
    <w:p w14:paraId="1E18E173">
      <w:pPr>
        <w:pStyle w:val="11"/>
        <w:tabs>
          <w:tab w:val="left" w:pos="0"/>
        </w:tabs>
        <w:spacing w:line="540" w:lineRule="exact"/>
        <w:ind w:left="143" w:leftChars="68" w:firstLine="120" w:firstLineChars="50"/>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证明材料参考格式：</w:t>
      </w:r>
    </w:p>
    <w:p w14:paraId="3B8DBBFD">
      <w:pPr>
        <w:pStyle w:val="31"/>
        <w:spacing w:line="420" w:lineRule="exact"/>
        <w:ind w:left="0" w:leftChars="0" w:firstLine="0" w:firstLineChars="0"/>
        <w:rPr>
          <w:rFonts w:ascii="宋体" w:hAnsi="宋体" w:eastAsia="宋体" w:cs="宋体"/>
          <w:color w:val="000000" w:themeColor="text1"/>
          <w:sz w:val="24"/>
          <w:highlight w:val="none"/>
          <w14:textFill>
            <w14:solidFill>
              <w14:schemeClr w14:val="tx1"/>
            </w14:solidFill>
          </w14:textFill>
        </w:rPr>
      </w:pPr>
    </w:p>
    <w:tbl>
      <w:tblPr>
        <w:tblStyle w:val="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2771"/>
        <w:gridCol w:w="2410"/>
        <w:gridCol w:w="1423"/>
        <w:gridCol w:w="1665"/>
      </w:tblGrid>
      <w:tr w14:paraId="6F7EA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9280" w:type="dxa"/>
            <w:gridSpan w:val="5"/>
          </w:tcPr>
          <w:p w14:paraId="4771B020">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履行合同所必需的设备</w:t>
            </w:r>
          </w:p>
        </w:tc>
      </w:tr>
      <w:tr w14:paraId="13170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011" w:type="dxa"/>
          </w:tcPr>
          <w:p w14:paraId="68B12B73">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2771" w:type="dxa"/>
          </w:tcPr>
          <w:p w14:paraId="6FDCC267">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设备名称</w:t>
            </w:r>
          </w:p>
        </w:tc>
        <w:tc>
          <w:tcPr>
            <w:tcW w:w="2410" w:type="dxa"/>
          </w:tcPr>
          <w:p w14:paraId="031ACB47">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规格型号</w:t>
            </w:r>
          </w:p>
        </w:tc>
        <w:tc>
          <w:tcPr>
            <w:tcW w:w="1423" w:type="dxa"/>
          </w:tcPr>
          <w:p w14:paraId="35F51EF6">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数量</w:t>
            </w:r>
          </w:p>
        </w:tc>
        <w:tc>
          <w:tcPr>
            <w:tcW w:w="1665" w:type="dxa"/>
          </w:tcPr>
          <w:p w14:paraId="17B197BE">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备注</w:t>
            </w:r>
          </w:p>
        </w:tc>
      </w:tr>
      <w:tr w14:paraId="59CE9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011" w:type="dxa"/>
          </w:tcPr>
          <w:p w14:paraId="764262C3">
            <w:pPr>
              <w:spacing w:line="420" w:lineRule="exact"/>
              <w:jc w:val="center"/>
              <w:rPr>
                <w:rFonts w:ascii="宋体" w:hAnsi="宋体" w:eastAsia="宋体" w:cs="宋体"/>
                <w:color w:val="000000" w:themeColor="text1"/>
                <w:sz w:val="24"/>
                <w:highlight w:val="none"/>
                <w14:textFill>
                  <w14:solidFill>
                    <w14:schemeClr w14:val="tx1"/>
                  </w14:solidFill>
                </w14:textFill>
              </w:rPr>
            </w:pPr>
          </w:p>
        </w:tc>
        <w:tc>
          <w:tcPr>
            <w:tcW w:w="2771" w:type="dxa"/>
          </w:tcPr>
          <w:p w14:paraId="6BD3D344">
            <w:pPr>
              <w:spacing w:line="420" w:lineRule="exact"/>
              <w:rPr>
                <w:rFonts w:ascii="宋体" w:hAnsi="宋体" w:eastAsia="宋体" w:cs="宋体"/>
                <w:color w:val="000000" w:themeColor="text1"/>
                <w:sz w:val="24"/>
                <w:highlight w:val="none"/>
                <w14:textFill>
                  <w14:solidFill>
                    <w14:schemeClr w14:val="tx1"/>
                  </w14:solidFill>
                </w14:textFill>
              </w:rPr>
            </w:pPr>
          </w:p>
        </w:tc>
        <w:tc>
          <w:tcPr>
            <w:tcW w:w="2410" w:type="dxa"/>
          </w:tcPr>
          <w:p w14:paraId="385CBE6E">
            <w:pPr>
              <w:spacing w:line="420" w:lineRule="exact"/>
              <w:rPr>
                <w:rFonts w:ascii="宋体" w:hAnsi="宋体" w:eastAsia="宋体" w:cs="宋体"/>
                <w:color w:val="000000" w:themeColor="text1"/>
                <w:sz w:val="24"/>
                <w:highlight w:val="none"/>
                <w14:textFill>
                  <w14:solidFill>
                    <w14:schemeClr w14:val="tx1"/>
                  </w14:solidFill>
                </w14:textFill>
              </w:rPr>
            </w:pPr>
          </w:p>
        </w:tc>
        <w:tc>
          <w:tcPr>
            <w:tcW w:w="1423" w:type="dxa"/>
          </w:tcPr>
          <w:p w14:paraId="59025CFF">
            <w:pPr>
              <w:spacing w:line="420" w:lineRule="exact"/>
              <w:rPr>
                <w:rFonts w:ascii="宋体" w:hAnsi="宋体" w:eastAsia="宋体" w:cs="宋体"/>
                <w:color w:val="000000" w:themeColor="text1"/>
                <w:sz w:val="24"/>
                <w:highlight w:val="none"/>
                <w14:textFill>
                  <w14:solidFill>
                    <w14:schemeClr w14:val="tx1"/>
                  </w14:solidFill>
                </w14:textFill>
              </w:rPr>
            </w:pPr>
          </w:p>
        </w:tc>
        <w:tc>
          <w:tcPr>
            <w:tcW w:w="1665" w:type="dxa"/>
          </w:tcPr>
          <w:p w14:paraId="4AB69713">
            <w:pPr>
              <w:spacing w:line="420" w:lineRule="exact"/>
              <w:rPr>
                <w:rFonts w:ascii="宋体" w:hAnsi="宋体" w:eastAsia="宋体" w:cs="宋体"/>
                <w:color w:val="000000" w:themeColor="text1"/>
                <w:sz w:val="24"/>
                <w:highlight w:val="none"/>
                <w14:textFill>
                  <w14:solidFill>
                    <w14:schemeClr w14:val="tx1"/>
                  </w14:solidFill>
                </w14:textFill>
              </w:rPr>
            </w:pPr>
          </w:p>
        </w:tc>
      </w:tr>
      <w:tr w14:paraId="2911B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011" w:type="dxa"/>
          </w:tcPr>
          <w:p w14:paraId="65AD31D9">
            <w:pPr>
              <w:spacing w:line="420" w:lineRule="exact"/>
              <w:jc w:val="center"/>
              <w:rPr>
                <w:rFonts w:ascii="宋体" w:hAnsi="宋体" w:eastAsia="宋体" w:cs="宋体"/>
                <w:color w:val="000000" w:themeColor="text1"/>
                <w:sz w:val="24"/>
                <w:highlight w:val="none"/>
                <w14:textFill>
                  <w14:solidFill>
                    <w14:schemeClr w14:val="tx1"/>
                  </w14:solidFill>
                </w14:textFill>
              </w:rPr>
            </w:pPr>
          </w:p>
        </w:tc>
        <w:tc>
          <w:tcPr>
            <w:tcW w:w="2771" w:type="dxa"/>
          </w:tcPr>
          <w:p w14:paraId="405E31F7">
            <w:pPr>
              <w:spacing w:line="420" w:lineRule="exact"/>
              <w:rPr>
                <w:rFonts w:ascii="宋体" w:hAnsi="宋体" w:eastAsia="宋体" w:cs="宋体"/>
                <w:color w:val="000000" w:themeColor="text1"/>
                <w:sz w:val="24"/>
                <w:highlight w:val="none"/>
                <w14:textFill>
                  <w14:solidFill>
                    <w14:schemeClr w14:val="tx1"/>
                  </w14:solidFill>
                </w14:textFill>
              </w:rPr>
            </w:pPr>
          </w:p>
        </w:tc>
        <w:tc>
          <w:tcPr>
            <w:tcW w:w="2410" w:type="dxa"/>
          </w:tcPr>
          <w:p w14:paraId="78AFAC4A">
            <w:pPr>
              <w:spacing w:line="420" w:lineRule="exact"/>
              <w:rPr>
                <w:rFonts w:ascii="宋体" w:hAnsi="宋体" w:eastAsia="宋体" w:cs="宋体"/>
                <w:color w:val="000000" w:themeColor="text1"/>
                <w:sz w:val="24"/>
                <w:highlight w:val="none"/>
                <w14:textFill>
                  <w14:solidFill>
                    <w14:schemeClr w14:val="tx1"/>
                  </w14:solidFill>
                </w14:textFill>
              </w:rPr>
            </w:pPr>
          </w:p>
        </w:tc>
        <w:tc>
          <w:tcPr>
            <w:tcW w:w="1423" w:type="dxa"/>
          </w:tcPr>
          <w:p w14:paraId="067191BE">
            <w:pPr>
              <w:spacing w:line="420" w:lineRule="exact"/>
              <w:rPr>
                <w:rFonts w:ascii="宋体" w:hAnsi="宋体" w:eastAsia="宋体" w:cs="宋体"/>
                <w:color w:val="000000" w:themeColor="text1"/>
                <w:sz w:val="24"/>
                <w:highlight w:val="none"/>
                <w14:textFill>
                  <w14:solidFill>
                    <w14:schemeClr w14:val="tx1"/>
                  </w14:solidFill>
                </w14:textFill>
              </w:rPr>
            </w:pPr>
          </w:p>
        </w:tc>
        <w:tc>
          <w:tcPr>
            <w:tcW w:w="1665" w:type="dxa"/>
          </w:tcPr>
          <w:p w14:paraId="4DF0C711">
            <w:pPr>
              <w:spacing w:line="420" w:lineRule="exact"/>
              <w:rPr>
                <w:rFonts w:ascii="宋体" w:hAnsi="宋体" w:eastAsia="宋体" w:cs="宋体"/>
                <w:color w:val="000000" w:themeColor="text1"/>
                <w:sz w:val="24"/>
                <w:highlight w:val="none"/>
                <w14:textFill>
                  <w14:solidFill>
                    <w14:schemeClr w14:val="tx1"/>
                  </w14:solidFill>
                </w14:textFill>
              </w:rPr>
            </w:pPr>
          </w:p>
        </w:tc>
      </w:tr>
      <w:tr w14:paraId="30C05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011" w:type="dxa"/>
          </w:tcPr>
          <w:p w14:paraId="27591146">
            <w:pPr>
              <w:spacing w:line="420" w:lineRule="exact"/>
              <w:jc w:val="center"/>
              <w:rPr>
                <w:rFonts w:ascii="宋体" w:hAnsi="宋体" w:eastAsia="宋体" w:cs="宋体"/>
                <w:color w:val="000000" w:themeColor="text1"/>
                <w:sz w:val="24"/>
                <w:highlight w:val="none"/>
                <w14:textFill>
                  <w14:solidFill>
                    <w14:schemeClr w14:val="tx1"/>
                  </w14:solidFill>
                </w14:textFill>
              </w:rPr>
            </w:pPr>
          </w:p>
        </w:tc>
        <w:tc>
          <w:tcPr>
            <w:tcW w:w="2771" w:type="dxa"/>
          </w:tcPr>
          <w:p w14:paraId="1EF86939">
            <w:pPr>
              <w:spacing w:line="420" w:lineRule="exact"/>
              <w:rPr>
                <w:rFonts w:ascii="宋体" w:hAnsi="宋体" w:eastAsia="宋体" w:cs="宋体"/>
                <w:color w:val="000000" w:themeColor="text1"/>
                <w:sz w:val="24"/>
                <w:highlight w:val="none"/>
                <w14:textFill>
                  <w14:solidFill>
                    <w14:schemeClr w14:val="tx1"/>
                  </w14:solidFill>
                </w14:textFill>
              </w:rPr>
            </w:pPr>
          </w:p>
        </w:tc>
        <w:tc>
          <w:tcPr>
            <w:tcW w:w="2410" w:type="dxa"/>
          </w:tcPr>
          <w:p w14:paraId="3AE96B6D">
            <w:pPr>
              <w:spacing w:line="420" w:lineRule="exact"/>
              <w:rPr>
                <w:rFonts w:ascii="宋体" w:hAnsi="宋体" w:eastAsia="宋体" w:cs="宋体"/>
                <w:color w:val="000000" w:themeColor="text1"/>
                <w:sz w:val="24"/>
                <w:highlight w:val="none"/>
                <w14:textFill>
                  <w14:solidFill>
                    <w14:schemeClr w14:val="tx1"/>
                  </w14:solidFill>
                </w14:textFill>
              </w:rPr>
            </w:pPr>
          </w:p>
        </w:tc>
        <w:tc>
          <w:tcPr>
            <w:tcW w:w="1423" w:type="dxa"/>
          </w:tcPr>
          <w:p w14:paraId="27CB0586">
            <w:pPr>
              <w:spacing w:line="420" w:lineRule="exact"/>
              <w:rPr>
                <w:rFonts w:ascii="宋体" w:hAnsi="宋体" w:eastAsia="宋体" w:cs="宋体"/>
                <w:color w:val="000000" w:themeColor="text1"/>
                <w:sz w:val="24"/>
                <w:highlight w:val="none"/>
                <w14:textFill>
                  <w14:solidFill>
                    <w14:schemeClr w14:val="tx1"/>
                  </w14:solidFill>
                </w14:textFill>
              </w:rPr>
            </w:pPr>
          </w:p>
        </w:tc>
        <w:tc>
          <w:tcPr>
            <w:tcW w:w="1665" w:type="dxa"/>
          </w:tcPr>
          <w:p w14:paraId="329F9FC0">
            <w:pPr>
              <w:spacing w:line="420" w:lineRule="exact"/>
              <w:rPr>
                <w:rFonts w:ascii="宋体" w:hAnsi="宋体" w:eastAsia="宋体" w:cs="宋体"/>
                <w:color w:val="000000" w:themeColor="text1"/>
                <w:sz w:val="24"/>
                <w:highlight w:val="none"/>
                <w14:textFill>
                  <w14:solidFill>
                    <w14:schemeClr w14:val="tx1"/>
                  </w14:solidFill>
                </w14:textFill>
              </w:rPr>
            </w:pPr>
          </w:p>
        </w:tc>
      </w:tr>
      <w:tr w14:paraId="0AB44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011" w:type="dxa"/>
          </w:tcPr>
          <w:p w14:paraId="5E42BBA8">
            <w:pPr>
              <w:spacing w:line="420" w:lineRule="exact"/>
              <w:jc w:val="center"/>
              <w:rPr>
                <w:rFonts w:ascii="宋体" w:hAnsi="宋体" w:eastAsia="宋体" w:cs="宋体"/>
                <w:color w:val="000000" w:themeColor="text1"/>
                <w:sz w:val="24"/>
                <w:highlight w:val="none"/>
                <w14:textFill>
                  <w14:solidFill>
                    <w14:schemeClr w14:val="tx1"/>
                  </w14:solidFill>
                </w14:textFill>
              </w:rPr>
            </w:pPr>
          </w:p>
        </w:tc>
        <w:tc>
          <w:tcPr>
            <w:tcW w:w="2771" w:type="dxa"/>
          </w:tcPr>
          <w:p w14:paraId="41260B3A">
            <w:pPr>
              <w:spacing w:line="420" w:lineRule="exact"/>
              <w:rPr>
                <w:rFonts w:ascii="宋体" w:hAnsi="宋体" w:eastAsia="宋体" w:cs="宋体"/>
                <w:color w:val="000000" w:themeColor="text1"/>
                <w:sz w:val="24"/>
                <w:highlight w:val="none"/>
                <w14:textFill>
                  <w14:solidFill>
                    <w14:schemeClr w14:val="tx1"/>
                  </w14:solidFill>
                </w14:textFill>
              </w:rPr>
            </w:pPr>
          </w:p>
        </w:tc>
        <w:tc>
          <w:tcPr>
            <w:tcW w:w="2410" w:type="dxa"/>
          </w:tcPr>
          <w:p w14:paraId="6B8978D3">
            <w:pPr>
              <w:spacing w:line="420" w:lineRule="exact"/>
              <w:rPr>
                <w:rFonts w:ascii="宋体" w:hAnsi="宋体" w:eastAsia="宋体" w:cs="宋体"/>
                <w:color w:val="000000" w:themeColor="text1"/>
                <w:sz w:val="24"/>
                <w:highlight w:val="none"/>
                <w14:textFill>
                  <w14:solidFill>
                    <w14:schemeClr w14:val="tx1"/>
                  </w14:solidFill>
                </w14:textFill>
              </w:rPr>
            </w:pPr>
          </w:p>
        </w:tc>
        <w:tc>
          <w:tcPr>
            <w:tcW w:w="1423" w:type="dxa"/>
          </w:tcPr>
          <w:p w14:paraId="13ED1ECE">
            <w:pPr>
              <w:spacing w:line="420" w:lineRule="exact"/>
              <w:rPr>
                <w:rFonts w:ascii="宋体" w:hAnsi="宋体" w:eastAsia="宋体" w:cs="宋体"/>
                <w:color w:val="000000" w:themeColor="text1"/>
                <w:sz w:val="24"/>
                <w:highlight w:val="none"/>
                <w14:textFill>
                  <w14:solidFill>
                    <w14:schemeClr w14:val="tx1"/>
                  </w14:solidFill>
                </w14:textFill>
              </w:rPr>
            </w:pPr>
          </w:p>
        </w:tc>
        <w:tc>
          <w:tcPr>
            <w:tcW w:w="1665" w:type="dxa"/>
          </w:tcPr>
          <w:p w14:paraId="0AC38AE6">
            <w:pPr>
              <w:spacing w:line="420" w:lineRule="exact"/>
              <w:rPr>
                <w:rFonts w:ascii="宋体" w:hAnsi="宋体" w:eastAsia="宋体" w:cs="宋体"/>
                <w:color w:val="000000" w:themeColor="text1"/>
                <w:sz w:val="24"/>
                <w:highlight w:val="none"/>
                <w14:textFill>
                  <w14:solidFill>
                    <w14:schemeClr w14:val="tx1"/>
                  </w14:solidFill>
                </w14:textFill>
              </w:rPr>
            </w:pPr>
          </w:p>
        </w:tc>
      </w:tr>
      <w:tr w14:paraId="5DDAC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9280" w:type="dxa"/>
            <w:gridSpan w:val="5"/>
          </w:tcPr>
          <w:p w14:paraId="4107A892">
            <w:pPr>
              <w:spacing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说明：如无设备，填写“无”。</w:t>
            </w:r>
          </w:p>
        </w:tc>
      </w:tr>
      <w:tr w14:paraId="1A1DE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9280" w:type="dxa"/>
            <w:gridSpan w:val="5"/>
          </w:tcPr>
          <w:p w14:paraId="2D225B86">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专业技术能力</w:t>
            </w:r>
          </w:p>
        </w:tc>
      </w:tr>
      <w:tr w14:paraId="5668E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1011" w:type="dxa"/>
          </w:tcPr>
          <w:p w14:paraId="0854EE5E">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2771" w:type="dxa"/>
          </w:tcPr>
          <w:p w14:paraId="3D4940E6">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技术人员姓名</w:t>
            </w:r>
          </w:p>
        </w:tc>
        <w:tc>
          <w:tcPr>
            <w:tcW w:w="2410" w:type="dxa"/>
          </w:tcPr>
          <w:p w14:paraId="3E4B8C99">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职称/岗位证书/学历证书</w:t>
            </w:r>
          </w:p>
        </w:tc>
        <w:tc>
          <w:tcPr>
            <w:tcW w:w="1423" w:type="dxa"/>
          </w:tcPr>
          <w:p w14:paraId="735DA9A3">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身份证号</w:t>
            </w:r>
          </w:p>
        </w:tc>
        <w:tc>
          <w:tcPr>
            <w:tcW w:w="1665" w:type="dxa"/>
          </w:tcPr>
          <w:p w14:paraId="6B41CD2B">
            <w:pPr>
              <w:spacing w:line="42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备注</w:t>
            </w:r>
          </w:p>
        </w:tc>
      </w:tr>
      <w:tr w14:paraId="0BF72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011" w:type="dxa"/>
          </w:tcPr>
          <w:p w14:paraId="1272AD7D">
            <w:pPr>
              <w:spacing w:line="420" w:lineRule="exact"/>
              <w:jc w:val="center"/>
              <w:rPr>
                <w:rFonts w:ascii="宋体" w:hAnsi="宋体" w:eastAsia="宋体" w:cs="宋体"/>
                <w:color w:val="000000" w:themeColor="text1"/>
                <w:sz w:val="24"/>
                <w:highlight w:val="none"/>
                <w14:textFill>
                  <w14:solidFill>
                    <w14:schemeClr w14:val="tx1"/>
                  </w14:solidFill>
                </w14:textFill>
              </w:rPr>
            </w:pPr>
          </w:p>
        </w:tc>
        <w:tc>
          <w:tcPr>
            <w:tcW w:w="2771" w:type="dxa"/>
          </w:tcPr>
          <w:p w14:paraId="54764B42">
            <w:pPr>
              <w:spacing w:line="420" w:lineRule="exact"/>
              <w:rPr>
                <w:rFonts w:ascii="宋体" w:hAnsi="宋体" w:eastAsia="宋体" w:cs="宋体"/>
                <w:color w:val="000000" w:themeColor="text1"/>
                <w:sz w:val="24"/>
                <w:highlight w:val="none"/>
                <w14:textFill>
                  <w14:solidFill>
                    <w14:schemeClr w14:val="tx1"/>
                  </w14:solidFill>
                </w14:textFill>
              </w:rPr>
            </w:pPr>
          </w:p>
        </w:tc>
        <w:tc>
          <w:tcPr>
            <w:tcW w:w="2410" w:type="dxa"/>
          </w:tcPr>
          <w:p w14:paraId="5931FB51">
            <w:pPr>
              <w:spacing w:line="420" w:lineRule="exact"/>
              <w:rPr>
                <w:rFonts w:ascii="宋体" w:hAnsi="宋体" w:eastAsia="宋体" w:cs="宋体"/>
                <w:color w:val="000000" w:themeColor="text1"/>
                <w:sz w:val="24"/>
                <w:highlight w:val="none"/>
                <w14:textFill>
                  <w14:solidFill>
                    <w14:schemeClr w14:val="tx1"/>
                  </w14:solidFill>
                </w14:textFill>
              </w:rPr>
            </w:pPr>
          </w:p>
        </w:tc>
        <w:tc>
          <w:tcPr>
            <w:tcW w:w="1423" w:type="dxa"/>
          </w:tcPr>
          <w:p w14:paraId="6D83322F">
            <w:pPr>
              <w:spacing w:line="420" w:lineRule="exact"/>
              <w:rPr>
                <w:rFonts w:ascii="宋体" w:hAnsi="宋体" w:eastAsia="宋体" w:cs="宋体"/>
                <w:color w:val="000000" w:themeColor="text1"/>
                <w:sz w:val="24"/>
                <w:highlight w:val="none"/>
                <w14:textFill>
                  <w14:solidFill>
                    <w14:schemeClr w14:val="tx1"/>
                  </w14:solidFill>
                </w14:textFill>
              </w:rPr>
            </w:pPr>
          </w:p>
        </w:tc>
        <w:tc>
          <w:tcPr>
            <w:tcW w:w="1665" w:type="dxa"/>
          </w:tcPr>
          <w:p w14:paraId="5D291428">
            <w:pPr>
              <w:spacing w:line="420" w:lineRule="exact"/>
              <w:rPr>
                <w:rFonts w:ascii="宋体" w:hAnsi="宋体" w:eastAsia="宋体" w:cs="宋体"/>
                <w:color w:val="000000" w:themeColor="text1"/>
                <w:sz w:val="24"/>
                <w:highlight w:val="none"/>
                <w14:textFill>
                  <w14:solidFill>
                    <w14:schemeClr w14:val="tx1"/>
                  </w14:solidFill>
                </w14:textFill>
              </w:rPr>
            </w:pPr>
          </w:p>
        </w:tc>
      </w:tr>
      <w:tr w14:paraId="1A46A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011" w:type="dxa"/>
          </w:tcPr>
          <w:p w14:paraId="24EDD8D2">
            <w:pPr>
              <w:spacing w:line="420" w:lineRule="exact"/>
              <w:jc w:val="center"/>
              <w:rPr>
                <w:rFonts w:ascii="宋体" w:hAnsi="宋体" w:eastAsia="宋体" w:cs="宋体"/>
                <w:color w:val="000000" w:themeColor="text1"/>
                <w:sz w:val="24"/>
                <w:highlight w:val="none"/>
                <w14:textFill>
                  <w14:solidFill>
                    <w14:schemeClr w14:val="tx1"/>
                  </w14:solidFill>
                </w14:textFill>
              </w:rPr>
            </w:pPr>
          </w:p>
        </w:tc>
        <w:tc>
          <w:tcPr>
            <w:tcW w:w="2771" w:type="dxa"/>
          </w:tcPr>
          <w:p w14:paraId="53A3AE41">
            <w:pPr>
              <w:spacing w:line="420" w:lineRule="exact"/>
              <w:rPr>
                <w:rFonts w:ascii="宋体" w:hAnsi="宋体" w:eastAsia="宋体" w:cs="宋体"/>
                <w:color w:val="000000" w:themeColor="text1"/>
                <w:sz w:val="24"/>
                <w:highlight w:val="none"/>
                <w14:textFill>
                  <w14:solidFill>
                    <w14:schemeClr w14:val="tx1"/>
                  </w14:solidFill>
                </w14:textFill>
              </w:rPr>
            </w:pPr>
          </w:p>
        </w:tc>
        <w:tc>
          <w:tcPr>
            <w:tcW w:w="2410" w:type="dxa"/>
          </w:tcPr>
          <w:p w14:paraId="4960D5C5">
            <w:pPr>
              <w:spacing w:line="420" w:lineRule="exact"/>
              <w:rPr>
                <w:rFonts w:ascii="宋体" w:hAnsi="宋体" w:eastAsia="宋体" w:cs="宋体"/>
                <w:color w:val="000000" w:themeColor="text1"/>
                <w:sz w:val="24"/>
                <w:highlight w:val="none"/>
                <w14:textFill>
                  <w14:solidFill>
                    <w14:schemeClr w14:val="tx1"/>
                  </w14:solidFill>
                </w14:textFill>
              </w:rPr>
            </w:pPr>
          </w:p>
        </w:tc>
        <w:tc>
          <w:tcPr>
            <w:tcW w:w="1423" w:type="dxa"/>
          </w:tcPr>
          <w:p w14:paraId="22F5BE76">
            <w:pPr>
              <w:spacing w:line="420" w:lineRule="exact"/>
              <w:rPr>
                <w:rFonts w:ascii="宋体" w:hAnsi="宋体" w:eastAsia="宋体" w:cs="宋体"/>
                <w:color w:val="000000" w:themeColor="text1"/>
                <w:sz w:val="24"/>
                <w:highlight w:val="none"/>
                <w14:textFill>
                  <w14:solidFill>
                    <w14:schemeClr w14:val="tx1"/>
                  </w14:solidFill>
                </w14:textFill>
              </w:rPr>
            </w:pPr>
          </w:p>
        </w:tc>
        <w:tc>
          <w:tcPr>
            <w:tcW w:w="1665" w:type="dxa"/>
          </w:tcPr>
          <w:p w14:paraId="48986AD1">
            <w:pPr>
              <w:spacing w:line="420" w:lineRule="exact"/>
              <w:rPr>
                <w:rFonts w:ascii="宋体" w:hAnsi="宋体" w:eastAsia="宋体" w:cs="宋体"/>
                <w:color w:val="000000" w:themeColor="text1"/>
                <w:sz w:val="24"/>
                <w:highlight w:val="none"/>
                <w14:textFill>
                  <w14:solidFill>
                    <w14:schemeClr w14:val="tx1"/>
                  </w14:solidFill>
                </w14:textFill>
              </w:rPr>
            </w:pPr>
          </w:p>
        </w:tc>
      </w:tr>
      <w:tr w14:paraId="47A92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011" w:type="dxa"/>
          </w:tcPr>
          <w:p w14:paraId="2343185D">
            <w:pPr>
              <w:spacing w:line="420" w:lineRule="exact"/>
              <w:jc w:val="center"/>
              <w:rPr>
                <w:rFonts w:ascii="宋体" w:hAnsi="宋体" w:eastAsia="宋体" w:cs="宋体"/>
                <w:color w:val="000000" w:themeColor="text1"/>
                <w:sz w:val="24"/>
                <w:highlight w:val="none"/>
                <w14:textFill>
                  <w14:solidFill>
                    <w14:schemeClr w14:val="tx1"/>
                  </w14:solidFill>
                </w14:textFill>
              </w:rPr>
            </w:pPr>
          </w:p>
        </w:tc>
        <w:tc>
          <w:tcPr>
            <w:tcW w:w="2771" w:type="dxa"/>
          </w:tcPr>
          <w:p w14:paraId="600A5C02">
            <w:pPr>
              <w:spacing w:line="420" w:lineRule="exact"/>
              <w:rPr>
                <w:rFonts w:ascii="宋体" w:hAnsi="宋体" w:eastAsia="宋体" w:cs="宋体"/>
                <w:color w:val="000000" w:themeColor="text1"/>
                <w:sz w:val="24"/>
                <w:highlight w:val="none"/>
                <w14:textFill>
                  <w14:solidFill>
                    <w14:schemeClr w14:val="tx1"/>
                  </w14:solidFill>
                </w14:textFill>
              </w:rPr>
            </w:pPr>
          </w:p>
        </w:tc>
        <w:tc>
          <w:tcPr>
            <w:tcW w:w="2410" w:type="dxa"/>
          </w:tcPr>
          <w:p w14:paraId="0878A9B9">
            <w:pPr>
              <w:spacing w:line="420" w:lineRule="exact"/>
              <w:rPr>
                <w:rFonts w:ascii="宋体" w:hAnsi="宋体" w:eastAsia="宋体" w:cs="宋体"/>
                <w:color w:val="000000" w:themeColor="text1"/>
                <w:sz w:val="24"/>
                <w:highlight w:val="none"/>
                <w14:textFill>
                  <w14:solidFill>
                    <w14:schemeClr w14:val="tx1"/>
                  </w14:solidFill>
                </w14:textFill>
              </w:rPr>
            </w:pPr>
          </w:p>
        </w:tc>
        <w:tc>
          <w:tcPr>
            <w:tcW w:w="1423" w:type="dxa"/>
          </w:tcPr>
          <w:p w14:paraId="1813CE64">
            <w:pPr>
              <w:spacing w:line="420" w:lineRule="exact"/>
              <w:rPr>
                <w:rFonts w:ascii="宋体" w:hAnsi="宋体" w:eastAsia="宋体" w:cs="宋体"/>
                <w:color w:val="000000" w:themeColor="text1"/>
                <w:sz w:val="24"/>
                <w:highlight w:val="none"/>
                <w14:textFill>
                  <w14:solidFill>
                    <w14:schemeClr w14:val="tx1"/>
                  </w14:solidFill>
                </w14:textFill>
              </w:rPr>
            </w:pPr>
          </w:p>
        </w:tc>
        <w:tc>
          <w:tcPr>
            <w:tcW w:w="1665" w:type="dxa"/>
          </w:tcPr>
          <w:p w14:paraId="4AE17DF0">
            <w:pPr>
              <w:spacing w:line="420" w:lineRule="exact"/>
              <w:rPr>
                <w:rFonts w:ascii="宋体" w:hAnsi="宋体" w:eastAsia="宋体" w:cs="宋体"/>
                <w:color w:val="000000" w:themeColor="text1"/>
                <w:sz w:val="24"/>
                <w:highlight w:val="none"/>
                <w14:textFill>
                  <w14:solidFill>
                    <w14:schemeClr w14:val="tx1"/>
                  </w14:solidFill>
                </w14:textFill>
              </w:rPr>
            </w:pPr>
          </w:p>
        </w:tc>
      </w:tr>
      <w:tr w14:paraId="324CC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011" w:type="dxa"/>
          </w:tcPr>
          <w:p w14:paraId="40804319">
            <w:pPr>
              <w:spacing w:line="420" w:lineRule="exact"/>
              <w:jc w:val="center"/>
              <w:rPr>
                <w:rFonts w:ascii="宋体" w:hAnsi="宋体" w:eastAsia="宋体" w:cs="宋体"/>
                <w:color w:val="000000" w:themeColor="text1"/>
                <w:sz w:val="24"/>
                <w:highlight w:val="none"/>
                <w14:textFill>
                  <w14:solidFill>
                    <w14:schemeClr w14:val="tx1"/>
                  </w14:solidFill>
                </w14:textFill>
              </w:rPr>
            </w:pPr>
          </w:p>
        </w:tc>
        <w:tc>
          <w:tcPr>
            <w:tcW w:w="2771" w:type="dxa"/>
          </w:tcPr>
          <w:p w14:paraId="139AE356">
            <w:pPr>
              <w:spacing w:line="420" w:lineRule="exact"/>
              <w:rPr>
                <w:rFonts w:ascii="宋体" w:hAnsi="宋体" w:eastAsia="宋体" w:cs="宋体"/>
                <w:color w:val="000000" w:themeColor="text1"/>
                <w:sz w:val="24"/>
                <w:highlight w:val="none"/>
                <w14:textFill>
                  <w14:solidFill>
                    <w14:schemeClr w14:val="tx1"/>
                  </w14:solidFill>
                </w14:textFill>
              </w:rPr>
            </w:pPr>
          </w:p>
        </w:tc>
        <w:tc>
          <w:tcPr>
            <w:tcW w:w="2410" w:type="dxa"/>
          </w:tcPr>
          <w:p w14:paraId="38101822">
            <w:pPr>
              <w:spacing w:line="420" w:lineRule="exact"/>
              <w:rPr>
                <w:rFonts w:ascii="宋体" w:hAnsi="宋体" w:eastAsia="宋体" w:cs="宋体"/>
                <w:color w:val="000000" w:themeColor="text1"/>
                <w:sz w:val="24"/>
                <w:highlight w:val="none"/>
                <w14:textFill>
                  <w14:solidFill>
                    <w14:schemeClr w14:val="tx1"/>
                  </w14:solidFill>
                </w14:textFill>
              </w:rPr>
            </w:pPr>
          </w:p>
        </w:tc>
        <w:tc>
          <w:tcPr>
            <w:tcW w:w="1423" w:type="dxa"/>
          </w:tcPr>
          <w:p w14:paraId="5C7AAB8A">
            <w:pPr>
              <w:spacing w:line="420" w:lineRule="exact"/>
              <w:rPr>
                <w:rFonts w:ascii="宋体" w:hAnsi="宋体" w:eastAsia="宋体" w:cs="宋体"/>
                <w:color w:val="000000" w:themeColor="text1"/>
                <w:sz w:val="24"/>
                <w:highlight w:val="none"/>
                <w14:textFill>
                  <w14:solidFill>
                    <w14:schemeClr w14:val="tx1"/>
                  </w14:solidFill>
                </w14:textFill>
              </w:rPr>
            </w:pPr>
          </w:p>
        </w:tc>
        <w:tc>
          <w:tcPr>
            <w:tcW w:w="1665" w:type="dxa"/>
          </w:tcPr>
          <w:p w14:paraId="6913A924">
            <w:pPr>
              <w:spacing w:line="420" w:lineRule="exact"/>
              <w:rPr>
                <w:rFonts w:ascii="宋体" w:hAnsi="宋体" w:eastAsia="宋体" w:cs="宋体"/>
                <w:color w:val="000000" w:themeColor="text1"/>
                <w:sz w:val="24"/>
                <w:highlight w:val="none"/>
                <w14:textFill>
                  <w14:solidFill>
                    <w14:schemeClr w14:val="tx1"/>
                  </w14:solidFill>
                </w14:textFill>
              </w:rPr>
            </w:pPr>
          </w:p>
        </w:tc>
      </w:tr>
      <w:tr w14:paraId="675A4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011" w:type="dxa"/>
          </w:tcPr>
          <w:p w14:paraId="47497A35">
            <w:pPr>
              <w:spacing w:line="420" w:lineRule="exact"/>
              <w:jc w:val="center"/>
              <w:rPr>
                <w:rFonts w:ascii="宋体" w:hAnsi="宋体" w:eastAsia="宋体" w:cs="宋体"/>
                <w:color w:val="000000" w:themeColor="text1"/>
                <w:sz w:val="24"/>
                <w:highlight w:val="none"/>
                <w14:textFill>
                  <w14:solidFill>
                    <w14:schemeClr w14:val="tx1"/>
                  </w14:solidFill>
                </w14:textFill>
              </w:rPr>
            </w:pPr>
          </w:p>
        </w:tc>
        <w:tc>
          <w:tcPr>
            <w:tcW w:w="2771" w:type="dxa"/>
          </w:tcPr>
          <w:p w14:paraId="68E21C57">
            <w:pPr>
              <w:spacing w:line="420" w:lineRule="exact"/>
              <w:rPr>
                <w:rFonts w:ascii="宋体" w:hAnsi="宋体" w:eastAsia="宋体" w:cs="宋体"/>
                <w:color w:val="000000" w:themeColor="text1"/>
                <w:sz w:val="24"/>
                <w:highlight w:val="none"/>
                <w14:textFill>
                  <w14:solidFill>
                    <w14:schemeClr w14:val="tx1"/>
                  </w14:solidFill>
                </w14:textFill>
              </w:rPr>
            </w:pPr>
          </w:p>
        </w:tc>
        <w:tc>
          <w:tcPr>
            <w:tcW w:w="2410" w:type="dxa"/>
          </w:tcPr>
          <w:p w14:paraId="456634AF">
            <w:pPr>
              <w:spacing w:line="420" w:lineRule="exact"/>
              <w:rPr>
                <w:rFonts w:ascii="宋体" w:hAnsi="宋体" w:eastAsia="宋体" w:cs="宋体"/>
                <w:color w:val="000000" w:themeColor="text1"/>
                <w:sz w:val="24"/>
                <w:highlight w:val="none"/>
                <w14:textFill>
                  <w14:solidFill>
                    <w14:schemeClr w14:val="tx1"/>
                  </w14:solidFill>
                </w14:textFill>
              </w:rPr>
            </w:pPr>
          </w:p>
        </w:tc>
        <w:tc>
          <w:tcPr>
            <w:tcW w:w="1423" w:type="dxa"/>
          </w:tcPr>
          <w:p w14:paraId="7CFFF9CF">
            <w:pPr>
              <w:spacing w:line="420" w:lineRule="exact"/>
              <w:rPr>
                <w:rFonts w:ascii="宋体" w:hAnsi="宋体" w:eastAsia="宋体" w:cs="宋体"/>
                <w:color w:val="000000" w:themeColor="text1"/>
                <w:sz w:val="24"/>
                <w:highlight w:val="none"/>
                <w14:textFill>
                  <w14:solidFill>
                    <w14:schemeClr w14:val="tx1"/>
                  </w14:solidFill>
                </w14:textFill>
              </w:rPr>
            </w:pPr>
          </w:p>
        </w:tc>
        <w:tc>
          <w:tcPr>
            <w:tcW w:w="1665" w:type="dxa"/>
          </w:tcPr>
          <w:p w14:paraId="031F6B0C">
            <w:pPr>
              <w:spacing w:line="420" w:lineRule="exact"/>
              <w:rPr>
                <w:rFonts w:ascii="宋体" w:hAnsi="宋体" w:eastAsia="宋体" w:cs="宋体"/>
                <w:color w:val="000000" w:themeColor="text1"/>
                <w:sz w:val="24"/>
                <w:highlight w:val="none"/>
                <w14:textFill>
                  <w14:solidFill>
                    <w14:schemeClr w14:val="tx1"/>
                  </w14:solidFill>
                </w14:textFill>
              </w:rPr>
            </w:pPr>
          </w:p>
        </w:tc>
      </w:tr>
    </w:tbl>
    <w:p w14:paraId="0E65A6E8">
      <w:pPr>
        <w:spacing w:line="480" w:lineRule="exact"/>
        <w:rPr>
          <w:rFonts w:ascii="宋体" w:hAnsi="宋体" w:eastAsia="宋体" w:cs="宋体"/>
          <w:color w:val="000000" w:themeColor="text1"/>
          <w:sz w:val="24"/>
          <w:szCs w:val="21"/>
          <w:highlight w:val="none"/>
          <w14:textFill>
            <w14:solidFill>
              <w14:schemeClr w14:val="tx1"/>
            </w14:solidFill>
          </w14:textFill>
        </w:rPr>
      </w:pPr>
    </w:p>
    <w:p w14:paraId="6CC0C8D4">
      <w:pPr>
        <w:spacing w:line="480" w:lineRule="exact"/>
        <w:rPr>
          <w:rFonts w:ascii="宋体" w:hAnsi="宋体" w:eastAsia="宋体" w:cs="宋体"/>
          <w:color w:val="000000" w:themeColor="text1"/>
          <w:sz w:val="24"/>
          <w:szCs w:val="21"/>
          <w:highlight w:val="none"/>
          <w14:textFill>
            <w14:solidFill>
              <w14:schemeClr w14:val="tx1"/>
            </w14:solidFill>
          </w14:textFill>
        </w:rPr>
      </w:pPr>
    </w:p>
    <w:p w14:paraId="3AE54FD9">
      <w:pPr>
        <w:spacing w:line="420" w:lineRule="exact"/>
        <w:ind w:right="187"/>
        <w:rPr>
          <w:rFonts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供应商名称（公章）：</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0A3501CA">
      <w:pPr>
        <w:spacing w:line="420" w:lineRule="exact"/>
        <w:ind w:right="187"/>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法定代表人或授权代理人签字（或盖章）：</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w:t>
      </w:r>
    </w:p>
    <w:p w14:paraId="2E926093">
      <w:pPr>
        <w:spacing w:line="420" w:lineRule="exact"/>
        <w:ind w:firstLine="630" w:firstLineChars="30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年   月   日</w:t>
      </w:r>
    </w:p>
    <w:p w14:paraId="408FB81A">
      <w:pPr>
        <w:pStyle w:val="136"/>
        <w:ind w:firstLine="0" w:firstLineChars="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649688F9">
      <w:pPr>
        <w:pStyle w:val="136"/>
        <w:ind w:firstLine="0" w:firstLineChars="0"/>
        <w:outlineLvl w:val="1"/>
        <w:rPr>
          <w:rFonts w:ascii="宋体" w:hAnsi="宋体" w:eastAsia="宋体" w:cs="宋体"/>
          <w:b/>
          <w:color w:val="000000" w:themeColor="text1"/>
          <w:sz w:val="28"/>
          <w:szCs w:val="28"/>
          <w:highlight w:val="none"/>
          <w14:textFill>
            <w14:solidFill>
              <w14:schemeClr w14:val="tx1"/>
            </w14:solidFill>
          </w14:textFill>
        </w:rPr>
      </w:pPr>
      <w:bookmarkStart w:id="142" w:name="_Toc24647"/>
      <w:r>
        <w:rPr>
          <w:rFonts w:hint="eastAsia" w:ascii="宋体" w:hAnsi="宋体" w:eastAsia="宋体" w:cs="宋体"/>
          <w:b/>
          <w:color w:val="000000" w:themeColor="text1"/>
          <w:sz w:val="28"/>
          <w:szCs w:val="28"/>
          <w:highlight w:val="none"/>
          <w14:textFill>
            <w14:solidFill>
              <w14:schemeClr w14:val="tx1"/>
            </w14:solidFill>
          </w14:textFill>
        </w:rPr>
        <w:t>附件十：电子投标文件封面格式</w:t>
      </w:r>
      <w:bookmarkEnd w:id="142"/>
    </w:p>
    <w:p w14:paraId="7E1195E4">
      <w:pPr>
        <w:pStyle w:val="136"/>
        <w:ind w:firstLine="0" w:firstLineChars="0"/>
        <w:rPr>
          <w:rFonts w:ascii="宋体" w:hAnsi="宋体" w:eastAsia="宋体" w:cs="宋体"/>
          <w:bCs/>
          <w:color w:val="000000" w:themeColor="text1"/>
          <w:sz w:val="24"/>
          <w:highlight w:val="none"/>
          <w14:textFill>
            <w14:solidFill>
              <w14:schemeClr w14:val="tx1"/>
            </w14:solidFill>
          </w14:textFill>
        </w:rPr>
      </w:pPr>
    </w:p>
    <w:p w14:paraId="03B03914">
      <w:pPr>
        <w:spacing w:after="240" w:afterLines="100"/>
        <w:jc w:val="center"/>
        <w:rPr>
          <w:rFonts w:ascii="宋体" w:hAnsi="宋体" w:eastAsia="宋体" w:cs="宋体"/>
          <w:b/>
          <w:color w:val="000000" w:themeColor="text1"/>
          <w:sz w:val="28"/>
          <w:szCs w:val="28"/>
          <w:highlight w:val="none"/>
          <w14:textFill>
            <w14:solidFill>
              <w14:schemeClr w14:val="tx1"/>
            </w14:solidFill>
          </w14:textFill>
        </w:rPr>
      </w:pPr>
    </w:p>
    <w:p w14:paraId="1A8A6173">
      <w:pPr>
        <w:spacing w:after="240" w:afterLines="100"/>
        <w:jc w:val="center"/>
        <w:rPr>
          <w:rFonts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封面格式</w:t>
      </w:r>
    </w:p>
    <w:tbl>
      <w:tblPr>
        <w:tblStyle w:val="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5"/>
      </w:tblGrid>
      <w:tr w14:paraId="68609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09" w:hRule="atLeast"/>
        </w:trPr>
        <w:tc>
          <w:tcPr>
            <w:tcW w:w="9285" w:type="dxa"/>
          </w:tcPr>
          <w:p w14:paraId="49C9408F">
            <w:pPr>
              <w:pStyle w:val="31"/>
              <w:spacing w:line="420" w:lineRule="exact"/>
              <w:ind w:left="0" w:leftChars="0" w:firstLine="0" w:firstLineChars="0"/>
              <w:jc w:val="left"/>
              <w:rPr>
                <w:rFonts w:ascii="宋体" w:hAnsi="宋体" w:eastAsia="宋体" w:cs="宋体"/>
                <w:color w:val="000000" w:themeColor="text1"/>
                <w:kern w:val="2"/>
                <w:sz w:val="24"/>
                <w:highlight w:val="none"/>
                <w14:textFill>
                  <w14:solidFill>
                    <w14:schemeClr w14:val="tx1"/>
                  </w14:solidFill>
                </w14:textFill>
              </w:rPr>
            </w:pPr>
          </w:p>
          <w:p w14:paraId="48BE883D">
            <w:pPr>
              <w:pStyle w:val="31"/>
              <w:spacing w:line="420" w:lineRule="exact"/>
              <w:ind w:left="0" w:leftChars="0" w:firstLine="0" w:firstLineChars="0"/>
              <w:jc w:val="center"/>
              <w:rPr>
                <w:rFonts w:ascii="宋体" w:hAnsi="宋体" w:eastAsia="宋体" w:cs="宋体"/>
                <w:b/>
                <w:color w:val="000000" w:themeColor="text1"/>
                <w:kern w:val="2"/>
                <w:sz w:val="30"/>
                <w:highlight w:val="none"/>
                <w14:textFill>
                  <w14:solidFill>
                    <w14:schemeClr w14:val="tx1"/>
                  </w14:solidFill>
                </w14:textFill>
              </w:rPr>
            </w:pPr>
            <w:r>
              <w:rPr>
                <w:rFonts w:hint="eastAsia" w:ascii="宋体" w:hAnsi="宋体" w:eastAsia="宋体" w:cs="宋体"/>
                <w:b/>
                <w:color w:val="000000" w:themeColor="text1"/>
                <w:kern w:val="2"/>
                <w:sz w:val="30"/>
                <w:highlight w:val="none"/>
                <w14:textFill>
                  <w14:solidFill>
                    <w14:schemeClr w14:val="tx1"/>
                  </w14:solidFill>
                </w14:textFill>
              </w:rPr>
              <w:t>投标文件</w:t>
            </w:r>
          </w:p>
          <w:p w14:paraId="507D6147">
            <w:pPr>
              <w:pStyle w:val="31"/>
              <w:spacing w:line="420" w:lineRule="exact"/>
              <w:ind w:left="0" w:leftChars="0" w:firstLine="0" w:firstLineChars="0"/>
              <w:jc w:val="left"/>
              <w:rPr>
                <w:rFonts w:ascii="宋体" w:hAnsi="宋体" w:eastAsia="宋体" w:cs="宋体"/>
                <w:color w:val="000000" w:themeColor="text1"/>
                <w:kern w:val="2"/>
                <w:sz w:val="18"/>
                <w:highlight w:val="none"/>
                <w14:textFill>
                  <w14:solidFill>
                    <w14:schemeClr w14:val="tx1"/>
                  </w14:solidFill>
                </w14:textFill>
              </w:rPr>
            </w:pPr>
          </w:p>
          <w:p w14:paraId="7509C7D1">
            <w:pPr>
              <w:pStyle w:val="31"/>
              <w:spacing w:line="480" w:lineRule="auto"/>
              <w:ind w:left="0" w:leftChars="0" w:firstLine="0" w:firstLineChars="0"/>
              <w:jc w:val="left"/>
              <w:rPr>
                <w:rFonts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项目编号：</w:t>
            </w:r>
          </w:p>
          <w:p w14:paraId="134393C4">
            <w:pPr>
              <w:pStyle w:val="31"/>
              <w:spacing w:line="480" w:lineRule="auto"/>
              <w:ind w:left="0" w:leftChars="0" w:firstLine="0" w:firstLineChars="0"/>
              <w:jc w:val="left"/>
              <w:rPr>
                <w:rFonts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项目名称：</w:t>
            </w:r>
          </w:p>
          <w:p w14:paraId="22887CFA">
            <w:pPr>
              <w:pStyle w:val="31"/>
              <w:spacing w:line="480" w:lineRule="auto"/>
              <w:ind w:left="0" w:leftChars="0" w:firstLine="0" w:firstLineChars="0"/>
              <w:jc w:val="left"/>
              <w:rPr>
                <w:rFonts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供应商名称（公章）：</w:t>
            </w:r>
          </w:p>
          <w:p w14:paraId="692F5431">
            <w:pPr>
              <w:pStyle w:val="31"/>
              <w:spacing w:line="480" w:lineRule="auto"/>
              <w:ind w:left="0" w:leftChars="0" w:firstLine="0" w:firstLineChars="0"/>
              <w:jc w:val="left"/>
              <w:rPr>
                <w:rFonts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地址：</w:t>
            </w:r>
          </w:p>
          <w:p w14:paraId="57BDBFAE">
            <w:pPr>
              <w:pStyle w:val="31"/>
              <w:spacing w:line="480" w:lineRule="auto"/>
              <w:ind w:left="0" w:leftChars="0" w:firstLine="0" w:firstLineChars="0"/>
              <w:jc w:val="left"/>
              <w:rPr>
                <w:rFonts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电话：</w:t>
            </w:r>
          </w:p>
          <w:p w14:paraId="256F54EC">
            <w:pPr>
              <w:pStyle w:val="31"/>
              <w:spacing w:line="480" w:lineRule="auto"/>
              <w:ind w:left="0" w:leftChars="0" w:firstLine="0" w:firstLineChars="0"/>
              <w:jc w:val="left"/>
              <w:rPr>
                <w:rFonts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传真：</w:t>
            </w:r>
          </w:p>
          <w:p w14:paraId="3B19ABFD">
            <w:pPr>
              <w:pStyle w:val="31"/>
              <w:spacing w:line="480" w:lineRule="auto"/>
              <w:ind w:left="0" w:leftChars="0" w:firstLine="0" w:firstLineChars="0"/>
              <w:jc w:val="left"/>
              <w:rPr>
                <w:rFonts w:ascii="宋体" w:hAnsi="宋体" w:eastAsia="宋体" w:cs="宋体"/>
                <w:color w:val="000000" w:themeColor="text1"/>
                <w:kern w:val="2"/>
                <w:sz w:val="24"/>
                <w:highlight w:val="none"/>
                <w14:textFill>
                  <w14:solidFill>
                    <w14:schemeClr w14:val="tx1"/>
                  </w14:solidFill>
                </w14:textFill>
              </w:rPr>
            </w:pPr>
            <w:r>
              <w:rPr>
                <w:rFonts w:hint="eastAsia" w:ascii="宋体" w:hAnsi="宋体" w:eastAsia="宋体" w:cs="宋体"/>
                <w:color w:val="000000" w:themeColor="text1"/>
                <w:kern w:val="2"/>
                <w:sz w:val="24"/>
                <w:highlight w:val="none"/>
                <w14:textFill>
                  <w14:solidFill>
                    <w14:schemeClr w14:val="tx1"/>
                  </w14:solidFill>
                </w14:textFill>
              </w:rPr>
              <w:t>邮编：</w:t>
            </w:r>
          </w:p>
          <w:p w14:paraId="62E7E2F9">
            <w:pPr>
              <w:pStyle w:val="31"/>
              <w:spacing w:line="420" w:lineRule="exact"/>
              <w:ind w:left="0" w:leftChars="0" w:firstLine="0" w:firstLineChars="0"/>
              <w:jc w:val="left"/>
              <w:rPr>
                <w:rFonts w:ascii="宋体" w:hAnsi="宋体" w:eastAsia="宋体" w:cs="宋体"/>
                <w:color w:val="000000" w:themeColor="text1"/>
                <w:kern w:val="2"/>
                <w:sz w:val="24"/>
                <w:highlight w:val="none"/>
                <w14:textFill>
                  <w14:solidFill>
                    <w14:schemeClr w14:val="tx1"/>
                  </w14:solidFill>
                </w14:textFill>
              </w:rPr>
            </w:pPr>
          </w:p>
          <w:p w14:paraId="74FB5108">
            <w:pPr>
              <w:pStyle w:val="31"/>
              <w:spacing w:line="420" w:lineRule="exact"/>
              <w:ind w:left="0" w:leftChars="0" w:firstLine="0" w:firstLineChars="0"/>
              <w:jc w:val="left"/>
              <w:rPr>
                <w:rFonts w:ascii="宋体" w:hAnsi="宋体" w:eastAsia="宋体" w:cs="宋体"/>
                <w:color w:val="000000" w:themeColor="text1"/>
                <w:kern w:val="2"/>
                <w:sz w:val="24"/>
                <w:highlight w:val="none"/>
                <w14:textFill>
                  <w14:solidFill>
                    <w14:schemeClr w14:val="tx1"/>
                  </w14:solidFill>
                </w14:textFill>
              </w:rPr>
            </w:pPr>
          </w:p>
        </w:tc>
      </w:tr>
    </w:tbl>
    <w:p w14:paraId="5BFF99F5">
      <w:pPr>
        <w:pStyle w:val="31"/>
        <w:spacing w:line="240" w:lineRule="auto"/>
        <w:ind w:left="1747" w:firstLine="392"/>
        <w:rPr>
          <w:rFonts w:ascii="宋体" w:hAnsi="宋体" w:eastAsia="宋体" w:cs="宋体"/>
          <w:color w:val="000000" w:themeColor="text1"/>
          <w:highlight w:val="none"/>
          <w14:textFill>
            <w14:solidFill>
              <w14:schemeClr w14:val="tx1"/>
            </w14:solidFill>
          </w14:textFill>
        </w:rPr>
      </w:pPr>
    </w:p>
    <w:p w14:paraId="77C2338D">
      <w:pPr>
        <w:pStyle w:val="31"/>
        <w:spacing w:line="240" w:lineRule="auto"/>
        <w:ind w:left="1747" w:firstLine="392"/>
        <w:rPr>
          <w:rFonts w:ascii="宋体" w:hAnsi="宋体" w:eastAsia="宋体" w:cs="宋体"/>
          <w:color w:val="000000" w:themeColor="text1"/>
          <w:highlight w:val="none"/>
          <w14:textFill>
            <w14:solidFill>
              <w14:schemeClr w14:val="tx1"/>
            </w14:solidFill>
          </w14:textFill>
        </w:rPr>
      </w:pPr>
    </w:p>
    <w:p w14:paraId="7040A979">
      <w:pPr>
        <w:pStyle w:val="30"/>
        <w:spacing w:after="0"/>
        <w:rPr>
          <w:rFonts w:ascii="宋体" w:hAnsi="宋体" w:eastAsia="宋体" w:cs="宋体"/>
          <w:color w:val="000000" w:themeColor="text1"/>
          <w:highlight w:val="none"/>
          <w14:textFill>
            <w14:solidFill>
              <w14:schemeClr w14:val="tx1"/>
            </w14:solidFill>
          </w14:textFill>
        </w:rPr>
      </w:pPr>
    </w:p>
    <w:sectPr>
      <w:headerReference r:id="rId11" w:type="default"/>
      <w:pgSz w:w="11905" w:h="16838"/>
      <w:pgMar w:top="1418" w:right="1418" w:bottom="1418" w:left="1418" w:header="851" w:footer="822" w:gutter="0"/>
      <w:pgNumType w:fmt="decimal"/>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TimesNewRomanPSMT">
    <w:altName w:val="Times New Roman"/>
    <w:panose1 w:val="00000000000000000000"/>
    <w:charset w:val="00"/>
    <w:family w:val="roman"/>
    <w:pitch w:val="default"/>
    <w:sig w:usb0="00000000" w:usb1="00000000" w:usb2="00000010"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等线">
    <w:altName w:val="微软雅黑"/>
    <w:panose1 w:val="00000000000000000000"/>
    <w:charset w:val="00"/>
    <w:family w:val="auto"/>
    <w:pitch w:val="default"/>
    <w:sig w:usb0="00000000" w:usb1="00000000" w:usb2="00000000" w:usb3="00000000" w:csb0="0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73D17">
    <w:pPr>
      <w:pStyle w:val="4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FD543">
    <w:pPr>
      <w:pStyle w:val="48"/>
      <w:framePr w:wrap="around" w:vAnchor="text" w:hAnchor="margin" w:xAlign="center" w:y="1"/>
      <w:rPr>
        <w:rStyle w:val="121"/>
      </w:rPr>
    </w:pPr>
    <w:r>
      <w:fldChar w:fldCharType="begin"/>
    </w:r>
    <w:r>
      <w:rPr>
        <w:rStyle w:val="121"/>
      </w:rPr>
      <w:instrText xml:space="preserve">PAGE  </w:instrText>
    </w:r>
    <w:r>
      <w:fldChar w:fldCharType="end"/>
    </w:r>
  </w:p>
  <w:p w14:paraId="20E55D02">
    <w:pPr>
      <w:pStyle w:val="4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0DC12">
    <w:pPr>
      <w:pStyle w:val="48"/>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C34F85">
                          <w:pPr>
                            <w:pStyle w:val="4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BC34F85">
                    <w:pPr>
                      <w:pStyle w:val="4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8EF71">
    <w:pPr>
      <w:pStyle w:val="48"/>
      <w:framePr w:wrap="around" w:vAnchor="text" w:hAnchor="margin" w:xAlign="center" w:y="1"/>
      <w:rPr>
        <w:rStyle w:val="121"/>
      </w:rPr>
    </w:pPr>
    <w:r>
      <w:rPr>
        <w:rStyle w:val="121"/>
      </w:rPr>
      <w:fldChar w:fldCharType="begin"/>
    </w:r>
    <w:r>
      <w:rPr>
        <w:rStyle w:val="121"/>
      </w:rPr>
      <w:instrText xml:space="preserve">PAGE  </w:instrText>
    </w:r>
    <w:r>
      <w:rPr>
        <w:rStyle w:val="121"/>
      </w:rPr>
      <w:fldChar w:fldCharType="separate"/>
    </w:r>
    <w:r>
      <w:rPr>
        <w:rStyle w:val="121"/>
      </w:rPr>
      <w:t>1</w:t>
    </w:r>
    <w:r>
      <w:rPr>
        <w:rStyle w:val="121"/>
      </w:rPr>
      <w:fldChar w:fldCharType="end"/>
    </w:r>
  </w:p>
  <w:p w14:paraId="39DC9B03">
    <w:pPr>
      <w:pStyle w:val="4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587A7">
    <w:pPr>
      <w:pStyle w:val="48"/>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BC0CE7">
                          <w:pPr>
                            <w:pStyle w:val="4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4BC0CE7">
                    <w:pPr>
                      <w:pStyle w:val="4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EDA42">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1E238">
    <w:pPr>
      <w:pStyle w:val="50"/>
      <w:jc w:val="right"/>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F22E0">
    <w:pPr>
      <w:jc w:val="right"/>
      <w:rPr>
        <w:color w:val="FF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E0E5B">
    <w:pPr>
      <w:pStyle w:val="50"/>
      <w:rPr>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1"/>
      <w:numFmt w:val="chineseCounting"/>
      <w:suff w:val="space"/>
      <w:lvlText w:val="第%1条"/>
      <w:lvlJc w:val="left"/>
      <w:rPr>
        <w:rFonts w:hint="eastAsia"/>
        <w:b/>
      </w:rPr>
    </w:lvl>
  </w:abstractNum>
  <w:abstractNum w:abstractNumId="1">
    <w:nsid w:val="1C117352"/>
    <w:multiLevelType w:val="multilevel"/>
    <w:tmpl w:val="1C117352"/>
    <w:lvl w:ilvl="0" w:tentative="0">
      <w:start w:val="1"/>
      <w:numFmt w:val="upperLetter"/>
      <w:lvlText w:val="%1．"/>
      <w:lvlJc w:val="left"/>
      <w:pPr>
        <w:tabs>
          <w:tab w:val="left" w:pos="360"/>
        </w:tabs>
        <w:ind w:left="360" w:hanging="360"/>
      </w:pPr>
    </w:lvl>
    <w:lvl w:ilvl="1" w:tentative="0">
      <w:start w:val="1"/>
      <w:numFmt w:val="decimal"/>
      <w:pStyle w:val="254"/>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29F5DE5"/>
    <w:multiLevelType w:val="multilevel"/>
    <w:tmpl w:val="229F5DE5"/>
    <w:lvl w:ilvl="0" w:tentative="0">
      <w:start w:val="3"/>
      <w:numFmt w:val="decimal"/>
      <w:pStyle w:val="42"/>
      <w:lvlText w:val="%1．"/>
      <w:lvlJc w:val="left"/>
      <w:pPr>
        <w:tabs>
          <w:tab w:val="left" w:pos="360"/>
        </w:tabs>
        <w:ind w:left="360" w:hanging="360"/>
      </w:pPr>
      <w:rPr>
        <w:rFonts w:hint="default" w:cs="Times New Roman"/>
      </w:rPr>
    </w:lvl>
    <w:lvl w:ilvl="1" w:tentative="0">
      <w:start w:val="1"/>
      <w:numFmt w:val="lowerLetter"/>
      <w:pStyle w:val="283"/>
      <w:lvlText w:val="%2)"/>
      <w:lvlJc w:val="left"/>
      <w:pPr>
        <w:tabs>
          <w:tab w:val="left" w:pos="840"/>
        </w:tabs>
        <w:ind w:left="840" w:hanging="420"/>
      </w:pPr>
      <w:rPr>
        <w:rFonts w:cs="Times New Roman"/>
      </w:rPr>
    </w:lvl>
    <w:lvl w:ilvl="2" w:tentative="0">
      <w:start w:val="1"/>
      <w:numFmt w:val="lowerRoman"/>
      <w:pStyle w:val="227"/>
      <w:lvlText w:val="%3."/>
      <w:lvlJc w:val="right"/>
      <w:pPr>
        <w:tabs>
          <w:tab w:val="left" w:pos="1260"/>
        </w:tabs>
        <w:ind w:left="1260" w:hanging="420"/>
      </w:pPr>
      <w:rPr>
        <w:rFonts w:cs="Times New Roman"/>
      </w:rPr>
    </w:lvl>
    <w:lvl w:ilvl="3" w:tentative="0">
      <w:start w:val="1"/>
      <w:numFmt w:val="decimal"/>
      <w:pStyle w:val="222"/>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pStyle w:val="280"/>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6338432C"/>
    <w:multiLevelType w:val="singleLevel"/>
    <w:tmpl w:val="6338432C"/>
    <w:lvl w:ilvl="0" w:tentative="0">
      <w:start w:val="1"/>
      <w:numFmt w:val="decimal"/>
      <w:suff w:val="nothing"/>
      <w:lvlText w:val="（%1）"/>
      <w:lvlJc w:val="left"/>
    </w:lvl>
  </w:abstractNum>
  <w:abstractNum w:abstractNumId="4">
    <w:nsid w:val="790C0378"/>
    <w:multiLevelType w:val="multilevel"/>
    <w:tmpl w:val="790C0378"/>
    <w:lvl w:ilvl="0" w:tentative="0">
      <w:start w:val="1"/>
      <w:numFmt w:val="decimal"/>
      <w:lvlText w:val="%1、"/>
      <w:lvlJc w:val="left"/>
      <w:pPr>
        <w:ind w:left="1293" w:hanging="720"/>
      </w:pPr>
      <w:rPr>
        <w:rFonts w:hint="default"/>
      </w:rPr>
    </w:lvl>
    <w:lvl w:ilvl="1" w:tentative="0">
      <w:start w:val="1"/>
      <w:numFmt w:val="lowerLetter"/>
      <w:lvlText w:val="%2)"/>
      <w:lvlJc w:val="left"/>
      <w:pPr>
        <w:ind w:left="1413" w:hanging="420"/>
      </w:pPr>
    </w:lvl>
    <w:lvl w:ilvl="2" w:tentative="0">
      <w:start w:val="1"/>
      <w:numFmt w:val="lowerRoman"/>
      <w:lvlText w:val="%3."/>
      <w:lvlJc w:val="right"/>
      <w:pPr>
        <w:ind w:left="1833" w:hanging="420"/>
      </w:pPr>
    </w:lvl>
    <w:lvl w:ilvl="3" w:tentative="0">
      <w:start w:val="1"/>
      <w:numFmt w:val="decimal"/>
      <w:lvlText w:val="%4."/>
      <w:lvlJc w:val="left"/>
      <w:pPr>
        <w:ind w:left="2253" w:hanging="420"/>
      </w:pPr>
    </w:lvl>
    <w:lvl w:ilvl="4" w:tentative="0">
      <w:start w:val="1"/>
      <w:numFmt w:val="lowerLetter"/>
      <w:lvlText w:val="%5)"/>
      <w:lvlJc w:val="left"/>
      <w:pPr>
        <w:ind w:left="2673" w:hanging="420"/>
      </w:pPr>
    </w:lvl>
    <w:lvl w:ilvl="5" w:tentative="0">
      <w:start w:val="1"/>
      <w:numFmt w:val="lowerRoman"/>
      <w:lvlText w:val="%6."/>
      <w:lvlJc w:val="right"/>
      <w:pPr>
        <w:ind w:left="3093" w:hanging="420"/>
      </w:pPr>
    </w:lvl>
    <w:lvl w:ilvl="6" w:tentative="0">
      <w:start w:val="1"/>
      <w:numFmt w:val="decimal"/>
      <w:lvlText w:val="%7."/>
      <w:lvlJc w:val="left"/>
      <w:pPr>
        <w:ind w:left="3513" w:hanging="420"/>
      </w:pPr>
    </w:lvl>
    <w:lvl w:ilvl="7" w:tentative="0">
      <w:start w:val="1"/>
      <w:numFmt w:val="lowerLetter"/>
      <w:lvlText w:val="%8)"/>
      <w:lvlJc w:val="left"/>
      <w:pPr>
        <w:ind w:left="3933" w:hanging="420"/>
      </w:pPr>
    </w:lvl>
    <w:lvl w:ilvl="8" w:tentative="0">
      <w:start w:val="1"/>
      <w:numFmt w:val="lowerRoman"/>
      <w:lvlText w:val="%9."/>
      <w:lvlJc w:val="right"/>
      <w:pPr>
        <w:ind w:left="4353" w:hanging="42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BmMzc0MTM4NjJhMmUzY2JiNzliNTRlNzc5MmI0OWYifQ=="/>
  </w:docVars>
  <w:rsids>
    <w:rsidRoot w:val="00B9162F"/>
    <w:rsid w:val="000000FD"/>
    <w:rsid w:val="00000969"/>
    <w:rsid w:val="000009EA"/>
    <w:rsid w:val="00002344"/>
    <w:rsid w:val="00002350"/>
    <w:rsid w:val="000027CE"/>
    <w:rsid w:val="0000332C"/>
    <w:rsid w:val="00003971"/>
    <w:rsid w:val="00003A16"/>
    <w:rsid w:val="00004B97"/>
    <w:rsid w:val="00005794"/>
    <w:rsid w:val="00005A3F"/>
    <w:rsid w:val="00005A6F"/>
    <w:rsid w:val="0000689E"/>
    <w:rsid w:val="00007080"/>
    <w:rsid w:val="000071C5"/>
    <w:rsid w:val="00007867"/>
    <w:rsid w:val="00007958"/>
    <w:rsid w:val="0001010F"/>
    <w:rsid w:val="000107DF"/>
    <w:rsid w:val="00010DDE"/>
    <w:rsid w:val="000121BB"/>
    <w:rsid w:val="0001269F"/>
    <w:rsid w:val="00012AD5"/>
    <w:rsid w:val="00012C95"/>
    <w:rsid w:val="0001316F"/>
    <w:rsid w:val="000132D4"/>
    <w:rsid w:val="00013540"/>
    <w:rsid w:val="00013F12"/>
    <w:rsid w:val="00013F6C"/>
    <w:rsid w:val="000144F4"/>
    <w:rsid w:val="00014653"/>
    <w:rsid w:val="000146C2"/>
    <w:rsid w:val="00015085"/>
    <w:rsid w:val="00015188"/>
    <w:rsid w:val="000154D7"/>
    <w:rsid w:val="00015880"/>
    <w:rsid w:val="00015ED7"/>
    <w:rsid w:val="00016B7F"/>
    <w:rsid w:val="00016FFA"/>
    <w:rsid w:val="000170EB"/>
    <w:rsid w:val="00017221"/>
    <w:rsid w:val="0001728C"/>
    <w:rsid w:val="00017880"/>
    <w:rsid w:val="0002169C"/>
    <w:rsid w:val="0002217B"/>
    <w:rsid w:val="00022410"/>
    <w:rsid w:val="000226D4"/>
    <w:rsid w:val="00022925"/>
    <w:rsid w:val="00022FFB"/>
    <w:rsid w:val="00023257"/>
    <w:rsid w:val="00023861"/>
    <w:rsid w:val="00023ED5"/>
    <w:rsid w:val="00024146"/>
    <w:rsid w:val="0002456C"/>
    <w:rsid w:val="00024AB5"/>
    <w:rsid w:val="00024EE4"/>
    <w:rsid w:val="00024F57"/>
    <w:rsid w:val="0002561F"/>
    <w:rsid w:val="00026075"/>
    <w:rsid w:val="00026173"/>
    <w:rsid w:val="000272FB"/>
    <w:rsid w:val="00027B06"/>
    <w:rsid w:val="00031311"/>
    <w:rsid w:val="000318B5"/>
    <w:rsid w:val="000319A9"/>
    <w:rsid w:val="00031B27"/>
    <w:rsid w:val="00031F00"/>
    <w:rsid w:val="000323CD"/>
    <w:rsid w:val="000329A4"/>
    <w:rsid w:val="00032B55"/>
    <w:rsid w:val="00032BAF"/>
    <w:rsid w:val="0003473D"/>
    <w:rsid w:val="00034A3B"/>
    <w:rsid w:val="00034D65"/>
    <w:rsid w:val="00034DD1"/>
    <w:rsid w:val="000350C2"/>
    <w:rsid w:val="000352BA"/>
    <w:rsid w:val="00035833"/>
    <w:rsid w:val="00035982"/>
    <w:rsid w:val="00035CEB"/>
    <w:rsid w:val="00036624"/>
    <w:rsid w:val="00036707"/>
    <w:rsid w:val="000369F4"/>
    <w:rsid w:val="0003772C"/>
    <w:rsid w:val="000404CD"/>
    <w:rsid w:val="00040F52"/>
    <w:rsid w:val="00041806"/>
    <w:rsid w:val="00041C7D"/>
    <w:rsid w:val="000426F9"/>
    <w:rsid w:val="00042716"/>
    <w:rsid w:val="00042F7C"/>
    <w:rsid w:val="0004326E"/>
    <w:rsid w:val="000434AA"/>
    <w:rsid w:val="00043E23"/>
    <w:rsid w:val="00043EA2"/>
    <w:rsid w:val="00043F53"/>
    <w:rsid w:val="00044D8F"/>
    <w:rsid w:val="00045404"/>
    <w:rsid w:val="000454A0"/>
    <w:rsid w:val="000456CE"/>
    <w:rsid w:val="00045774"/>
    <w:rsid w:val="00046208"/>
    <w:rsid w:val="00046A50"/>
    <w:rsid w:val="00046BCE"/>
    <w:rsid w:val="00046F00"/>
    <w:rsid w:val="0004719A"/>
    <w:rsid w:val="000471EC"/>
    <w:rsid w:val="000503C1"/>
    <w:rsid w:val="00050C78"/>
    <w:rsid w:val="000525EB"/>
    <w:rsid w:val="00052915"/>
    <w:rsid w:val="00052AAC"/>
    <w:rsid w:val="00052B88"/>
    <w:rsid w:val="00052E37"/>
    <w:rsid w:val="00052FC7"/>
    <w:rsid w:val="000533A2"/>
    <w:rsid w:val="0005340F"/>
    <w:rsid w:val="00053881"/>
    <w:rsid w:val="0005414D"/>
    <w:rsid w:val="00054386"/>
    <w:rsid w:val="000544A9"/>
    <w:rsid w:val="000546B1"/>
    <w:rsid w:val="00054E7E"/>
    <w:rsid w:val="00055043"/>
    <w:rsid w:val="000557E4"/>
    <w:rsid w:val="000559CF"/>
    <w:rsid w:val="00055BF8"/>
    <w:rsid w:val="00056BAC"/>
    <w:rsid w:val="00056D5B"/>
    <w:rsid w:val="00057F8F"/>
    <w:rsid w:val="00060555"/>
    <w:rsid w:val="0006100D"/>
    <w:rsid w:val="000612A3"/>
    <w:rsid w:val="0006144D"/>
    <w:rsid w:val="00062007"/>
    <w:rsid w:val="0006264A"/>
    <w:rsid w:val="00062ADB"/>
    <w:rsid w:val="00063E1F"/>
    <w:rsid w:val="00064537"/>
    <w:rsid w:val="00064C64"/>
    <w:rsid w:val="00065197"/>
    <w:rsid w:val="00065420"/>
    <w:rsid w:val="00065ED1"/>
    <w:rsid w:val="00066261"/>
    <w:rsid w:val="000668CA"/>
    <w:rsid w:val="00066A4A"/>
    <w:rsid w:val="00066DEF"/>
    <w:rsid w:val="00067ADB"/>
    <w:rsid w:val="00067D44"/>
    <w:rsid w:val="00067DDE"/>
    <w:rsid w:val="00067E1C"/>
    <w:rsid w:val="00070205"/>
    <w:rsid w:val="00070D6B"/>
    <w:rsid w:val="00071A6C"/>
    <w:rsid w:val="00071F20"/>
    <w:rsid w:val="00072497"/>
    <w:rsid w:val="0007255D"/>
    <w:rsid w:val="00072965"/>
    <w:rsid w:val="00072C9F"/>
    <w:rsid w:val="00073134"/>
    <w:rsid w:val="0007345D"/>
    <w:rsid w:val="000749F8"/>
    <w:rsid w:val="00074C2B"/>
    <w:rsid w:val="0007590B"/>
    <w:rsid w:val="00075A54"/>
    <w:rsid w:val="0007642E"/>
    <w:rsid w:val="0007697F"/>
    <w:rsid w:val="00076C5A"/>
    <w:rsid w:val="00077566"/>
    <w:rsid w:val="0007764A"/>
    <w:rsid w:val="0007775E"/>
    <w:rsid w:val="00077888"/>
    <w:rsid w:val="00077C38"/>
    <w:rsid w:val="00077EA9"/>
    <w:rsid w:val="0008005E"/>
    <w:rsid w:val="0008121E"/>
    <w:rsid w:val="00081462"/>
    <w:rsid w:val="00081F56"/>
    <w:rsid w:val="00081FE6"/>
    <w:rsid w:val="00082112"/>
    <w:rsid w:val="00082354"/>
    <w:rsid w:val="00082719"/>
    <w:rsid w:val="000827EC"/>
    <w:rsid w:val="000829AD"/>
    <w:rsid w:val="00082A06"/>
    <w:rsid w:val="0008312C"/>
    <w:rsid w:val="000833E6"/>
    <w:rsid w:val="000835DC"/>
    <w:rsid w:val="00083B66"/>
    <w:rsid w:val="00083CC5"/>
    <w:rsid w:val="00083E13"/>
    <w:rsid w:val="00084395"/>
    <w:rsid w:val="0008495C"/>
    <w:rsid w:val="00084D53"/>
    <w:rsid w:val="000855F9"/>
    <w:rsid w:val="00086A62"/>
    <w:rsid w:val="00087660"/>
    <w:rsid w:val="00087790"/>
    <w:rsid w:val="000878FF"/>
    <w:rsid w:val="00087A0D"/>
    <w:rsid w:val="0009000E"/>
    <w:rsid w:val="00092F94"/>
    <w:rsid w:val="000938FC"/>
    <w:rsid w:val="00093A61"/>
    <w:rsid w:val="00093B0E"/>
    <w:rsid w:val="00094448"/>
    <w:rsid w:val="0009481E"/>
    <w:rsid w:val="00094F8C"/>
    <w:rsid w:val="0009509E"/>
    <w:rsid w:val="000955F3"/>
    <w:rsid w:val="00096478"/>
    <w:rsid w:val="00097CE1"/>
    <w:rsid w:val="000A1162"/>
    <w:rsid w:val="000A11F7"/>
    <w:rsid w:val="000A1957"/>
    <w:rsid w:val="000A1D61"/>
    <w:rsid w:val="000A228C"/>
    <w:rsid w:val="000A39DF"/>
    <w:rsid w:val="000A3DF5"/>
    <w:rsid w:val="000A3E8C"/>
    <w:rsid w:val="000A4279"/>
    <w:rsid w:val="000A4E21"/>
    <w:rsid w:val="000A5966"/>
    <w:rsid w:val="000A5B54"/>
    <w:rsid w:val="000A6D07"/>
    <w:rsid w:val="000A738D"/>
    <w:rsid w:val="000A7A27"/>
    <w:rsid w:val="000B0837"/>
    <w:rsid w:val="000B0DC1"/>
    <w:rsid w:val="000B15E3"/>
    <w:rsid w:val="000B174B"/>
    <w:rsid w:val="000B1AE1"/>
    <w:rsid w:val="000B235B"/>
    <w:rsid w:val="000B2D0E"/>
    <w:rsid w:val="000B2EB8"/>
    <w:rsid w:val="000B31E3"/>
    <w:rsid w:val="000B32ED"/>
    <w:rsid w:val="000B3754"/>
    <w:rsid w:val="000B3C69"/>
    <w:rsid w:val="000B3FBE"/>
    <w:rsid w:val="000B403D"/>
    <w:rsid w:val="000B4653"/>
    <w:rsid w:val="000B46A8"/>
    <w:rsid w:val="000B47E5"/>
    <w:rsid w:val="000B5380"/>
    <w:rsid w:val="000B5F78"/>
    <w:rsid w:val="000B68A8"/>
    <w:rsid w:val="000B6B38"/>
    <w:rsid w:val="000B6CFE"/>
    <w:rsid w:val="000B6F17"/>
    <w:rsid w:val="000B734E"/>
    <w:rsid w:val="000B796D"/>
    <w:rsid w:val="000C0035"/>
    <w:rsid w:val="000C1482"/>
    <w:rsid w:val="000C1484"/>
    <w:rsid w:val="000C25F8"/>
    <w:rsid w:val="000C2810"/>
    <w:rsid w:val="000C290D"/>
    <w:rsid w:val="000C29D9"/>
    <w:rsid w:val="000C2E7A"/>
    <w:rsid w:val="000C4FDF"/>
    <w:rsid w:val="000C570B"/>
    <w:rsid w:val="000C6631"/>
    <w:rsid w:val="000C707D"/>
    <w:rsid w:val="000C722B"/>
    <w:rsid w:val="000C7332"/>
    <w:rsid w:val="000C7362"/>
    <w:rsid w:val="000C749A"/>
    <w:rsid w:val="000C771F"/>
    <w:rsid w:val="000C7D3D"/>
    <w:rsid w:val="000C7D67"/>
    <w:rsid w:val="000C7E61"/>
    <w:rsid w:val="000D05AB"/>
    <w:rsid w:val="000D2114"/>
    <w:rsid w:val="000D2284"/>
    <w:rsid w:val="000D2D73"/>
    <w:rsid w:val="000D2D7A"/>
    <w:rsid w:val="000D3EFA"/>
    <w:rsid w:val="000D45AC"/>
    <w:rsid w:val="000D49AB"/>
    <w:rsid w:val="000D568C"/>
    <w:rsid w:val="000D5804"/>
    <w:rsid w:val="000D58DE"/>
    <w:rsid w:val="000D662E"/>
    <w:rsid w:val="000D6999"/>
    <w:rsid w:val="000D7898"/>
    <w:rsid w:val="000D7987"/>
    <w:rsid w:val="000E0831"/>
    <w:rsid w:val="000E0BC0"/>
    <w:rsid w:val="000E3179"/>
    <w:rsid w:val="000E3AAD"/>
    <w:rsid w:val="000E3DCB"/>
    <w:rsid w:val="000E41B2"/>
    <w:rsid w:val="000E4631"/>
    <w:rsid w:val="000E5112"/>
    <w:rsid w:val="000E60B9"/>
    <w:rsid w:val="000E62A5"/>
    <w:rsid w:val="000E63C7"/>
    <w:rsid w:val="000E6715"/>
    <w:rsid w:val="000E6C2C"/>
    <w:rsid w:val="000E7082"/>
    <w:rsid w:val="000E72F4"/>
    <w:rsid w:val="000E78D3"/>
    <w:rsid w:val="000F0982"/>
    <w:rsid w:val="000F12D9"/>
    <w:rsid w:val="000F2C66"/>
    <w:rsid w:val="000F2E98"/>
    <w:rsid w:val="000F4A24"/>
    <w:rsid w:val="000F4FD5"/>
    <w:rsid w:val="000F5110"/>
    <w:rsid w:val="000F5767"/>
    <w:rsid w:val="000F5887"/>
    <w:rsid w:val="000F5DB7"/>
    <w:rsid w:val="000F70F6"/>
    <w:rsid w:val="000F7298"/>
    <w:rsid w:val="000F778A"/>
    <w:rsid w:val="000F7AF9"/>
    <w:rsid w:val="000F7D31"/>
    <w:rsid w:val="000F7E96"/>
    <w:rsid w:val="00100C4E"/>
    <w:rsid w:val="0010134B"/>
    <w:rsid w:val="00101E31"/>
    <w:rsid w:val="00102376"/>
    <w:rsid w:val="0010249F"/>
    <w:rsid w:val="0010473F"/>
    <w:rsid w:val="00104BAF"/>
    <w:rsid w:val="00105030"/>
    <w:rsid w:val="00105DFD"/>
    <w:rsid w:val="00106B1B"/>
    <w:rsid w:val="0011018F"/>
    <w:rsid w:val="00110694"/>
    <w:rsid w:val="00110C5A"/>
    <w:rsid w:val="00111282"/>
    <w:rsid w:val="001115F2"/>
    <w:rsid w:val="00111CE0"/>
    <w:rsid w:val="00111E45"/>
    <w:rsid w:val="001123B3"/>
    <w:rsid w:val="001125DB"/>
    <w:rsid w:val="00112609"/>
    <w:rsid w:val="00113495"/>
    <w:rsid w:val="00113B8A"/>
    <w:rsid w:val="00113F6B"/>
    <w:rsid w:val="0011529E"/>
    <w:rsid w:val="00115336"/>
    <w:rsid w:val="0011740B"/>
    <w:rsid w:val="00117982"/>
    <w:rsid w:val="00117DC0"/>
    <w:rsid w:val="00120B4D"/>
    <w:rsid w:val="00120FD8"/>
    <w:rsid w:val="001218A2"/>
    <w:rsid w:val="00121F03"/>
    <w:rsid w:val="001221B5"/>
    <w:rsid w:val="00122753"/>
    <w:rsid w:val="001228F6"/>
    <w:rsid w:val="00123851"/>
    <w:rsid w:val="00123868"/>
    <w:rsid w:val="00123DEE"/>
    <w:rsid w:val="0012413C"/>
    <w:rsid w:val="0012418E"/>
    <w:rsid w:val="00124649"/>
    <w:rsid w:val="001246EC"/>
    <w:rsid w:val="00124BA4"/>
    <w:rsid w:val="00124C51"/>
    <w:rsid w:val="00125345"/>
    <w:rsid w:val="00125724"/>
    <w:rsid w:val="00125778"/>
    <w:rsid w:val="001261B5"/>
    <w:rsid w:val="001261C1"/>
    <w:rsid w:val="001265BF"/>
    <w:rsid w:val="00126FCD"/>
    <w:rsid w:val="001270D7"/>
    <w:rsid w:val="00127759"/>
    <w:rsid w:val="0013045D"/>
    <w:rsid w:val="00130992"/>
    <w:rsid w:val="00131599"/>
    <w:rsid w:val="00131BC0"/>
    <w:rsid w:val="0013224E"/>
    <w:rsid w:val="00132294"/>
    <w:rsid w:val="001322AA"/>
    <w:rsid w:val="00132491"/>
    <w:rsid w:val="00132ACC"/>
    <w:rsid w:val="0013387B"/>
    <w:rsid w:val="00134C7A"/>
    <w:rsid w:val="001351CB"/>
    <w:rsid w:val="001352DE"/>
    <w:rsid w:val="001362D5"/>
    <w:rsid w:val="00140C6D"/>
    <w:rsid w:val="001413D7"/>
    <w:rsid w:val="00141FC7"/>
    <w:rsid w:val="0014283F"/>
    <w:rsid w:val="00142A69"/>
    <w:rsid w:val="00142DC8"/>
    <w:rsid w:val="001435FA"/>
    <w:rsid w:val="00143881"/>
    <w:rsid w:val="001438CA"/>
    <w:rsid w:val="0014438F"/>
    <w:rsid w:val="00144EF5"/>
    <w:rsid w:val="001450D8"/>
    <w:rsid w:val="0014619D"/>
    <w:rsid w:val="0014651A"/>
    <w:rsid w:val="00146C64"/>
    <w:rsid w:val="00146F63"/>
    <w:rsid w:val="00150206"/>
    <w:rsid w:val="0015057B"/>
    <w:rsid w:val="001513CC"/>
    <w:rsid w:val="0015252B"/>
    <w:rsid w:val="00155045"/>
    <w:rsid w:val="001561B9"/>
    <w:rsid w:val="00156326"/>
    <w:rsid w:val="0015658C"/>
    <w:rsid w:val="00156E9B"/>
    <w:rsid w:val="0015733D"/>
    <w:rsid w:val="00157AFB"/>
    <w:rsid w:val="0016100E"/>
    <w:rsid w:val="001613EF"/>
    <w:rsid w:val="00161566"/>
    <w:rsid w:val="0016165D"/>
    <w:rsid w:val="0016256D"/>
    <w:rsid w:val="00162772"/>
    <w:rsid w:val="00162F99"/>
    <w:rsid w:val="0016303B"/>
    <w:rsid w:val="00163172"/>
    <w:rsid w:val="00163628"/>
    <w:rsid w:val="00163D37"/>
    <w:rsid w:val="00164A47"/>
    <w:rsid w:val="00164AD6"/>
    <w:rsid w:val="00164EDE"/>
    <w:rsid w:val="0016641A"/>
    <w:rsid w:val="001665C5"/>
    <w:rsid w:val="001669F3"/>
    <w:rsid w:val="00167B95"/>
    <w:rsid w:val="00167F50"/>
    <w:rsid w:val="00170C08"/>
    <w:rsid w:val="0017209C"/>
    <w:rsid w:val="00172118"/>
    <w:rsid w:val="00173066"/>
    <w:rsid w:val="00173077"/>
    <w:rsid w:val="00175D31"/>
    <w:rsid w:val="00176E34"/>
    <w:rsid w:val="00177455"/>
    <w:rsid w:val="001776E3"/>
    <w:rsid w:val="001800F3"/>
    <w:rsid w:val="00180251"/>
    <w:rsid w:val="00180F32"/>
    <w:rsid w:val="0018150E"/>
    <w:rsid w:val="001822BB"/>
    <w:rsid w:val="00182A25"/>
    <w:rsid w:val="00182A99"/>
    <w:rsid w:val="00182CEF"/>
    <w:rsid w:val="00183ED5"/>
    <w:rsid w:val="00184F74"/>
    <w:rsid w:val="00185BF7"/>
    <w:rsid w:val="00185C3F"/>
    <w:rsid w:val="00185E6A"/>
    <w:rsid w:val="00186062"/>
    <w:rsid w:val="00187783"/>
    <w:rsid w:val="001901EA"/>
    <w:rsid w:val="001913C7"/>
    <w:rsid w:val="00191858"/>
    <w:rsid w:val="001922FC"/>
    <w:rsid w:val="00192718"/>
    <w:rsid w:val="00192745"/>
    <w:rsid w:val="001946FB"/>
    <w:rsid w:val="00194A8C"/>
    <w:rsid w:val="001952DE"/>
    <w:rsid w:val="001961D2"/>
    <w:rsid w:val="001963DF"/>
    <w:rsid w:val="001968D0"/>
    <w:rsid w:val="00196935"/>
    <w:rsid w:val="00196B97"/>
    <w:rsid w:val="0019702D"/>
    <w:rsid w:val="00197062"/>
    <w:rsid w:val="001978C1"/>
    <w:rsid w:val="0019799C"/>
    <w:rsid w:val="00197F26"/>
    <w:rsid w:val="00197F5B"/>
    <w:rsid w:val="001A073F"/>
    <w:rsid w:val="001A11A1"/>
    <w:rsid w:val="001A1268"/>
    <w:rsid w:val="001A1773"/>
    <w:rsid w:val="001A24BD"/>
    <w:rsid w:val="001A26F4"/>
    <w:rsid w:val="001A281C"/>
    <w:rsid w:val="001A2C60"/>
    <w:rsid w:val="001A2F62"/>
    <w:rsid w:val="001A3453"/>
    <w:rsid w:val="001A3A07"/>
    <w:rsid w:val="001A3E44"/>
    <w:rsid w:val="001A4145"/>
    <w:rsid w:val="001A4A08"/>
    <w:rsid w:val="001A4E1E"/>
    <w:rsid w:val="001A5B04"/>
    <w:rsid w:val="001A5D71"/>
    <w:rsid w:val="001A60E7"/>
    <w:rsid w:val="001A67C0"/>
    <w:rsid w:val="001A6BD0"/>
    <w:rsid w:val="001A731C"/>
    <w:rsid w:val="001A78AB"/>
    <w:rsid w:val="001B06A9"/>
    <w:rsid w:val="001B0A67"/>
    <w:rsid w:val="001B0A71"/>
    <w:rsid w:val="001B0CD1"/>
    <w:rsid w:val="001B0EF8"/>
    <w:rsid w:val="001B14B7"/>
    <w:rsid w:val="001B2220"/>
    <w:rsid w:val="001B2A48"/>
    <w:rsid w:val="001B30FA"/>
    <w:rsid w:val="001B33D2"/>
    <w:rsid w:val="001B34E9"/>
    <w:rsid w:val="001B3F1E"/>
    <w:rsid w:val="001B4407"/>
    <w:rsid w:val="001B47AE"/>
    <w:rsid w:val="001B49D5"/>
    <w:rsid w:val="001B50E3"/>
    <w:rsid w:val="001B50E7"/>
    <w:rsid w:val="001B5792"/>
    <w:rsid w:val="001B5AF3"/>
    <w:rsid w:val="001B5E0B"/>
    <w:rsid w:val="001B65B8"/>
    <w:rsid w:val="001B6B9E"/>
    <w:rsid w:val="001B7537"/>
    <w:rsid w:val="001B7C96"/>
    <w:rsid w:val="001B7DE3"/>
    <w:rsid w:val="001C0403"/>
    <w:rsid w:val="001C0ED3"/>
    <w:rsid w:val="001C11AF"/>
    <w:rsid w:val="001C1689"/>
    <w:rsid w:val="001C1ADC"/>
    <w:rsid w:val="001C1CA5"/>
    <w:rsid w:val="001C253E"/>
    <w:rsid w:val="001C2565"/>
    <w:rsid w:val="001C2808"/>
    <w:rsid w:val="001C2F7A"/>
    <w:rsid w:val="001C3E1F"/>
    <w:rsid w:val="001C3F85"/>
    <w:rsid w:val="001C3FC6"/>
    <w:rsid w:val="001C4120"/>
    <w:rsid w:val="001C4BA9"/>
    <w:rsid w:val="001C4C0C"/>
    <w:rsid w:val="001C4E33"/>
    <w:rsid w:val="001C6606"/>
    <w:rsid w:val="001C6A18"/>
    <w:rsid w:val="001C6A77"/>
    <w:rsid w:val="001C7789"/>
    <w:rsid w:val="001C7A11"/>
    <w:rsid w:val="001C7C53"/>
    <w:rsid w:val="001C7E5C"/>
    <w:rsid w:val="001C7F81"/>
    <w:rsid w:val="001D0FCC"/>
    <w:rsid w:val="001D11C3"/>
    <w:rsid w:val="001D15AA"/>
    <w:rsid w:val="001D1B0C"/>
    <w:rsid w:val="001D1D8C"/>
    <w:rsid w:val="001D29B4"/>
    <w:rsid w:val="001D2B40"/>
    <w:rsid w:val="001D2D1A"/>
    <w:rsid w:val="001D3467"/>
    <w:rsid w:val="001D39A7"/>
    <w:rsid w:val="001D3B91"/>
    <w:rsid w:val="001D3C19"/>
    <w:rsid w:val="001D4198"/>
    <w:rsid w:val="001D5371"/>
    <w:rsid w:val="001D5948"/>
    <w:rsid w:val="001D5AF2"/>
    <w:rsid w:val="001D61E8"/>
    <w:rsid w:val="001D664D"/>
    <w:rsid w:val="001D6A9E"/>
    <w:rsid w:val="001D6EF1"/>
    <w:rsid w:val="001D7392"/>
    <w:rsid w:val="001D757E"/>
    <w:rsid w:val="001D7706"/>
    <w:rsid w:val="001D7FBA"/>
    <w:rsid w:val="001E0571"/>
    <w:rsid w:val="001E0626"/>
    <w:rsid w:val="001E0800"/>
    <w:rsid w:val="001E0C39"/>
    <w:rsid w:val="001E0CFD"/>
    <w:rsid w:val="001E0D48"/>
    <w:rsid w:val="001E1909"/>
    <w:rsid w:val="001E1F20"/>
    <w:rsid w:val="001E2159"/>
    <w:rsid w:val="001E2CF7"/>
    <w:rsid w:val="001E3550"/>
    <w:rsid w:val="001E37E0"/>
    <w:rsid w:val="001E37E2"/>
    <w:rsid w:val="001E392A"/>
    <w:rsid w:val="001E3C69"/>
    <w:rsid w:val="001E44B8"/>
    <w:rsid w:val="001E4A64"/>
    <w:rsid w:val="001E50DC"/>
    <w:rsid w:val="001E5366"/>
    <w:rsid w:val="001E5381"/>
    <w:rsid w:val="001E6265"/>
    <w:rsid w:val="001E63D0"/>
    <w:rsid w:val="001E656B"/>
    <w:rsid w:val="001E6816"/>
    <w:rsid w:val="001E68EB"/>
    <w:rsid w:val="001E6AB5"/>
    <w:rsid w:val="001F0395"/>
    <w:rsid w:val="001F0739"/>
    <w:rsid w:val="001F0C63"/>
    <w:rsid w:val="001F105D"/>
    <w:rsid w:val="001F1267"/>
    <w:rsid w:val="001F1369"/>
    <w:rsid w:val="001F16FF"/>
    <w:rsid w:val="001F1E78"/>
    <w:rsid w:val="001F1EF0"/>
    <w:rsid w:val="001F2FC0"/>
    <w:rsid w:val="001F36AB"/>
    <w:rsid w:val="001F38E5"/>
    <w:rsid w:val="001F44B6"/>
    <w:rsid w:val="001F4804"/>
    <w:rsid w:val="001F4B19"/>
    <w:rsid w:val="001F5486"/>
    <w:rsid w:val="001F57EA"/>
    <w:rsid w:val="001F5CB8"/>
    <w:rsid w:val="001F5CEA"/>
    <w:rsid w:val="001F5FEE"/>
    <w:rsid w:val="001F6285"/>
    <w:rsid w:val="001F630E"/>
    <w:rsid w:val="001F66CC"/>
    <w:rsid w:val="001F6D65"/>
    <w:rsid w:val="001F6ECB"/>
    <w:rsid w:val="001F7230"/>
    <w:rsid w:val="001F726F"/>
    <w:rsid w:val="001F7A29"/>
    <w:rsid w:val="00200570"/>
    <w:rsid w:val="0020162C"/>
    <w:rsid w:val="00201A5F"/>
    <w:rsid w:val="00201F59"/>
    <w:rsid w:val="00202BC0"/>
    <w:rsid w:val="00202CA6"/>
    <w:rsid w:val="00202ED4"/>
    <w:rsid w:val="00203006"/>
    <w:rsid w:val="002035CF"/>
    <w:rsid w:val="00203736"/>
    <w:rsid w:val="00203C18"/>
    <w:rsid w:val="0020474D"/>
    <w:rsid w:val="0020498A"/>
    <w:rsid w:val="00204CDE"/>
    <w:rsid w:val="00204DB0"/>
    <w:rsid w:val="002063A2"/>
    <w:rsid w:val="002067C6"/>
    <w:rsid w:val="002071C9"/>
    <w:rsid w:val="00207256"/>
    <w:rsid w:val="00207560"/>
    <w:rsid w:val="002075DB"/>
    <w:rsid w:val="00207DF9"/>
    <w:rsid w:val="00211405"/>
    <w:rsid w:val="0021144A"/>
    <w:rsid w:val="002116FE"/>
    <w:rsid w:val="00212087"/>
    <w:rsid w:val="002120B8"/>
    <w:rsid w:val="002121FD"/>
    <w:rsid w:val="002131A7"/>
    <w:rsid w:val="00213274"/>
    <w:rsid w:val="00213A15"/>
    <w:rsid w:val="00213DBB"/>
    <w:rsid w:val="00216087"/>
    <w:rsid w:val="002163E5"/>
    <w:rsid w:val="0021644E"/>
    <w:rsid w:val="00216F39"/>
    <w:rsid w:val="00217365"/>
    <w:rsid w:val="002176D7"/>
    <w:rsid w:val="00217BBC"/>
    <w:rsid w:val="00220D14"/>
    <w:rsid w:val="00220D43"/>
    <w:rsid w:val="00221BBA"/>
    <w:rsid w:val="0022269B"/>
    <w:rsid w:val="0022424D"/>
    <w:rsid w:val="002242AE"/>
    <w:rsid w:val="00224705"/>
    <w:rsid w:val="00224BBF"/>
    <w:rsid w:val="00224CDB"/>
    <w:rsid w:val="0022503A"/>
    <w:rsid w:val="00225628"/>
    <w:rsid w:val="00226485"/>
    <w:rsid w:val="0022662A"/>
    <w:rsid w:val="00226EAF"/>
    <w:rsid w:val="00226F6F"/>
    <w:rsid w:val="002271A9"/>
    <w:rsid w:val="00227374"/>
    <w:rsid w:val="00227882"/>
    <w:rsid w:val="00227D94"/>
    <w:rsid w:val="002302C1"/>
    <w:rsid w:val="00231A0C"/>
    <w:rsid w:val="002336E3"/>
    <w:rsid w:val="00234180"/>
    <w:rsid w:val="00234558"/>
    <w:rsid w:val="002345FC"/>
    <w:rsid w:val="00234AC7"/>
    <w:rsid w:val="00234BFC"/>
    <w:rsid w:val="00234E2B"/>
    <w:rsid w:val="00234EE7"/>
    <w:rsid w:val="00234F28"/>
    <w:rsid w:val="00235B45"/>
    <w:rsid w:val="00235F99"/>
    <w:rsid w:val="002363CD"/>
    <w:rsid w:val="00236A00"/>
    <w:rsid w:val="0023724C"/>
    <w:rsid w:val="00237336"/>
    <w:rsid w:val="0023788A"/>
    <w:rsid w:val="00237D46"/>
    <w:rsid w:val="0024004B"/>
    <w:rsid w:val="0024043A"/>
    <w:rsid w:val="00241162"/>
    <w:rsid w:val="00241264"/>
    <w:rsid w:val="00241294"/>
    <w:rsid w:val="002439D5"/>
    <w:rsid w:val="00243AE4"/>
    <w:rsid w:val="00243CC4"/>
    <w:rsid w:val="002442F1"/>
    <w:rsid w:val="0024543A"/>
    <w:rsid w:val="00245FDE"/>
    <w:rsid w:val="002460B0"/>
    <w:rsid w:val="00246332"/>
    <w:rsid w:val="00246C87"/>
    <w:rsid w:val="00246CB7"/>
    <w:rsid w:val="0024742B"/>
    <w:rsid w:val="00247E56"/>
    <w:rsid w:val="00247E9B"/>
    <w:rsid w:val="00250186"/>
    <w:rsid w:val="0025099A"/>
    <w:rsid w:val="0025124C"/>
    <w:rsid w:val="00251759"/>
    <w:rsid w:val="00252453"/>
    <w:rsid w:val="002528B9"/>
    <w:rsid w:val="00252E84"/>
    <w:rsid w:val="00253166"/>
    <w:rsid w:val="00253A32"/>
    <w:rsid w:val="00254949"/>
    <w:rsid w:val="00254BA1"/>
    <w:rsid w:val="00255845"/>
    <w:rsid w:val="00255C87"/>
    <w:rsid w:val="00256CC4"/>
    <w:rsid w:val="0025702E"/>
    <w:rsid w:val="002575A0"/>
    <w:rsid w:val="00257631"/>
    <w:rsid w:val="00257FCC"/>
    <w:rsid w:val="0026065A"/>
    <w:rsid w:val="00261181"/>
    <w:rsid w:val="00261219"/>
    <w:rsid w:val="002612D6"/>
    <w:rsid w:val="00261344"/>
    <w:rsid w:val="00261596"/>
    <w:rsid w:val="002627A4"/>
    <w:rsid w:val="002628F2"/>
    <w:rsid w:val="00262B76"/>
    <w:rsid w:val="00262D3B"/>
    <w:rsid w:val="00263047"/>
    <w:rsid w:val="0026318A"/>
    <w:rsid w:val="00263232"/>
    <w:rsid w:val="00263C74"/>
    <w:rsid w:val="00265738"/>
    <w:rsid w:val="00265B94"/>
    <w:rsid w:val="00266318"/>
    <w:rsid w:val="00266D9E"/>
    <w:rsid w:val="00267435"/>
    <w:rsid w:val="0027042A"/>
    <w:rsid w:val="002705FC"/>
    <w:rsid w:val="002714DE"/>
    <w:rsid w:val="0027239B"/>
    <w:rsid w:val="0027241E"/>
    <w:rsid w:val="002729F2"/>
    <w:rsid w:val="0027301B"/>
    <w:rsid w:val="0027378A"/>
    <w:rsid w:val="0027382D"/>
    <w:rsid w:val="00273B74"/>
    <w:rsid w:val="00273EA1"/>
    <w:rsid w:val="0027430D"/>
    <w:rsid w:val="00274B7E"/>
    <w:rsid w:val="00274FB7"/>
    <w:rsid w:val="00275273"/>
    <w:rsid w:val="0027594C"/>
    <w:rsid w:val="00275F0B"/>
    <w:rsid w:val="00276228"/>
    <w:rsid w:val="0027660B"/>
    <w:rsid w:val="00276818"/>
    <w:rsid w:val="00276D7F"/>
    <w:rsid w:val="002817EC"/>
    <w:rsid w:val="00281842"/>
    <w:rsid w:val="00281B95"/>
    <w:rsid w:val="00281E03"/>
    <w:rsid w:val="00281EFC"/>
    <w:rsid w:val="00282C40"/>
    <w:rsid w:val="00284142"/>
    <w:rsid w:val="0028466B"/>
    <w:rsid w:val="00284E2F"/>
    <w:rsid w:val="00284F26"/>
    <w:rsid w:val="00285E42"/>
    <w:rsid w:val="00287408"/>
    <w:rsid w:val="00287A94"/>
    <w:rsid w:val="00287B6C"/>
    <w:rsid w:val="002907F4"/>
    <w:rsid w:val="00290A6C"/>
    <w:rsid w:val="002912AE"/>
    <w:rsid w:val="002913D6"/>
    <w:rsid w:val="00291765"/>
    <w:rsid w:val="00291BF6"/>
    <w:rsid w:val="00291E5F"/>
    <w:rsid w:val="00292EFF"/>
    <w:rsid w:val="002933D3"/>
    <w:rsid w:val="002938AF"/>
    <w:rsid w:val="00294C40"/>
    <w:rsid w:val="002959F3"/>
    <w:rsid w:val="00295EBF"/>
    <w:rsid w:val="00295EE0"/>
    <w:rsid w:val="00296710"/>
    <w:rsid w:val="00296D6D"/>
    <w:rsid w:val="00297256"/>
    <w:rsid w:val="0029788B"/>
    <w:rsid w:val="002979AC"/>
    <w:rsid w:val="00297B35"/>
    <w:rsid w:val="002A0515"/>
    <w:rsid w:val="002A06A6"/>
    <w:rsid w:val="002A13A3"/>
    <w:rsid w:val="002A15C3"/>
    <w:rsid w:val="002A1708"/>
    <w:rsid w:val="002A186D"/>
    <w:rsid w:val="002A2135"/>
    <w:rsid w:val="002A2C00"/>
    <w:rsid w:val="002A41BF"/>
    <w:rsid w:val="002A4226"/>
    <w:rsid w:val="002A45EB"/>
    <w:rsid w:val="002A47CB"/>
    <w:rsid w:val="002A4995"/>
    <w:rsid w:val="002A6E12"/>
    <w:rsid w:val="002A6F56"/>
    <w:rsid w:val="002A727F"/>
    <w:rsid w:val="002B03DD"/>
    <w:rsid w:val="002B0508"/>
    <w:rsid w:val="002B1052"/>
    <w:rsid w:val="002B1D5B"/>
    <w:rsid w:val="002B1DDC"/>
    <w:rsid w:val="002B2087"/>
    <w:rsid w:val="002B32DD"/>
    <w:rsid w:val="002B47BD"/>
    <w:rsid w:val="002B51F3"/>
    <w:rsid w:val="002B5CC6"/>
    <w:rsid w:val="002B5D7F"/>
    <w:rsid w:val="002B5D83"/>
    <w:rsid w:val="002B5E9D"/>
    <w:rsid w:val="002B6244"/>
    <w:rsid w:val="002B62C8"/>
    <w:rsid w:val="002B643B"/>
    <w:rsid w:val="002B6567"/>
    <w:rsid w:val="002B6BB2"/>
    <w:rsid w:val="002B71BA"/>
    <w:rsid w:val="002B7D0D"/>
    <w:rsid w:val="002C0399"/>
    <w:rsid w:val="002C150D"/>
    <w:rsid w:val="002C1BB2"/>
    <w:rsid w:val="002C2074"/>
    <w:rsid w:val="002C2157"/>
    <w:rsid w:val="002C21D2"/>
    <w:rsid w:val="002C22CF"/>
    <w:rsid w:val="002C24EF"/>
    <w:rsid w:val="002C2AA3"/>
    <w:rsid w:val="002C3F37"/>
    <w:rsid w:val="002C4143"/>
    <w:rsid w:val="002C4344"/>
    <w:rsid w:val="002C46BF"/>
    <w:rsid w:val="002C480B"/>
    <w:rsid w:val="002C4C6C"/>
    <w:rsid w:val="002C504E"/>
    <w:rsid w:val="002C55CE"/>
    <w:rsid w:val="002C5703"/>
    <w:rsid w:val="002C5A87"/>
    <w:rsid w:val="002C68E7"/>
    <w:rsid w:val="002C6937"/>
    <w:rsid w:val="002C6E9B"/>
    <w:rsid w:val="002C7A4F"/>
    <w:rsid w:val="002D0F97"/>
    <w:rsid w:val="002D2064"/>
    <w:rsid w:val="002D3AA2"/>
    <w:rsid w:val="002D3D57"/>
    <w:rsid w:val="002D43B5"/>
    <w:rsid w:val="002D4D2C"/>
    <w:rsid w:val="002D6005"/>
    <w:rsid w:val="002D606F"/>
    <w:rsid w:val="002D61F6"/>
    <w:rsid w:val="002D6719"/>
    <w:rsid w:val="002D6CE6"/>
    <w:rsid w:val="002D74B4"/>
    <w:rsid w:val="002E0291"/>
    <w:rsid w:val="002E10C5"/>
    <w:rsid w:val="002E13B9"/>
    <w:rsid w:val="002E1435"/>
    <w:rsid w:val="002E26B8"/>
    <w:rsid w:val="002E356E"/>
    <w:rsid w:val="002E38CE"/>
    <w:rsid w:val="002E3E4E"/>
    <w:rsid w:val="002E4A1A"/>
    <w:rsid w:val="002E56CE"/>
    <w:rsid w:val="002E583E"/>
    <w:rsid w:val="002E5A27"/>
    <w:rsid w:val="002E6093"/>
    <w:rsid w:val="002E714A"/>
    <w:rsid w:val="002E77C4"/>
    <w:rsid w:val="002E7DB0"/>
    <w:rsid w:val="002F1133"/>
    <w:rsid w:val="002F1736"/>
    <w:rsid w:val="002F2420"/>
    <w:rsid w:val="002F355C"/>
    <w:rsid w:val="002F3DCA"/>
    <w:rsid w:val="002F3DEB"/>
    <w:rsid w:val="002F3E02"/>
    <w:rsid w:val="002F3E43"/>
    <w:rsid w:val="002F4085"/>
    <w:rsid w:val="002F42C9"/>
    <w:rsid w:val="002F4E2B"/>
    <w:rsid w:val="002F504F"/>
    <w:rsid w:val="002F5200"/>
    <w:rsid w:val="002F5557"/>
    <w:rsid w:val="002F578B"/>
    <w:rsid w:val="002F58EC"/>
    <w:rsid w:val="002F61A9"/>
    <w:rsid w:val="002F6314"/>
    <w:rsid w:val="002F670A"/>
    <w:rsid w:val="002F712D"/>
    <w:rsid w:val="0030018E"/>
    <w:rsid w:val="0030084F"/>
    <w:rsid w:val="00300CB9"/>
    <w:rsid w:val="003016F4"/>
    <w:rsid w:val="0030190D"/>
    <w:rsid w:val="00301D91"/>
    <w:rsid w:val="00301E7D"/>
    <w:rsid w:val="00302258"/>
    <w:rsid w:val="00302BDA"/>
    <w:rsid w:val="003035F9"/>
    <w:rsid w:val="00303B7F"/>
    <w:rsid w:val="0030442E"/>
    <w:rsid w:val="00304982"/>
    <w:rsid w:val="00304B27"/>
    <w:rsid w:val="00304F1C"/>
    <w:rsid w:val="00305193"/>
    <w:rsid w:val="00305A5F"/>
    <w:rsid w:val="00307854"/>
    <w:rsid w:val="003114A7"/>
    <w:rsid w:val="00311698"/>
    <w:rsid w:val="0031280D"/>
    <w:rsid w:val="00313403"/>
    <w:rsid w:val="0031347A"/>
    <w:rsid w:val="00313578"/>
    <w:rsid w:val="00313F08"/>
    <w:rsid w:val="00315CE0"/>
    <w:rsid w:val="00316070"/>
    <w:rsid w:val="0031658A"/>
    <w:rsid w:val="00316A3F"/>
    <w:rsid w:val="003172EF"/>
    <w:rsid w:val="00317C5F"/>
    <w:rsid w:val="00320043"/>
    <w:rsid w:val="00320373"/>
    <w:rsid w:val="0032069B"/>
    <w:rsid w:val="00320795"/>
    <w:rsid w:val="00321080"/>
    <w:rsid w:val="00321C40"/>
    <w:rsid w:val="0032208F"/>
    <w:rsid w:val="00322C98"/>
    <w:rsid w:val="003243D2"/>
    <w:rsid w:val="003246A7"/>
    <w:rsid w:val="003256B1"/>
    <w:rsid w:val="00325E49"/>
    <w:rsid w:val="00326169"/>
    <w:rsid w:val="0032700B"/>
    <w:rsid w:val="003272A9"/>
    <w:rsid w:val="00327A6B"/>
    <w:rsid w:val="003305AA"/>
    <w:rsid w:val="00330DC6"/>
    <w:rsid w:val="00330E47"/>
    <w:rsid w:val="00330E61"/>
    <w:rsid w:val="00330F0A"/>
    <w:rsid w:val="003312C2"/>
    <w:rsid w:val="00332A2C"/>
    <w:rsid w:val="00332B0D"/>
    <w:rsid w:val="003336FD"/>
    <w:rsid w:val="00333803"/>
    <w:rsid w:val="00333B2B"/>
    <w:rsid w:val="00333EAF"/>
    <w:rsid w:val="003347BB"/>
    <w:rsid w:val="00334DA3"/>
    <w:rsid w:val="00335094"/>
    <w:rsid w:val="0033520C"/>
    <w:rsid w:val="003358B2"/>
    <w:rsid w:val="003359D4"/>
    <w:rsid w:val="00335B1C"/>
    <w:rsid w:val="0033611F"/>
    <w:rsid w:val="003366A6"/>
    <w:rsid w:val="00337216"/>
    <w:rsid w:val="003375F9"/>
    <w:rsid w:val="0034084D"/>
    <w:rsid w:val="003409F2"/>
    <w:rsid w:val="003416F4"/>
    <w:rsid w:val="00341831"/>
    <w:rsid w:val="00341CE1"/>
    <w:rsid w:val="00341EE1"/>
    <w:rsid w:val="00341EE6"/>
    <w:rsid w:val="003426C6"/>
    <w:rsid w:val="0034363B"/>
    <w:rsid w:val="003438B4"/>
    <w:rsid w:val="00344136"/>
    <w:rsid w:val="003442A3"/>
    <w:rsid w:val="003445AF"/>
    <w:rsid w:val="0034477D"/>
    <w:rsid w:val="003447F9"/>
    <w:rsid w:val="003453D2"/>
    <w:rsid w:val="00345CDC"/>
    <w:rsid w:val="00345D26"/>
    <w:rsid w:val="00346D01"/>
    <w:rsid w:val="0034768A"/>
    <w:rsid w:val="0034790C"/>
    <w:rsid w:val="00350289"/>
    <w:rsid w:val="0035036C"/>
    <w:rsid w:val="003505D3"/>
    <w:rsid w:val="0035085C"/>
    <w:rsid w:val="00350E65"/>
    <w:rsid w:val="00351856"/>
    <w:rsid w:val="00353E41"/>
    <w:rsid w:val="00354192"/>
    <w:rsid w:val="00355288"/>
    <w:rsid w:val="003558CB"/>
    <w:rsid w:val="00355CA4"/>
    <w:rsid w:val="00355FAD"/>
    <w:rsid w:val="003563BF"/>
    <w:rsid w:val="00356F36"/>
    <w:rsid w:val="00357554"/>
    <w:rsid w:val="0035783A"/>
    <w:rsid w:val="00357A41"/>
    <w:rsid w:val="00357AE6"/>
    <w:rsid w:val="00357EE5"/>
    <w:rsid w:val="00360CEA"/>
    <w:rsid w:val="0036157F"/>
    <w:rsid w:val="00361765"/>
    <w:rsid w:val="00362304"/>
    <w:rsid w:val="00362862"/>
    <w:rsid w:val="003629EC"/>
    <w:rsid w:val="00363499"/>
    <w:rsid w:val="00364655"/>
    <w:rsid w:val="00364D0E"/>
    <w:rsid w:val="00364DEC"/>
    <w:rsid w:val="00365553"/>
    <w:rsid w:val="003658EE"/>
    <w:rsid w:val="00367535"/>
    <w:rsid w:val="00367595"/>
    <w:rsid w:val="003677C2"/>
    <w:rsid w:val="00367F5A"/>
    <w:rsid w:val="0037024E"/>
    <w:rsid w:val="003706FE"/>
    <w:rsid w:val="00370797"/>
    <w:rsid w:val="00370994"/>
    <w:rsid w:val="00370B2F"/>
    <w:rsid w:val="00370DCB"/>
    <w:rsid w:val="0037103C"/>
    <w:rsid w:val="00371570"/>
    <w:rsid w:val="0037162B"/>
    <w:rsid w:val="00371634"/>
    <w:rsid w:val="003721D3"/>
    <w:rsid w:val="00372D7B"/>
    <w:rsid w:val="003731C4"/>
    <w:rsid w:val="003733C6"/>
    <w:rsid w:val="00373536"/>
    <w:rsid w:val="00374131"/>
    <w:rsid w:val="00374657"/>
    <w:rsid w:val="00374827"/>
    <w:rsid w:val="003748E5"/>
    <w:rsid w:val="0037523D"/>
    <w:rsid w:val="0037531F"/>
    <w:rsid w:val="003761B2"/>
    <w:rsid w:val="00376B13"/>
    <w:rsid w:val="003775FC"/>
    <w:rsid w:val="0037777D"/>
    <w:rsid w:val="00377798"/>
    <w:rsid w:val="003779FF"/>
    <w:rsid w:val="00377D56"/>
    <w:rsid w:val="003807B9"/>
    <w:rsid w:val="00380A96"/>
    <w:rsid w:val="00380CAC"/>
    <w:rsid w:val="00381DCB"/>
    <w:rsid w:val="0038214B"/>
    <w:rsid w:val="00382192"/>
    <w:rsid w:val="00382658"/>
    <w:rsid w:val="00382AA3"/>
    <w:rsid w:val="003835AD"/>
    <w:rsid w:val="00384DFB"/>
    <w:rsid w:val="0038575B"/>
    <w:rsid w:val="0038586C"/>
    <w:rsid w:val="00385DF1"/>
    <w:rsid w:val="00386464"/>
    <w:rsid w:val="00386A77"/>
    <w:rsid w:val="00386B56"/>
    <w:rsid w:val="00386D17"/>
    <w:rsid w:val="00387003"/>
    <w:rsid w:val="0038784A"/>
    <w:rsid w:val="00387B23"/>
    <w:rsid w:val="003900CF"/>
    <w:rsid w:val="00390346"/>
    <w:rsid w:val="003906C3"/>
    <w:rsid w:val="00390B46"/>
    <w:rsid w:val="003915FA"/>
    <w:rsid w:val="003923B0"/>
    <w:rsid w:val="0039241D"/>
    <w:rsid w:val="0039268E"/>
    <w:rsid w:val="00392D7A"/>
    <w:rsid w:val="00392FAE"/>
    <w:rsid w:val="0039309D"/>
    <w:rsid w:val="00393540"/>
    <w:rsid w:val="00393D21"/>
    <w:rsid w:val="0039403E"/>
    <w:rsid w:val="00394C6D"/>
    <w:rsid w:val="00395B63"/>
    <w:rsid w:val="00396309"/>
    <w:rsid w:val="0039771B"/>
    <w:rsid w:val="003A0CFF"/>
    <w:rsid w:val="003A1758"/>
    <w:rsid w:val="003A257C"/>
    <w:rsid w:val="003A2D67"/>
    <w:rsid w:val="003A4771"/>
    <w:rsid w:val="003A48A7"/>
    <w:rsid w:val="003A52F4"/>
    <w:rsid w:val="003A5A9C"/>
    <w:rsid w:val="003A5DDB"/>
    <w:rsid w:val="003A5F29"/>
    <w:rsid w:val="003A62A6"/>
    <w:rsid w:val="003A682B"/>
    <w:rsid w:val="003A6977"/>
    <w:rsid w:val="003A6B2B"/>
    <w:rsid w:val="003A6EB3"/>
    <w:rsid w:val="003A77BA"/>
    <w:rsid w:val="003A7A06"/>
    <w:rsid w:val="003A7B86"/>
    <w:rsid w:val="003B009D"/>
    <w:rsid w:val="003B0AB1"/>
    <w:rsid w:val="003B0EFE"/>
    <w:rsid w:val="003B1B59"/>
    <w:rsid w:val="003B1E0E"/>
    <w:rsid w:val="003B2ACA"/>
    <w:rsid w:val="003B3FB1"/>
    <w:rsid w:val="003B4ACE"/>
    <w:rsid w:val="003B4BA0"/>
    <w:rsid w:val="003B5259"/>
    <w:rsid w:val="003B5E1F"/>
    <w:rsid w:val="003B68FE"/>
    <w:rsid w:val="003B6B86"/>
    <w:rsid w:val="003B6F42"/>
    <w:rsid w:val="003B7586"/>
    <w:rsid w:val="003C0FD0"/>
    <w:rsid w:val="003C1AE5"/>
    <w:rsid w:val="003C1F8B"/>
    <w:rsid w:val="003C20F7"/>
    <w:rsid w:val="003C21B9"/>
    <w:rsid w:val="003C2440"/>
    <w:rsid w:val="003C2AAE"/>
    <w:rsid w:val="003C3637"/>
    <w:rsid w:val="003C3698"/>
    <w:rsid w:val="003C4199"/>
    <w:rsid w:val="003C44A1"/>
    <w:rsid w:val="003C478D"/>
    <w:rsid w:val="003C4BB2"/>
    <w:rsid w:val="003C6306"/>
    <w:rsid w:val="003C674F"/>
    <w:rsid w:val="003C6E06"/>
    <w:rsid w:val="003D08D2"/>
    <w:rsid w:val="003D0977"/>
    <w:rsid w:val="003D2702"/>
    <w:rsid w:val="003D2BFD"/>
    <w:rsid w:val="003D2DAB"/>
    <w:rsid w:val="003D34DB"/>
    <w:rsid w:val="003D3D35"/>
    <w:rsid w:val="003D40B1"/>
    <w:rsid w:val="003D41CF"/>
    <w:rsid w:val="003D41E0"/>
    <w:rsid w:val="003D5199"/>
    <w:rsid w:val="003D54E0"/>
    <w:rsid w:val="003D56BC"/>
    <w:rsid w:val="003D5756"/>
    <w:rsid w:val="003D6215"/>
    <w:rsid w:val="003D6599"/>
    <w:rsid w:val="003D6C0B"/>
    <w:rsid w:val="003D71B3"/>
    <w:rsid w:val="003D7540"/>
    <w:rsid w:val="003D76B5"/>
    <w:rsid w:val="003D795B"/>
    <w:rsid w:val="003D7D49"/>
    <w:rsid w:val="003E054E"/>
    <w:rsid w:val="003E06A9"/>
    <w:rsid w:val="003E06B1"/>
    <w:rsid w:val="003E0873"/>
    <w:rsid w:val="003E1710"/>
    <w:rsid w:val="003E25F3"/>
    <w:rsid w:val="003E2F09"/>
    <w:rsid w:val="003E30CD"/>
    <w:rsid w:val="003E339F"/>
    <w:rsid w:val="003E3D16"/>
    <w:rsid w:val="003E43DD"/>
    <w:rsid w:val="003E492D"/>
    <w:rsid w:val="003E4DDE"/>
    <w:rsid w:val="003E5746"/>
    <w:rsid w:val="003E5FC9"/>
    <w:rsid w:val="003E609E"/>
    <w:rsid w:val="003E65E7"/>
    <w:rsid w:val="003E6641"/>
    <w:rsid w:val="003E6690"/>
    <w:rsid w:val="003E66E5"/>
    <w:rsid w:val="003E6F5E"/>
    <w:rsid w:val="003E722D"/>
    <w:rsid w:val="003E7346"/>
    <w:rsid w:val="003E7A54"/>
    <w:rsid w:val="003E7B25"/>
    <w:rsid w:val="003F03A4"/>
    <w:rsid w:val="003F0541"/>
    <w:rsid w:val="003F157F"/>
    <w:rsid w:val="003F1774"/>
    <w:rsid w:val="003F1784"/>
    <w:rsid w:val="003F1C9C"/>
    <w:rsid w:val="003F253B"/>
    <w:rsid w:val="003F340E"/>
    <w:rsid w:val="003F3CA6"/>
    <w:rsid w:val="003F3D30"/>
    <w:rsid w:val="003F4243"/>
    <w:rsid w:val="003F4330"/>
    <w:rsid w:val="003F44FE"/>
    <w:rsid w:val="003F512E"/>
    <w:rsid w:val="003F530B"/>
    <w:rsid w:val="003F5C80"/>
    <w:rsid w:val="003F5FED"/>
    <w:rsid w:val="003F66C8"/>
    <w:rsid w:val="003F68CF"/>
    <w:rsid w:val="003F73AF"/>
    <w:rsid w:val="003F744C"/>
    <w:rsid w:val="004009EF"/>
    <w:rsid w:val="00400DD4"/>
    <w:rsid w:val="00400EB7"/>
    <w:rsid w:val="00401258"/>
    <w:rsid w:val="0040151E"/>
    <w:rsid w:val="004025C2"/>
    <w:rsid w:val="004025E9"/>
    <w:rsid w:val="004026DE"/>
    <w:rsid w:val="00403645"/>
    <w:rsid w:val="00404428"/>
    <w:rsid w:val="004046F8"/>
    <w:rsid w:val="00405A89"/>
    <w:rsid w:val="00405BA8"/>
    <w:rsid w:val="00407072"/>
    <w:rsid w:val="004071C0"/>
    <w:rsid w:val="004074AF"/>
    <w:rsid w:val="00407874"/>
    <w:rsid w:val="0040797B"/>
    <w:rsid w:val="00407B07"/>
    <w:rsid w:val="00407E5D"/>
    <w:rsid w:val="004108E5"/>
    <w:rsid w:val="00411A0F"/>
    <w:rsid w:val="00411CE0"/>
    <w:rsid w:val="004146E2"/>
    <w:rsid w:val="00414954"/>
    <w:rsid w:val="00414F1F"/>
    <w:rsid w:val="00415123"/>
    <w:rsid w:val="004158DE"/>
    <w:rsid w:val="00415BEA"/>
    <w:rsid w:val="00415FF9"/>
    <w:rsid w:val="00416EE5"/>
    <w:rsid w:val="00417CD7"/>
    <w:rsid w:val="00417EB7"/>
    <w:rsid w:val="00420129"/>
    <w:rsid w:val="00420474"/>
    <w:rsid w:val="00420A2E"/>
    <w:rsid w:val="00421232"/>
    <w:rsid w:val="00421D5E"/>
    <w:rsid w:val="00422208"/>
    <w:rsid w:val="00422907"/>
    <w:rsid w:val="00422DBF"/>
    <w:rsid w:val="004231CC"/>
    <w:rsid w:val="0042341C"/>
    <w:rsid w:val="004234EF"/>
    <w:rsid w:val="00424F76"/>
    <w:rsid w:val="0042513A"/>
    <w:rsid w:val="00425173"/>
    <w:rsid w:val="00425882"/>
    <w:rsid w:val="00426E41"/>
    <w:rsid w:val="00427553"/>
    <w:rsid w:val="004277BB"/>
    <w:rsid w:val="0043035C"/>
    <w:rsid w:val="00431439"/>
    <w:rsid w:val="004317C8"/>
    <w:rsid w:val="00431EB5"/>
    <w:rsid w:val="004321C3"/>
    <w:rsid w:val="004325E4"/>
    <w:rsid w:val="00432E69"/>
    <w:rsid w:val="00433566"/>
    <w:rsid w:val="00433F10"/>
    <w:rsid w:val="0043407B"/>
    <w:rsid w:val="00434E65"/>
    <w:rsid w:val="00434FC5"/>
    <w:rsid w:val="004356E4"/>
    <w:rsid w:val="00435733"/>
    <w:rsid w:val="00435D7A"/>
    <w:rsid w:val="00436011"/>
    <w:rsid w:val="004367E1"/>
    <w:rsid w:val="0043797E"/>
    <w:rsid w:val="00437A95"/>
    <w:rsid w:val="00437D15"/>
    <w:rsid w:val="004402CC"/>
    <w:rsid w:val="00440A45"/>
    <w:rsid w:val="00440D89"/>
    <w:rsid w:val="00440ED6"/>
    <w:rsid w:val="0044162C"/>
    <w:rsid w:val="00441826"/>
    <w:rsid w:val="0044195F"/>
    <w:rsid w:val="0044236C"/>
    <w:rsid w:val="0044289D"/>
    <w:rsid w:val="00442EC3"/>
    <w:rsid w:val="004436BD"/>
    <w:rsid w:val="00443A0B"/>
    <w:rsid w:val="00443A0F"/>
    <w:rsid w:val="00443FA9"/>
    <w:rsid w:val="004440AB"/>
    <w:rsid w:val="0044490C"/>
    <w:rsid w:val="00444E5D"/>
    <w:rsid w:val="00446D17"/>
    <w:rsid w:val="004476E5"/>
    <w:rsid w:val="00447F8F"/>
    <w:rsid w:val="004500A3"/>
    <w:rsid w:val="00450DD8"/>
    <w:rsid w:val="0045137E"/>
    <w:rsid w:val="004516E3"/>
    <w:rsid w:val="004517CD"/>
    <w:rsid w:val="00451B60"/>
    <w:rsid w:val="00451D27"/>
    <w:rsid w:val="004522AE"/>
    <w:rsid w:val="004525DF"/>
    <w:rsid w:val="0045281E"/>
    <w:rsid w:val="004529AA"/>
    <w:rsid w:val="004529E9"/>
    <w:rsid w:val="00452FD0"/>
    <w:rsid w:val="004538D2"/>
    <w:rsid w:val="004544EA"/>
    <w:rsid w:val="004545B9"/>
    <w:rsid w:val="004546EE"/>
    <w:rsid w:val="0045470B"/>
    <w:rsid w:val="00454D86"/>
    <w:rsid w:val="00455063"/>
    <w:rsid w:val="00455752"/>
    <w:rsid w:val="004559C7"/>
    <w:rsid w:val="00456C53"/>
    <w:rsid w:val="00457C0E"/>
    <w:rsid w:val="00460AC4"/>
    <w:rsid w:val="00461A07"/>
    <w:rsid w:val="00461DB2"/>
    <w:rsid w:val="00462727"/>
    <w:rsid w:val="004627C9"/>
    <w:rsid w:val="00462C18"/>
    <w:rsid w:val="00462CCF"/>
    <w:rsid w:val="00463A68"/>
    <w:rsid w:val="00464752"/>
    <w:rsid w:val="004656C9"/>
    <w:rsid w:val="00465A23"/>
    <w:rsid w:val="00466A38"/>
    <w:rsid w:val="00466C07"/>
    <w:rsid w:val="00467054"/>
    <w:rsid w:val="00467CC1"/>
    <w:rsid w:val="00470A4C"/>
    <w:rsid w:val="004712D3"/>
    <w:rsid w:val="004712D8"/>
    <w:rsid w:val="004713F1"/>
    <w:rsid w:val="0047160E"/>
    <w:rsid w:val="0047212E"/>
    <w:rsid w:val="004736A2"/>
    <w:rsid w:val="00473A59"/>
    <w:rsid w:val="00473D8E"/>
    <w:rsid w:val="00474157"/>
    <w:rsid w:val="00474D90"/>
    <w:rsid w:val="00474EB2"/>
    <w:rsid w:val="00475FD9"/>
    <w:rsid w:val="004762A9"/>
    <w:rsid w:val="00476AD7"/>
    <w:rsid w:val="00477C56"/>
    <w:rsid w:val="00480472"/>
    <w:rsid w:val="00480A45"/>
    <w:rsid w:val="0048140E"/>
    <w:rsid w:val="004816F4"/>
    <w:rsid w:val="00482738"/>
    <w:rsid w:val="00482F81"/>
    <w:rsid w:val="00483702"/>
    <w:rsid w:val="0048398A"/>
    <w:rsid w:val="00483BC5"/>
    <w:rsid w:val="004840D9"/>
    <w:rsid w:val="004846D4"/>
    <w:rsid w:val="0048470C"/>
    <w:rsid w:val="00484AE9"/>
    <w:rsid w:val="004857FB"/>
    <w:rsid w:val="004863E3"/>
    <w:rsid w:val="00486743"/>
    <w:rsid w:val="004871FB"/>
    <w:rsid w:val="0048799A"/>
    <w:rsid w:val="004908EC"/>
    <w:rsid w:val="00490A85"/>
    <w:rsid w:val="004913CA"/>
    <w:rsid w:val="00491867"/>
    <w:rsid w:val="00492608"/>
    <w:rsid w:val="00492E55"/>
    <w:rsid w:val="00492F7E"/>
    <w:rsid w:val="00492FBD"/>
    <w:rsid w:val="004931AB"/>
    <w:rsid w:val="004939E5"/>
    <w:rsid w:val="0049412A"/>
    <w:rsid w:val="0049429E"/>
    <w:rsid w:val="00494B70"/>
    <w:rsid w:val="00494F40"/>
    <w:rsid w:val="00496275"/>
    <w:rsid w:val="00496ABF"/>
    <w:rsid w:val="00496CDE"/>
    <w:rsid w:val="0049793F"/>
    <w:rsid w:val="004979BE"/>
    <w:rsid w:val="00497FC8"/>
    <w:rsid w:val="004A10FF"/>
    <w:rsid w:val="004A1472"/>
    <w:rsid w:val="004A16A3"/>
    <w:rsid w:val="004A1853"/>
    <w:rsid w:val="004A19CC"/>
    <w:rsid w:val="004A1F15"/>
    <w:rsid w:val="004A2024"/>
    <w:rsid w:val="004A23CC"/>
    <w:rsid w:val="004A3277"/>
    <w:rsid w:val="004A3768"/>
    <w:rsid w:val="004A3AF8"/>
    <w:rsid w:val="004A4337"/>
    <w:rsid w:val="004A450E"/>
    <w:rsid w:val="004A5015"/>
    <w:rsid w:val="004A5286"/>
    <w:rsid w:val="004A5A37"/>
    <w:rsid w:val="004A745D"/>
    <w:rsid w:val="004A7744"/>
    <w:rsid w:val="004B07E6"/>
    <w:rsid w:val="004B0A5E"/>
    <w:rsid w:val="004B0F39"/>
    <w:rsid w:val="004B16A3"/>
    <w:rsid w:val="004B1A40"/>
    <w:rsid w:val="004B22BA"/>
    <w:rsid w:val="004B26A4"/>
    <w:rsid w:val="004B2AE7"/>
    <w:rsid w:val="004B2E30"/>
    <w:rsid w:val="004B2F2F"/>
    <w:rsid w:val="004B327B"/>
    <w:rsid w:val="004B37AF"/>
    <w:rsid w:val="004B3A77"/>
    <w:rsid w:val="004B3EB7"/>
    <w:rsid w:val="004B40F6"/>
    <w:rsid w:val="004B411F"/>
    <w:rsid w:val="004B4A39"/>
    <w:rsid w:val="004B4CFF"/>
    <w:rsid w:val="004B5172"/>
    <w:rsid w:val="004B53CE"/>
    <w:rsid w:val="004B56AF"/>
    <w:rsid w:val="004B5983"/>
    <w:rsid w:val="004B6355"/>
    <w:rsid w:val="004B7127"/>
    <w:rsid w:val="004B732D"/>
    <w:rsid w:val="004B75B1"/>
    <w:rsid w:val="004B7B65"/>
    <w:rsid w:val="004B7C68"/>
    <w:rsid w:val="004C01A4"/>
    <w:rsid w:val="004C0C6E"/>
    <w:rsid w:val="004C0D36"/>
    <w:rsid w:val="004C1410"/>
    <w:rsid w:val="004C1A5C"/>
    <w:rsid w:val="004C1E01"/>
    <w:rsid w:val="004C27DE"/>
    <w:rsid w:val="004C2EFD"/>
    <w:rsid w:val="004C3941"/>
    <w:rsid w:val="004C46A5"/>
    <w:rsid w:val="004C5E67"/>
    <w:rsid w:val="004C6098"/>
    <w:rsid w:val="004C61FF"/>
    <w:rsid w:val="004C6431"/>
    <w:rsid w:val="004C65B8"/>
    <w:rsid w:val="004C70DA"/>
    <w:rsid w:val="004C7A60"/>
    <w:rsid w:val="004D03EA"/>
    <w:rsid w:val="004D1744"/>
    <w:rsid w:val="004D286F"/>
    <w:rsid w:val="004D4160"/>
    <w:rsid w:val="004D4706"/>
    <w:rsid w:val="004D47D6"/>
    <w:rsid w:val="004D5332"/>
    <w:rsid w:val="004D553C"/>
    <w:rsid w:val="004D63D6"/>
    <w:rsid w:val="004D6A5C"/>
    <w:rsid w:val="004D6EB4"/>
    <w:rsid w:val="004D7144"/>
    <w:rsid w:val="004D776F"/>
    <w:rsid w:val="004E054B"/>
    <w:rsid w:val="004E0B5D"/>
    <w:rsid w:val="004E0BA3"/>
    <w:rsid w:val="004E0E1A"/>
    <w:rsid w:val="004E0F86"/>
    <w:rsid w:val="004E20D2"/>
    <w:rsid w:val="004E258F"/>
    <w:rsid w:val="004E2ACC"/>
    <w:rsid w:val="004E30F8"/>
    <w:rsid w:val="004E3CF9"/>
    <w:rsid w:val="004E3DC4"/>
    <w:rsid w:val="004E4707"/>
    <w:rsid w:val="004E4EAD"/>
    <w:rsid w:val="004E51BD"/>
    <w:rsid w:val="004E5739"/>
    <w:rsid w:val="004E5A10"/>
    <w:rsid w:val="004E5B24"/>
    <w:rsid w:val="004E76C7"/>
    <w:rsid w:val="004F1283"/>
    <w:rsid w:val="004F1A18"/>
    <w:rsid w:val="004F286C"/>
    <w:rsid w:val="004F2FE2"/>
    <w:rsid w:val="004F330C"/>
    <w:rsid w:val="004F33C0"/>
    <w:rsid w:val="004F3DFE"/>
    <w:rsid w:val="004F4633"/>
    <w:rsid w:val="004F4787"/>
    <w:rsid w:val="004F47C0"/>
    <w:rsid w:val="004F4999"/>
    <w:rsid w:val="004F499C"/>
    <w:rsid w:val="004F4A4C"/>
    <w:rsid w:val="004F4A56"/>
    <w:rsid w:val="004F4D5B"/>
    <w:rsid w:val="004F53DE"/>
    <w:rsid w:val="004F567A"/>
    <w:rsid w:val="004F5BC4"/>
    <w:rsid w:val="004F61C6"/>
    <w:rsid w:val="004F677B"/>
    <w:rsid w:val="004F7CF8"/>
    <w:rsid w:val="00500167"/>
    <w:rsid w:val="00500623"/>
    <w:rsid w:val="00500675"/>
    <w:rsid w:val="00500F54"/>
    <w:rsid w:val="0050107E"/>
    <w:rsid w:val="00501130"/>
    <w:rsid w:val="005018A5"/>
    <w:rsid w:val="00501AB0"/>
    <w:rsid w:val="00501D67"/>
    <w:rsid w:val="00502A8F"/>
    <w:rsid w:val="00503475"/>
    <w:rsid w:val="00503D05"/>
    <w:rsid w:val="00504006"/>
    <w:rsid w:val="00504187"/>
    <w:rsid w:val="00504450"/>
    <w:rsid w:val="0050455A"/>
    <w:rsid w:val="005046CA"/>
    <w:rsid w:val="005047DE"/>
    <w:rsid w:val="00504867"/>
    <w:rsid w:val="005057FE"/>
    <w:rsid w:val="00505AB0"/>
    <w:rsid w:val="00506C97"/>
    <w:rsid w:val="00507D4F"/>
    <w:rsid w:val="00507F26"/>
    <w:rsid w:val="005122B2"/>
    <w:rsid w:val="005123AC"/>
    <w:rsid w:val="00512A48"/>
    <w:rsid w:val="0051413C"/>
    <w:rsid w:val="00514699"/>
    <w:rsid w:val="0051536A"/>
    <w:rsid w:val="005153E5"/>
    <w:rsid w:val="00515675"/>
    <w:rsid w:val="00515DD4"/>
    <w:rsid w:val="005164EA"/>
    <w:rsid w:val="00516BE3"/>
    <w:rsid w:val="00520170"/>
    <w:rsid w:val="005212A0"/>
    <w:rsid w:val="005212A5"/>
    <w:rsid w:val="00521A3A"/>
    <w:rsid w:val="005230C2"/>
    <w:rsid w:val="005231B0"/>
    <w:rsid w:val="005241CB"/>
    <w:rsid w:val="00524477"/>
    <w:rsid w:val="00524AC8"/>
    <w:rsid w:val="00524D6A"/>
    <w:rsid w:val="00524E76"/>
    <w:rsid w:val="00525D05"/>
    <w:rsid w:val="00525F1D"/>
    <w:rsid w:val="005261A1"/>
    <w:rsid w:val="0052650D"/>
    <w:rsid w:val="00526D8F"/>
    <w:rsid w:val="0052763A"/>
    <w:rsid w:val="005302BF"/>
    <w:rsid w:val="005309F1"/>
    <w:rsid w:val="00531555"/>
    <w:rsid w:val="00531F84"/>
    <w:rsid w:val="005320CF"/>
    <w:rsid w:val="005325C2"/>
    <w:rsid w:val="00533E15"/>
    <w:rsid w:val="00534456"/>
    <w:rsid w:val="005345B1"/>
    <w:rsid w:val="00534B35"/>
    <w:rsid w:val="00534EAF"/>
    <w:rsid w:val="005352A5"/>
    <w:rsid w:val="00535BCC"/>
    <w:rsid w:val="00535D00"/>
    <w:rsid w:val="00535F6D"/>
    <w:rsid w:val="0053620B"/>
    <w:rsid w:val="00536726"/>
    <w:rsid w:val="00536DDB"/>
    <w:rsid w:val="005400ED"/>
    <w:rsid w:val="00540286"/>
    <w:rsid w:val="0054100C"/>
    <w:rsid w:val="00541D40"/>
    <w:rsid w:val="00542377"/>
    <w:rsid w:val="00542808"/>
    <w:rsid w:val="00542BA4"/>
    <w:rsid w:val="0054331E"/>
    <w:rsid w:val="005435AC"/>
    <w:rsid w:val="00543AD8"/>
    <w:rsid w:val="00544083"/>
    <w:rsid w:val="00544ECE"/>
    <w:rsid w:val="00544FDF"/>
    <w:rsid w:val="005451FF"/>
    <w:rsid w:val="005453DA"/>
    <w:rsid w:val="00545443"/>
    <w:rsid w:val="005455C4"/>
    <w:rsid w:val="00545754"/>
    <w:rsid w:val="0054667C"/>
    <w:rsid w:val="005467D8"/>
    <w:rsid w:val="00547385"/>
    <w:rsid w:val="005475C5"/>
    <w:rsid w:val="00547CAD"/>
    <w:rsid w:val="0055061A"/>
    <w:rsid w:val="005512B7"/>
    <w:rsid w:val="00551926"/>
    <w:rsid w:val="0055223C"/>
    <w:rsid w:val="0055236B"/>
    <w:rsid w:val="0055242C"/>
    <w:rsid w:val="005526F7"/>
    <w:rsid w:val="00552E0E"/>
    <w:rsid w:val="00552FD6"/>
    <w:rsid w:val="00554793"/>
    <w:rsid w:val="00554E94"/>
    <w:rsid w:val="0055612E"/>
    <w:rsid w:val="00556B16"/>
    <w:rsid w:val="0055766B"/>
    <w:rsid w:val="005578B8"/>
    <w:rsid w:val="005600D3"/>
    <w:rsid w:val="0056072D"/>
    <w:rsid w:val="00560EA8"/>
    <w:rsid w:val="005623A2"/>
    <w:rsid w:val="00562456"/>
    <w:rsid w:val="0056286A"/>
    <w:rsid w:val="00562F61"/>
    <w:rsid w:val="005636B2"/>
    <w:rsid w:val="00563B7C"/>
    <w:rsid w:val="00563F0E"/>
    <w:rsid w:val="0056446E"/>
    <w:rsid w:val="005647FA"/>
    <w:rsid w:val="005648EC"/>
    <w:rsid w:val="005651EC"/>
    <w:rsid w:val="0056563F"/>
    <w:rsid w:val="005660E0"/>
    <w:rsid w:val="005667F8"/>
    <w:rsid w:val="005673D7"/>
    <w:rsid w:val="0056749B"/>
    <w:rsid w:val="00570100"/>
    <w:rsid w:val="00570776"/>
    <w:rsid w:val="00570CCC"/>
    <w:rsid w:val="00571083"/>
    <w:rsid w:val="0057120A"/>
    <w:rsid w:val="00572E47"/>
    <w:rsid w:val="00573397"/>
    <w:rsid w:val="00573A0C"/>
    <w:rsid w:val="00574202"/>
    <w:rsid w:val="00574280"/>
    <w:rsid w:val="0057466B"/>
    <w:rsid w:val="005748E0"/>
    <w:rsid w:val="00575152"/>
    <w:rsid w:val="0057521D"/>
    <w:rsid w:val="00575EA4"/>
    <w:rsid w:val="0057678B"/>
    <w:rsid w:val="005769E2"/>
    <w:rsid w:val="00576E00"/>
    <w:rsid w:val="00576F3D"/>
    <w:rsid w:val="00577E29"/>
    <w:rsid w:val="0058013D"/>
    <w:rsid w:val="00581DC6"/>
    <w:rsid w:val="00582742"/>
    <w:rsid w:val="005836BD"/>
    <w:rsid w:val="00583BC8"/>
    <w:rsid w:val="00584340"/>
    <w:rsid w:val="005844B4"/>
    <w:rsid w:val="0058527C"/>
    <w:rsid w:val="00585852"/>
    <w:rsid w:val="00585A58"/>
    <w:rsid w:val="00585AE5"/>
    <w:rsid w:val="00586051"/>
    <w:rsid w:val="005862C6"/>
    <w:rsid w:val="005866D3"/>
    <w:rsid w:val="00586785"/>
    <w:rsid w:val="00586A82"/>
    <w:rsid w:val="0058730B"/>
    <w:rsid w:val="00587FCA"/>
    <w:rsid w:val="0059019C"/>
    <w:rsid w:val="00590613"/>
    <w:rsid w:val="005910F4"/>
    <w:rsid w:val="00591480"/>
    <w:rsid w:val="00591A2F"/>
    <w:rsid w:val="00592E11"/>
    <w:rsid w:val="005931E1"/>
    <w:rsid w:val="00593490"/>
    <w:rsid w:val="005936B4"/>
    <w:rsid w:val="00594781"/>
    <w:rsid w:val="00595CE7"/>
    <w:rsid w:val="00595DED"/>
    <w:rsid w:val="005965AF"/>
    <w:rsid w:val="00596BA5"/>
    <w:rsid w:val="0059704A"/>
    <w:rsid w:val="00597217"/>
    <w:rsid w:val="0059761A"/>
    <w:rsid w:val="005A0079"/>
    <w:rsid w:val="005A06D8"/>
    <w:rsid w:val="005A0B48"/>
    <w:rsid w:val="005A0C46"/>
    <w:rsid w:val="005A0CD3"/>
    <w:rsid w:val="005A0F0A"/>
    <w:rsid w:val="005A1BBD"/>
    <w:rsid w:val="005A1CE7"/>
    <w:rsid w:val="005A1D2E"/>
    <w:rsid w:val="005A1FE7"/>
    <w:rsid w:val="005A21B8"/>
    <w:rsid w:val="005A37B4"/>
    <w:rsid w:val="005A3912"/>
    <w:rsid w:val="005A3D2C"/>
    <w:rsid w:val="005A437D"/>
    <w:rsid w:val="005A46B4"/>
    <w:rsid w:val="005A5339"/>
    <w:rsid w:val="005A5F00"/>
    <w:rsid w:val="005A5F63"/>
    <w:rsid w:val="005B003F"/>
    <w:rsid w:val="005B0502"/>
    <w:rsid w:val="005B0623"/>
    <w:rsid w:val="005B0A96"/>
    <w:rsid w:val="005B0D34"/>
    <w:rsid w:val="005B0E74"/>
    <w:rsid w:val="005B1025"/>
    <w:rsid w:val="005B18E7"/>
    <w:rsid w:val="005B18F2"/>
    <w:rsid w:val="005B1DAE"/>
    <w:rsid w:val="005B1FD5"/>
    <w:rsid w:val="005B23CA"/>
    <w:rsid w:val="005B24BA"/>
    <w:rsid w:val="005B2C54"/>
    <w:rsid w:val="005B2D52"/>
    <w:rsid w:val="005B32FD"/>
    <w:rsid w:val="005B3B92"/>
    <w:rsid w:val="005B517B"/>
    <w:rsid w:val="005B6EEC"/>
    <w:rsid w:val="005B70CC"/>
    <w:rsid w:val="005C06EE"/>
    <w:rsid w:val="005C0AE3"/>
    <w:rsid w:val="005C0CF0"/>
    <w:rsid w:val="005C0F69"/>
    <w:rsid w:val="005C113F"/>
    <w:rsid w:val="005C16AC"/>
    <w:rsid w:val="005C1F4B"/>
    <w:rsid w:val="005C2377"/>
    <w:rsid w:val="005C273E"/>
    <w:rsid w:val="005C28F0"/>
    <w:rsid w:val="005C2E91"/>
    <w:rsid w:val="005C3337"/>
    <w:rsid w:val="005C3405"/>
    <w:rsid w:val="005C39AA"/>
    <w:rsid w:val="005C3AFD"/>
    <w:rsid w:val="005C411B"/>
    <w:rsid w:val="005C46C1"/>
    <w:rsid w:val="005C544F"/>
    <w:rsid w:val="005C6EC1"/>
    <w:rsid w:val="005C7639"/>
    <w:rsid w:val="005C7B4F"/>
    <w:rsid w:val="005D0290"/>
    <w:rsid w:val="005D0655"/>
    <w:rsid w:val="005D06AB"/>
    <w:rsid w:val="005D1017"/>
    <w:rsid w:val="005D1650"/>
    <w:rsid w:val="005D26E7"/>
    <w:rsid w:val="005D285B"/>
    <w:rsid w:val="005D3674"/>
    <w:rsid w:val="005D4766"/>
    <w:rsid w:val="005D56B8"/>
    <w:rsid w:val="005D56CD"/>
    <w:rsid w:val="005D56DB"/>
    <w:rsid w:val="005D5872"/>
    <w:rsid w:val="005D5AC4"/>
    <w:rsid w:val="005D5EC8"/>
    <w:rsid w:val="005D66A1"/>
    <w:rsid w:val="005D7137"/>
    <w:rsid w:val="005D731C"/>
    <w:rsid w:val="005D7FD3"/>
    <w:rsid w:val="005E05D3"/>
    <w:rsid w:val="005E0936"/>
    <w:rsid w:val="005E0E8F"/>
    <w:rsid w:val="005E191B"/>
    <w:rsid w:val="005E2025"/>
    <w:rsid w:val="005E2922"/>
    <w:rsid w:val="005E2A04"/>
    <w:rsid w:val="005E2E28"/>
    <w:rsid w:val="005E33F6"/>
    <w:rsid w:val="005E36CE"/>
    <w:rsid w:val="005E5CB7"/>
    <w:rsid w:val="005E6EE9"/>
    <w:rsid w:val="005E7B6C"/>
    <w:rsid w:val="005E7C7D"/>
    <w:rsid w:val="005F045A"/>
    <w:rsid w:val="005F1AF6"/>
    <w:rsid w:val="005F1E0A"/>
    <w:rsid w:val="005F21B5"/>
    <w:rsid w:val="005F23B9"/>
    <w:rsid w:val="005F2949"/>
    <w:rsid w:val="005F2A19"/>
    <w:rsid w:val="005F34CE"/>
    <w:rsid w:val="005F387A"/>
    <w:rsid w:val="005F3DAA"/>
    <w:rsid w:val="005F49C4"/>
    <w:rsid w:val="005F5E06"/>
    <w:rsid w:val="005F5FDB"/>
    <w:rsid w:val="005F7C26"/>
    <w:rsid w:val="005F7EC3"/>
    <w:rsid w:val="00600627"/>
    <w:rsid w:val="00600789"/>
    <w:rsid w:val="00600B0A"/>
    <w:rsid w:val="00601776"/>
    <w:rsid w:val="0060177F"/>
    <w:rsid w:val="00602954"/>
    <w:rsid w:val="00604720"/>
    <w:rsid w:val="0060511E"/>
    <w:rsid w:val="00605794"/>
    <w:rsid w:val="0060588B"/>
    <w:rsid w:val="00605985"/>
    <w:rsid w:val="00605CFE"/>
    <w:rsid w:val="00606035"/>
    <w:rsid w:val="00606DCF"/>
    <w:rsid w:val="00606F42"/>
    <w:rsid w:val="0060726E"/>
    <w:rsid w:val="00607540"/>
    <w:rsid w:val="0060779A"/>
    <w:rsid w:val="00610186"/>
    <w:rsid w:val="00610C92"/>
    <w:rsid w:val="006112CA"/>
    <w:rsid w:val="00611B87"/>
    <w:rsid w:val="006120E9"/>
    <w:rsid w:val="00612464"/>
    <w:rsid w:val="006126DB"/>
    <w:rsid w:val="00612B14"/>
    <w:rsid w:val="00612D8E"/>
    <w:rsid w:val="00613C3B"/>
    <w:rsid w:val="00613CA9"/>
    <w:rsid w:val="00614120"/>
    <w:rsid w:val="006145EA"/>
    <w:rsid w:val="00614D6A"/>
    <w:rsid w:val="00615075"/>
    <w:rsid w:val="00615982"/>
    <w:rsid w:val="00615EB8"/>
    <w:rsid w:val="0061661D"/>
    <w:rsid w:val="0061682A"/>
    <w:rsid w:val="00617155"/>
    <w:rsid w:val="006179AE"/>
    <w:rsid w:val="00617A13"/>
    <w:rsid w:val="00620961"/>
    <w:rsid w:val="00621320"/>
    <w:rsid w:val="006213F6"/>
    <w:rsid w:val="00621D57"/>
    <w:rsid w:val="006225A3"/>
    <w:rsid w:val="00622A49"/>
    <w:rsid w:val="00622B90"/>
    <w:rsid w:val="00624961"/>
    <w:rsid w:val="00624B9A"/>
    <w:rsid w:val="00624C13"/>
    <w:rsid w:val="006261C2"/>
    <w:rsid w:val="006263AE"/>
    <w:rsid w:val="006266F5"/>
    <w:rsid w:val="00626D1C"/>
    <w:rsid w:val="0062719F"/>
    <w:rsid w:val="006272E2"/>
    <w:rsid w:val="006304EC"/>
    <w:rsid w:val="0063086D"/>
    <w:rsid w:val="006316D8"/>
    <w:rsid w:val="00631B76"/>
    <w:rsid w:val="00632074"/>
    <w:rsid w:val="00632145"/>
    <w:rsid w:val="00632213"/>
    <w:rsid w:val="00632AD2"/>
    <w:rsid w:val="00632C3D"/>
    <w:rsid w:val="00634782"/>
    <w:rsid w:val="00634C3E"/>
    <w:rsid w:val="00635B2A"/>
    <w:rsid w:val="00635D64"/>
    <w:rsid w:val="00640A88"/>
    <w:rsid w:val="00640BF4"/>
    <w:rsid w:val="00640C63"/>
    <w:rsid w:val="00640F98"/>
    <w:rsid w:val="00641FE6"/>
    <w:rsid w:val="00643145"/>
    <w:rsid w:val="006439A2"/>
    <w:rsid w:val="00643E5A"/>
    <w:rsid w:val="006440A8"/>
    <w:rsid w:val="0064461D"/>
    <w:rsid w:val="00644AE4"/>
    <w:rsid w:val="006459ED"/>
    <w:rsid w:val="00645EFA"/>
    <w:rsid w:val="0064665D"/>
    <w:rsid w:val="006468C7"/>
    <w:rsid w:val="00646E76"/>
    <w:rsid w:val="0064718F"/>
    <w:rsid w:val="006475E6"/>
    <w:rsid w:val="00647B18"/>
    <w:rsid w:val="0065036D"/>
    <w:rsid w:val="00650AD5"/>
    <w:rsid w:val="00650C2F"/>
    <w:rsid w:val="00650C56"/>
    <w:rsid w:val="00650D0B"/>
    <w:rsid w:val="00651C0D"/>
    <w:rsid w:val="006522A6"/>
    <w:rsid w:val="006528A3"/>
    <w:rsid w:val="00652B75"/>
    <w:rsid w:val="00653A3F"/>
    <w:rsid w:val="00653DEE"/>
    <w:rsid w:val="006542BA"/>
    <w:rsid w:val="006542F2"/>
    <w:rsid w:val="006543C4"/>
    <w:rsid w:val="006546C1"/>
    <w:rsid w:val="0065499D"/>
    <w:rsid w:val="00654A1D"/>
    <w:rsid w:val="0065519C"/>
    <w:rsid w:val="00655A91"/>
    <w:rsid w:val="00656DA9"/>
    <w:rsid w:val="006576BF"/>
    <w:rsid w:val="00657F02"/>
    <w:rsid w:val="00660E71"/>
    <w:rsid w:val="00660FA8"/>
    <w:rsid w:val="006612EF"/>
    <w:rsid w:val="006618BF"/>
    <w:rsid w:val="00661CA8"/>
    <w:rsid w:val="00661E57"/>
    <w:rsid w:val="00663139"/>
    <w:rsid w:val="00663669"/>
    <w:rsid w:val="0066423D"/>
    <w:rsid w:val="0066445D"/>
    <w:rsid w:val="006647E4"/>
    <w:rsid w:val="00666601"/>
    <w:rsid w:val="006668D7"/>
    <w:rsid w:val="00667055"/>
    <w:rsid w:val="006670FC"/>
    <w:rsid w:val="006677AD"/>
    <w:rsid w:val="006678DA"/>
    <w:rsid w:val="006704EA"/>
    <w:rsid w:val="0067075B"/>
    <w:rsid w:val="0067077A"/>
    <w:rsid w:val="00670EDC"/>
    <w:rsid w:val="00670F39"/>
    <w:rsid w:val="006715A6"/>
    <w:rsid w:val="00671CB6"/>
    <w:rsid w:val="00671DFF"/>
    <w:rsid w:val="0067280D"/>
    <w:rsid w:val="00672855"/>
    <w:rsid w:val="006733BC"/>
    <w:rsid w:val="00673F40"/>
    <w:rsid w:val="006743B5"/>
    <w:rsid w:val="00674BFE"/>
    <w:rsid w:val="006753DD"/>
    <w:rsid w:val="00675722"/>
    <w:rsid w:val="006757B9"/>
    <w:rsid w:val="0067591B"/>
    <w:rsid w:val="00675E2B"/>
    <w:rsid w:val="006760EA"/>
    <w:rsid w:val="0067615F"/>
    <w:rsid w:val="00676776"/>
    <w:rsid w:val="00676860"/>
    <w:rsid w:val="00676F93"/>
    <w:rsid w:val="006777EB"/>
    <w:rsid w:val="006807AE"/>
    <w:rsid w:val="00680AD5"/>
    <w:rsid w:val="0068205B"/>
    <w:rsid w:val="0068234A"/>
    <w:rsid w:val="006823C4"/>
    <w:rsid w:val="006824BE"/>
    <w:rsid w:val="00682534"/>
    <w:rsid w:val="00682664"/>
    <w:rsid w:val="0068266A"/>
    <w:rsid w:val="006826A8"/>
    <w:rsid w:val="00682802"/>
    <w:rsid w:val="0068395A"/>
    <w:rsid w:val="00683A20"/>
    <w:rsid w:val="00683C21"/>
    <w:rsid w:val="00683C5C"/>
    <w:rsid w:val="00684FA7"/>
    <w:rsid w:val="00685551"/>
    <w:rsid w:val="00685558"/>
    <w:rsid w:val="00685934"/>
    <w:rsid w:val="00685D77"/>
    <w:rsid w:val="0068667B"/>
    <w:rsid w:val="00686CA7"/>
    <w:rsid w:val="00686F7C"/>
    <w:rsid w:val="0068709B"/>
    <w:rsid w:val="0068781D"/>
    <w:rsid w:val="00687AC8"/>
    <w:rsid w:val="00687D2E"/>
    <w:rsid w:val="00690E8D"/>
    <w:rsid w:val="00691DAD"/>
    <w:rsid w:val="0069259C"/>
    <w:rsid w:val="006929AB"/>
    <w:rsid w:val="00692A32"/>
    <w:rsid w:val="00693267"/>
    <w:rsid w:val="00693A9F"/>
    <w:rsid w:val="00694980"/>
    <w:rsid w:val="00695139"/>
    <w:rsid w:val="00696A41"/>
    <w:rsid w:val="00696B1E"/>
    <w:rsid w:val="00696F77"/>
    <w:rsid w:val="006977C7"/>
    <w:rsid w:val="006A0480"/>
    <w:rsid w:val="006A0589"/>
    <w:rsid w:val="006A2D5A"/>
    <w:rsid w:val="006A3DB2"/>
    <w:rsid w:val="006A4139"/>
    <w:rsid w:val="006A4DC8"/>
    <w:rsid w:val="006A5BE2"/>
    <w:rsid w:val="006A5CCE"/>
    <w:rsid w:val="006A69D0"/>
    <w:rsid w:val="006A725B"/>
    <w:rsid w:val="006A79F7"/>
    <w:rsid w:val="006B01F1"/>
    <w:rsid w:val="006B2BA5"/>
    <w:rsid w:val="006B2BEE"/>
    <w:rsid w:val="006B2F75"/>
    <w:rsid w:val="006B2FD2"/>
    <w:rsid w:val="006B3059"/>
    <w:rsid w:val="006B3165"/>
    <w:rsid w:val="006B4915"/>
    <w:rsid w:val="006B4A81"/>
    <w:rsid w:val="006B4ADA"/>
    <w:rsid w:val="006B4C77"/>
    <w:rsid w:val="006B4FF2"/>
    <w:rsid w:val="006B5040"/>
    <w:rsid w:val="006B504F"/>
    <w:rsid w:val="006B5551"/>
    <w:rsid w:val="006B55FA"/>
    <w:rsid w:val="006B5898"/>
    <w:rsid w:val="006B5E19"/>
    <w:rsid w:val="006B5E8D"/>
    <w:rsid w:val="006B6183"/>
    <w:rsid w:val="006B6AF7"/>
    <w:rsid w:val="006B79EA"/>
    <w:rsid w:val="006B7C2C"/>
    <w:rsid w:val="006C0C38"/>
    <w:rsid w:val="006C1E24"/>
    <w:rsid w:val="006C2141"/>
    <w:rsid w:val="006C237A"/>
    <w:rsid w:val="006C2641"/>
    <w:rsid w:val="006C28C3"/>
    <w:rsid w:val="006C3FD5"/>
    <w:rsid w:val="006C535F"/>
    <w:rsid w:val="006C542C"/>
    <w:rsid w:val="006C5CF4"/>
    <w:rsid w:val="006C7841"/>
    <w:rsid w:val="006C7C97"/>
    <w:rsid w:val="006C7C98"/>
    <w:rsid w:val="006D05A6"/>
    <w:rsid w:val="006D0728"/>
    <w:rsid w:val="006D165E"/>
    <w:rsid w:val="006D2188"/>
    <w:rsid w:val="006D23D4"/>
    <w:rsid w:val="006D2630"/>
    <w:rsid w:val="006D2917"/>
    <w:rsid w:val="006D2F3E"/>
    <w:rsid w:val="006D3555"/>
    <w:rsid w:val="006D3A8F"/>
    <w:rsid w:val="006D5A21"/>
    <w:rsid w:val="006D5A54"/>
    <w:rsid w:val="006D5B08"/>
    <w:rsid w:val="006D5B33"/>
    <w:rsid w:val="006D6B00"/>
    <w:rsid w:val="006D6F0F"/>
    <w:rsid w:val="006D7C9D"/>
    <w:rsid w:val="006D7CA4"/>
    <w:rsid w:val="006D7DEC"/>
    <w:rsid w:val="006E1460"/>
    <w:rsid w:val="006E19E4"/>
    <w:rsid w:val="006E1A37"/>
    <w:rsid w:val="006E264B"/>
    <w:rsid w:val="006E2A69"/>
    <w:rsid w:val="006E2D88"/>
    <w:rsid w:val="006E2FD7"/>
    <w:rsid w:val="006E3044"/>
    <w:rsid w:val="006E3705"/>
    <w:rsid w:val="006E43B5"/>
    <w:rsid w:val="006E525C"/>
    <w:rsid w:val="006E52EB"/>
    <w:rsid w:val="006E5438"/>
    <w:rsid w:val="006E5481"/>
    <w:rsid w:val="006E5AEB"/>
    <w:rsid w:val="006E5C9B"/>
    <w:rsid w:val="006E6453"/>
    <w:rsid w:val="006E7AF5"/>
    <w:rsid w:val="006F0029"/>
    <w:rsid w:val="006F0645"/>
    <w:rsid w:val="006F088B"/>
    <w:rsid w:val="006F0ABF"/>
    <w:rsid w:val="006F0B68"/>
    <w:rsid w:val="006F1888"/>
    <w:rsid w:val="006F1A2B"/>
    <w:rsid w:val="006F2045"/>
    <w:rsid w:val="006F206A"/>
    <w:rsid w:val="006F2307"/>
    <w:rsid w:val="006F2C29"/>
    <w:rsid w:val="006F2C70"/>
    <w:rsid w:val="006F3234"/>
    <w:rsid w:val="006F4373"/>
    <w:rsid w:val="006F50C8"/>
    <w:rsid w:val="006F5172"/>
    <w:rsid w:val="006F5369"/>
    <w:rsid w:val="006F5A30"/>
    <w:rsid w:val="006F6470"/>
    <w:rsid w:val="006F68CE"/>
    <w:rsid w:val="007006F1"/>
    <w:rsid w:val="00700A4E"/>
    <w:rsid w:val="00701B07"/>
    <w:rsid w:val="00701D41"/>
    <w:rsid w:val="007024BB"/>
    <w:rsid w:val="00702D97"/>
    <w:rsid w:val="00703AE9"/>
    <w:rsid w:val="00703DFB"/>
    <w:rsid w:val="00704E8C"/>
    <w:rsid w:val="00705A2C"/>
    <w:rsid w:val="00706101"/>
    <w:rsid w:val="00706550"/>
    <w:rsid w:val="007066C4"/>
    <w:rsid w:val="007071AF"/>
    <w:rsid w:val="007071D3"/>
    <w:rsid w:val="00707489"/>
    <w:rsid w:val="0070783E"/>
    <w:rsid w:val="007100A8"/>
    <w:rsid w:val="00710300"/>
    <w:rsid w:val="00710467"/>
    <w:rsid w:val="00710682"/>
    <w:rsid w:val="00710706"/>
    <w:rsid w:val="00710D2C"/>
    <w:rsid w:val="0071137C"/>
    <w:rsid w:val="007119F8"/>
    <w:rsid w:val="007137A5"/>
    <w:rsid w:val="00713E2B"/>
    <w:rsid w:val="00714955"/>
    <w:rsid w:val="00715A77"/>
    <w:rsid w:val="00717915"/>
    <w:rsid w:val="00717B4B"/>
    <w:rsid w:val="0072039C"/>
    <w:rsid w:val="007203A8"/>
    <w:rsid w:val="00720E39"/>
    <w:rsid w:val="0072147C"/>
    <w:rsid w:val="00721F1E"/>
    <w:rsid w:val="007227E8"/>
    <w:rsid w:val="007229E3"/>
    <w:rsid w:val="00722D29"/>
    <w:rsid w:val="00723150"/>
    <w:rsid w:val="00723557"/>
    <w:rsid w:val="00723616"/>
    <w:rsid w:val="00723E64"/>
    <w:rsid w:val="00724BCF"/>
    <w:rsid w:val="00725927"/>
    <w:rsid w:val="00725937"/>
    <w:rsid w:val="00727556"/>
    <w:rsid w:val="00731645"/>
    <w:rsid w:val="00731BD4"/>
    <w:rsid w:val="00732F27"/>
    <w:rsid w:val="007335E5"/>
    <w:rsid w:val="007339E7"/>
    <w:rsid w:val="00735222"/>
    <w:rsid w:val="00735283"/>
    <w:rsid w:val="007358BF"/>
    <w:rsid w:val="007358F0"/>
    <w:rsid w:val="00735D2D"/>
    <w:rsid w:val="00735F28"/>
    <w:rsid w:val="007360E1"/>
    <w:rsid w:val="00736120"/>
    <w:rsid w:val="007365D0"/>
    <w:rsid w:val="007367AA"/>
    <w:rsid w:val="007373AC"/>
    <w:rsid w:val="00737DEE"/>
    <w:rsid w:val="00740BBC"/>
    <w:rsid w:val="00741A13"/>
    <w:rsid w:val="0074221C"/>
    <w:rsid w:val="007423DE"/>
    <w:rsid w:val="0074295A"/>
    <w:rsid w:val="00743C5A"/>
    <w:rsid w:val="00743F22"/>
    <w:rsid w:val="007440AA"/>
    <w:rsid w:val="00744440"/>
    <w:rsid w:val="00744638"/>
    <w:rsid w:val="00745921"/>
    <w:rsid w:val="00745941"/>
    <w:rsid w:val="00746B12"/>
    <w:rsid w:val="0074766F"/>
    <w:rsid w:val="00747CD9"/>
    <w:rsid w:val="00750326"/>
    <w:rsid w:val="00750605"/>
    <w:rsid w:val="007506A7"/>
    <w:rsid w:val="00751235"/>
    <w:rsid w:val="00751FD9"/>
    <w:rsid w:val="0075346C"/>
    <w:rsid w:val="00753E2E"/>
    <w:rsid w:val="0075570D"/>
    <w:rsid w:val="00755C0F"/>
    <w:rsid w:val="00756421"/>
    <w:rsid w:val="00757C6C"/>
    <w:rsid w:val="00757C6E"/>
    <w:rsid w:val="007600BE"/>
    <w:rsid w:val="00760E5B"/>
    <w:rsid w:val="00761296"/>
    <w:rsid w:val="0076139A"/>
    <w:rsid w:val="00761C3D"/>
    <w:rsid w:val="007624D5"/>
    <w:rsid w:val="0076251F"/>
    <w:rsid w:val="007633FB"/>
    <w:rsid w:val="0076341A"/>
    <w:rsid w:val="00763635"/>
    <w:rsid w:val="00763BF9"/>
    <w:rsid w:val="00764CDF"/>
    <w:rsid w:val="00764E7E"/>
    <w:rsid w:val="007705EA"/>
    <w:rsid w:val="00770947"/>
    <w:rsid w:val="00771291"/>
    <w:rsid w:val="007713C5"/>
    <w:rsid w:val="0077199C"/>
    <w:rsid w:val="007719AD"/>
    <w:rsid w:val="007722B1"/>
    <w:rsid w:val="007736F4"/>
    <w:rsid w:val="007737A6"/>
    <w:rsid w:val="00773837"/>
    <w:rsid w:val="00773E92"/>
    <w:rsid w:val="00774508"/>
    <w:rsid w:val="00774BFB"/>
    <w:rsid w:val="00775180"/>
    <w:rsid w:val="00775A00"/>
    <w:rsid w:val="00775C20"/>
    <w:rsid w:val="00776291"/>
    <w:rsid w:val="007766E9"/>
    <w:rsid w:val="00776AF0"/>
    <w:rsid w:val="0077792E"/>
    <w:rsid w:val="00777ADF"/>
    <w:rsid w:val="0078035D"/>
    <w:rsid w:val="007806D8"/>
    <w:rsid w:val="00780A7F"/>
    <w:rsid w:val="00780B1A"/>
    <w:rsid w:val="0078110D"/>
    <w:rsid w:val="00781274"/>
    <w:rsid w:val="00782459"/>
    <w:rsid w:val="00782468"/>
    <w:rsid w:val="00782904"/>
    <w:rsid w:val="00782975"/>
    <w:rsid w:val="007834FB"/>
    <w:rsid w:val="007836D7"/>
    <w:rsid w:val="00783BB0"/>
    <w:rsid w:val="00784456"/>
    <w:rsid w:val="00784DBF"/>
    <w:rsid w:val="00785E15"/>
    <w:rsid w:val="00785F1E"/>
    <w:rsid w:val="00786F7F"/>
    <w:rsid w:val="007878E2"/>
    <w:rsid w:val="00787A42"/>
    <w:rsid w:val="00787D5B"/>
    <w:rsid w:val="00790D28"/>
    <w:rsid w:val="00790FE4"/>
    <w:rsid w:val="00791C1B"/>
    <w:rsid w:val="00792FAB"/>
    <w:rsid w:val="007934B2"/>
    <w:rsid w:val="00793802"/>
    <w:rsid w:val="007938C8"/>
    <w:rsid w:val="00793E30"/>
    <w:rsid w:val="007941B2"/>
    <w:rsid w:val="00794F09"/>
    <w:rsid w:val="007951E7"/>
    <w:rsid w:val="00795304"/>
    <w:rsid w:val="00795778"/>
    <w:rsid w:val="00795858"/>
    <w:rsid w:val="00795A92"/>
    <w:rsid w:val="00796134"/>
    <w:rsid w:val="00796386"/>
    <w:rsid w:val="00796961"/>
    <w:rsid w:val="007A10F2"/>
    <w:rsid w:val="007A22EF"/>
    <w:rsid w:val="007A2D43"/>
    <w:rsid w:val="007A2F2E"/>
    <w:rsid w:val="007A35D3"/>
    <w:rsid w:val="007A3C0B"/>
    <w:rsid w:val="007A4501"/>
    <w:rsid w:val="007A46F3"/>
    <w:rsid w:val="007A4AB7"/>
    <w:rsid w:val="007A4B28"/>
    <w:rsid w:val="007A5507"/>
    <w:rsid w:val="007A5757"/>
    <w:rsid w:val="007A599D"/>
    <w:rsid w:val="007A5C4A"/>
    <w:rsid w:val="007A5CFE"/>
    <w:rsid w:val="007A6042"/>
    <w:rsid w:val="007A62A5"/>
    <w:rsid w:val="007A65CC"/>
    <w:rsid w:val="007A6677"/>
    <w:rsid w:val="007A66DB"/>
    <w:rsid w:val="007A6B67"/>
    <w:rsid w:val="007A763F"/>
    <w:rsid w:val="007A7A2E"/>
    <w:rsid w:val="007B02C8"/>
    <w:rsid w:val="007B0B5E"/>
    <w:rsid w:val="007B0D90"/>
    <w:rsid w:val="007B1493"/>
    <w:rsid w:val="007B1AAE"/>
    <w:rsid w:val="007B1CAE"/>
    <w:rsid w:val="007B2610"/>
    <w:rsid w:val="007B339B"/>
    <w:rsid w:val="007B3488"/>
    <w:rsid w:val="007B366F"/>
    <w:rsid w:val="007B37D5"/>
    <w:rsid w:val="007B396A"/>
    <w:rsid w:val="007B43D0"/>
    <w:rsid w:val="007B47EA"/>
    <w:rsid w:val="007B5985"/>
    <w:rsid w:val="007B5CB4"/>
    <w:rsid w:val="007B662A"/>
    <w:rsid w:val="007B73EB"/>
    <w:rsid w:val="007B784A"/>
    <w:rsid w:val="007B7ABC"/>
    <w:rsid w:val="007C0489"/>
    <w:rsid w:val="007C10CF"/>
    <w:rsid w:val="007C1885"/>
    <w:rsid w:val="007C1C1A"/>
    <w:rsid w:val="007C1FC7"/>
    <w:rsid w:val="007C29A4"/>
    <w:rsid w:val="007C2FA7"/>
    <w:rsid w:val="007C30A8"/>
    <w:rsid w:val="007C374B"/>
    <w:rsid w:val="007C4020"/>
    <w:rsid w:val="007C4B7E"/>
    <w:rsid w:val="007C4C77"/>
    <w:rsid w:val="007C5A25"/>
    <w:rsid w:val="007C602A"/>
    <w:rsid w:val="007C6343"/>
    <w:rsid w:val="007C6872"/>
    <w:rsid w:val="007C698A"/>
    <w:rsid w:val="007C73B3"/>
    <w:rsid w:val="007C7D27"/>
    <w:rsid w:val="007D10B3"/>
    <w:rsid w:val="007D10BF"/>
    <w:rsid w:val="007D1243"/>
    <w:rsid w:val="007D1AFF"/>
    <w:rsid w:val="007D1BC4"/>
    <w:rsid w:val="007D217E"/>
    <w:rsid w:val="007D24D9"/>
    <w:rsid w:val="007D28D8"/>
    <w:rsid w:val="007D2B94"/>
    <w:rsid w:val="007D3BCC"/>
    <w:rsid w:val="007D3F6A"/>
    <w:rsid w:val="007D3F88"/>
    <w:rsid w:val="007D3F92"/>
    <w:rsid w:val="007D4123"/>
    <w:rsid w:val="007D437B"/>
    <w:rsid w:val="007D50D6"/>
    <w:rsid w:val="007D5A93"/>
    <w:rsid w:val="007D5C7E"/>
    <w:rsid w:val="007D6317"/>
    <w:rsid w:val="007D6608"/>
    <w:rsid w:val="007D66A0"/>
    <w:rsid w:val="007D6981"/>
    <w:rsid w:val="007D6FF4"/>
    <w:rsid w:val="007D7418"/>
    <w:rsid w:val="007D7CD0"/>
    <w:rsid w:val="007D7E52"/>
    <w:rsid w:val="007E03EF"/>
    <w:rsid w:val="007E05C6"/>
    <w:rsid w:val="007E0F5A"/>
    <w:rsid w:val="007E1026"/>
    <w:rsid w:val="007E1155"/>
    <w:rsid w:val="007E16D7"/>
    <w:rsid w:val="007E18E6"/>
    <w:rsid w:val="007E1998"/>
    <w:rsid w:val="007E19B4"/>
    <w:rsid w:val="007E2096"/>
    <w:rsid w:val="007E20A6"/>
    <w:rsid w:val="007E2906"/>
    <w:rsid w:val="007E2C3F"/>
    <w:rsid w:val="007E2D97"/>
    <w:rsid w:val="007E2F56"/>
    <w:rsid w:val="007E3234"/>
    <w:rsid w:val="007E3246"/>
    <w:rsid w:val="007E3520"/>
    <w:rsid w:val="007E4150"/>
    <w:rsid w:val="007E4C77"/>
    <w:rsid w:val="007E5232"/>
    <w:rsid w:val="007E52D4"/>
    <w:rsid w:val="007E5431"/>
    <w:rsid w:val="007E595A"/>
    <w:rsid w:val="007E5D49"/>
    <w:rsid w:val="007E671C"/>
    <w:rsid w:val="007E6C52"/>
    <w:rsid w:val="007E7158"/>
    <w:rsid w:val="007E7172"/>
    <w:rsid w:val="007E734F"/>
    <w:rsid w:val="007E79DA"/>
    <w:rsid w:val="007F0D4D"/>
    <w:rsid w:val="007F15AD"/>
    <w:rsid w:val="007F1CC2"/>
    <w:rsid w:val="007F21C1"/>
    <w:rsid w:val="007F2BBD"/>
    <w:rsid w:val="007F3620"/>
    <w:rsid w:val="007F37DE"/>
    <w:rsid w:val="007F39F8"/>
    <w:rsid w:val="007F4102"/>
    <w:rsid w:val="007F4344"/>
    <w:rsid w:val="007F4C19"/>
    <w:rsid w:val="007F63FA"/>
    <w:rsid w:val="007F761B"/>
    <w:rsid w:val="007F79EF"/>
    <w:rsid w:val="007F7B0E"/>
    <w:rsid w:val="007F7B65"/>
    <w:rsid w:val="0080043D"/>
    <w:rsid w:val="00800895"/>
    <w:rsid w:val="00800F1C"/>
    <w:rsid w:val="00801241"/>
    <w:rsid w:val="00802795"/>
    <w:rsid w:val="008030FB"/>
    <w:rsid w:val="00803919"/>
    <w:rsid w:val="00803C40"/>
    <w:rsid w:val="008040D4"/>
    <w:rsid w:val="00804AD4"/>
    <w:rsid w:val="00804AE0"/>
    <w:rsid w:val="00805886"/>
    <w:rsid w:val="00805B33"/>
    <w:rsid w:val="00807061"/>
    <w:rsid w:val="008076F3"/>
    <w:rsid w:val="008077E7"/>
    <w:rsid w:val="008078B4"/>
    <w:rsid w:val="00807F36"/>
    <w:rsid w:val="00810471"/>
    <w:rsid w:val="00810692"/>
    <w:rsid w:val="00810D2D"/>
    <w:rsid w:val="00810FEE"/>
    <w:rsid w:val="00811BB6"/>
    <w:rsid w:val="00811D26"/>
    <w:rsid w:val="008121A6"/>
    <w:rsid w:val="00812608"/>
    <w:rsid w:val="00812BD1"/>
    <w:rsid w:val="008139E7"/>
    <w:rsid w:val="00813B8E"/>
    <w:rsid w:val="00814845"/>
    <w:rsid w:val="0081498C"/>
    <w:rsid w:val="0081632B"/>
    <w:rsid w:val="008163CE"/>
    <w:rsid w:val="0081657B"/>
    <w:rsid w:val="008166BA"/>
    <w:rsid w:val="0081675F"/>
    <w:rsid w:val="00817005"/>
    <w:rsid w:val="008173D1"/>
    <w:rsid w:val="00817A50"/>
    <w:rsid w:val="00817ED9"/>
    <w:rsid w:val="0082029D"/>
    <w:rsid w:val="00820B23"/>
    <w:rsid w:val="00821092"/>
    <w:rsid w:val="0082152C"/>
    <w:rsid w:val="00821726"/>
    <w:rsid w:val="0082184D"/>
    <w:rsid w:val="00821FA0"/>
    <w:rsid w:val="008229B3"/>
    <w:rsid w:val="008229BA"/>
    <w:rsid w:val="00824B4D"/>
    <w:rsid w:val="00824F8D"/>
    <w:rsid w:val="0082527F"/>
    <w:rsid w:val="00825424"/>
    <w:rsid w:val="00825547"/>
    <w:rsid w:val="00827C7A"/>
    <w:rsid w:val="00827E46"/>
    <w:rsid w:val="00830D55"/>
    <w:rsid w:val="00831032"/>
    <w:rsid w:val="008324F4"/>
    <w:rsid w:val="00832B44"/>
    <w:rsid w:val="00833567"/>
    <w:rsid w:val="00833727"/>
    <w:rsid w:val="00833806"/>
    <w:rsid w:val="00833F5B"/>
    <w:rsid w:val="00834B42"/>
    <w:rsid w:val="00834BDF"/>
    <w:rsid w:val="0083524B"/>
    <w:rsid w:val="008357A2"/>
    <w:rsid w:val="00835C45"/>
    <w:rsid w:val="00837179"/>
    <w:rsid w:val="00837382"/>
    <w:rsid w:val="00837C74"/>
    <w:rsid w:val="00840C07"/>
    <w:rsid w:val="008415E1"/>
    <w:rsid w:val="008418E3"/>
    <w:rsid w:val="00841B6E"/>
    <w:rsid w:val="0084243A"/>
    <w:rsid w:val="00842478"/>
    <w:rsid w:val="0084247E"/>
    <w:rsid w:val="00842778"/>
    <w:rsid w:val="00842A95"/>
    <w:rsid w:val="0084342A"/>
    <w:rsid w:val="0084364B"/>
    <w:rsid w:val="008439D4"/>
    <w:rsid w:val="00843C13"/>
    <w:rsid w:val="00843C22"/>
    <w:rsid w:val="008444FB"/>
    <w:rsid w:val="008448E6"/>
    <w:rsid w:val="00845233"/>
    <w:rsid w:val="0084583B"/>
    <w:rsid w:val="00845D13"/>
    <w:rsid w:val="00845E2F"/>
    <w:rsid w:val="0084608F"/>
    <w:rsid w:val="008460F9"/>
    <w:rsid w:val="0084620A"/>
    <w:rsid w:val="00846621"/>
    <w:rsid w:val="00846D6C"/>
    <w:rsid w:val="00846E96"/>
    <w:rsid w:val="00846EAA"/>
    <w:rsid w:val="0084732F"/>
    <w:rsid w:val="0084739E"/>
    <w:rsid w:val="008474BD"/>
    <w:rsid w:val="0084752F"/>
    <w:rsid w:val="00847786"/>
    <w:rsid w:val="00847C5A"/>
    <w:rsid w:val="00850A90"/>
    <w:rsid w:val="00850EDF"/>
    <w:rsid w:val="00851BD1"/>
    <w:rsid w:val="00851BE7"/>
    <w:rsid w:val="00851FA0"/>
    <w:rsid w:val="00852078"/>
    <w:rsid w:val="008522D9"/>
    <w:rsid w:val="00852B1D"/>
    <w:rsid w:val="00853062"/>
    <w:rsid w:val="00853980"/>
    <w:rsid w:val="008544CC"/>
    <w:rsid w:val="008544FC"/>
    <w:rsid w:val="0085452E"/>
    <w:rsid w:val="00854629"/>
    <w:rsid w:val="00854872"/>
    <w:rsid w:val="00854C9F"/>
    <w:rsid w:val="0085519E"/>
    <w:rsid w:val="00855E19"/>
    <w:rsid w:val="00855E24"/>
    <w:rsid w:val="00855F47"/>
    <w:rsid w:val="00856615"/>
    <w:rsid w:val="00856A26"/>
    <w:rsid w:val="00857387"/>
    <w:rsid w:val="00857574"/>
    <w:rsid w:val="00857C79"/>
    <w:rsid w:val="00857E14"/>
    <w:rsid w:val="00860952"/>
    <w:rsid w:val="00861D87"/>
    <w:rsid w:val="008621CC"/>
    <w:rsid w:val="0086258C"/>
    <w:rsid w:val="00862734"/>
    <w:rsid w:val="00863264"/>
    <w:rsid w:val="00863AE1"/>
    <w:rsid w:val="00863F71"/>
    <w:rsid w:val="008647AD"/>
    <w:rsid w:val="008648EA"/>
    <w:rsid w:val="00864B3F"/>
    <w:rsid w:val="00865AB6"/>
    <w:rsid w:val="00865DC8"/>
    <w:rsid w:val="008662C5"/>
    <w:rsid w:val="00866615"/>
    <w:rsid w:val="00866E3E"/>
    <w:rsid w:val="00867692"/>
    <w:rsid w:val="00867CEC"/>
    <w:rsid w:val="00867FFD"/>
    <w:rsid w:val="008701CC"/>
    <w:rsid w:val="008702F1"/>
    <w:rsid w:val="00871566"/>
    <w:rsid w:val="008716EE"/>
    <w:rsid w:val="008719A3"/>
    <w:rsid w:val="008721E9"/>
    <w:rsid w:val="008724DB"/>
    <w:rsid w:val="008727D8"/>
    <w:rsid w:val="00872C6D"/>
    <w:rsid w:val="008736C6"/>
    <w:rsid w:val="00873CE0"/>
    <w:rsid w:val="00873E35"/>
    <w:rsid w:val="0087430D"/>
    <w:rsid w:val="0087436D"/>
    <w:rsid w:val="00874409"/>
    <w:rsid w:val="008746C9"/>
    <w:rsid w:val="0087472E"/>
    <w:rsid w:val="00874B8A"/>
    <w:rsid w:val="00875B3B"/>
    <w:rsid w:val="00875BFF"/>
    <w:rsid w:val="008772BC"/>
    <w:rsid w:val="0088014E"/>
    <w:rsid w:val="008807D2"/>
    <w:rsid w:val="00880BEC"/>
    <w:rsid w:val="00881042"/>
    <w:rsid w:val="00882755"/>
    <w:rsid w:val="008834D1"/>
    <w:rsid w:val="00884798"/>
    <w:rsid w:val="008853FE"/>
    <w:rsid w:val="0088669D"/>
    <w:rsid w:val="00886EE9"/>
    <w:rsid w:val="008870F4"/>
    <w:rsid w:val="00887672"/>
    <w:rsid w:val="00891953"/>
    <w:rsid w:val="008925D4"/>
    <w:rsid w:val="008927A0"/>
    <w:rsid w:val="008935B9"/>
    <w:rsid w:val="00894ED2"/>
    <w:rsid w:val="008951D8"/>
    <w:rsid w:val="00895429"/>
    <w:rsid w:val="00895B02"/>
    <w:rsid w:val="00895E7C"/>
    <w:rsid w:val="008964E6"/>
    <w:rsid w:val="00896AEE"/>
    <w:rsid w:val="00896DF5"/>
    <w:rsid w:val="008970D2"/>
    <w:rsid w:val="00897453"/>
    <w:rsid w:val="00897655"/>
    <w:rsid w:val="008978F4"/>
    <w:rsid w:val="00897A85"/>
    <w:rsid w:val="00897EC0"/>
    <w:rsid w:val="008A0684"/>
    <w:rsid w:val="008A06AA"/>
    <w:rsid w:val="008A0723"/>
    <w:rsid w:val="008A08DF"/>
    <w:rsid w:val="008A08EC"/>
    <w:rsid w:val="008A1669"/>
    <w:rsid w:val="008A17A2"/>
    <w:rsid w:val="008A224A"/>
    <w:rsid w:val="008A2B0C"/>
    <w:rsid w:val="008A2F3A"/>
    <w:rsid w:val="008A4485"/>
    <w:rsid w:val="008A4D07"/>
    <w:rsid w:val="008A4EED"/>
    <w:rsid w:val="008A58DC"/>
    <w:rsid w:val="008A594A"/>
    <w:rsid w:val="008A60FB"/>
    <w:rsid w:val="008A70B5"/>
    <w:rsid w:val="008A77E4"/>
    <w:rsid w:val="008A7A69"/>
    <w:rsid w:val="008A7AF9"/>
    <w:rsid w:val="008A7E76"/>
    <w:rsid w:val="008B0006"/>
    <w:rsid w:val="008B044F"/>
    <w:rsid w:val="008B0673"/>
    <w:rsid w:val="008B075B"/>
    <w:rsid w:val="008B094A"/>
    <w:rsid w:val="008B3A40"/>
    <w:rsid w:val="008B3E02"/>
    <w:rsid w:val="008B434E"/>
    <w:rsid w:val="008B46F2"/>
    <w:rsid w:val="008B4A7F"/>
    <w:rsid w:val="008B4D2A"/>
    <w:rsid w:val="008B4E36"/>
    <w:rsid w:val="008B50F7"/>
    <w:rsid w:val="008B5344"/>
    <w:rsid w:val="008B5381"/>
    <w:rsid w:val="008B5C28"/>
    <w:rsid w:val="008B63B5"/>
    <w:rsid w:val="008B64C0"/>
    <w:rsid w:val="008B6C45"/>
    <w:rsid w:val="008B6DD7"/>
    <w:rsid w:val="008B72DB"/>
    <w:rsid w:val="008B7385"/>
    <w:rsid w:val="008B7CB5"/>
    <w:rsid w:val="008C0534"/>
    <w:rsid w:val="008C0C6C"/>
    <w:rsid w:val="008C103C"/>
    <w:rsid w:val="008C15D1"/>
    <w:rsid w:val="008C1FA1"/>
    <w:rsid w:val="008C24BB"/>
    <w:rsid w:val="008C27F9"/>
    <w:rsid w:val="008C2955"/>
    <w:rsid w:val="008C338E"/>
    <w:rsid w:val="008C4297"/>
    <w:rsid w:val="008C4467"/>
    <w:rsid w:val="008C47CA"/>
    <w:rsid w:val="008C4AD7"/>
    <w:rsid w:val="008C4FDC"/>
    <w:rsid w:val="008C582E"/>
    <w:rsid w:val="008C6478"/>
    <w:rsid w:val="008C6EFB"/>
    <w:rsid w:val="008C6F1D"/>
    <w:rsid w:val="008C77A1"/>
    <w:rsid w:val="008C7996"/>
    <w:rsid w:val="008C7AB2"/>
    <w:rsid w:val="008D0EA8"/>
    <w:rsid w:val="008D21BA"/>
    <w:rsid w:val="008D3E38"/>
    <w:rsid w:val="008D3E69"/>
    <w:rsid w:val="008D3FB5"/>
    <w:rsid w:val="008D4330"/>
    <w:rsid w:val="008D44F6"/>
    <w:rsid w:val="008D49FA"/>
    <w:rsid w:val="008D5590"/>
    <w:rsid w:val="008D59AF"/>
    <w:rsid w:val="008D59D5"/>
    <w:rsid w:val="008D6346"/>
    <w:rsid w:val="008D646A"/>
    <w:rsid w:val="008D7885"/>
    <w:rsid w:val="008D7D7E"/>
    <w:rsid w:val="008E0EC6"/>
    <w:rsid w:val="008E1260"/>
    <w:rsid w:val="008E1B9A"/>
    <w:rsid w:val="008E2B7D"/>
    <w:rsid w:val="008E34A5"/>
    <w:rsid w:val="008E3DE4"/>
    <w:rsid w:val="008E4819"/>
    <w:rsid w:val="008E5422"/>
    <w:rsid w:val="008E5C3B"/>
    <w:rsid w:val="008E5DD1"/>
    <w:rsid w:val="008E643E"/>
    <w:rsid w:val="008E6CD4"/>
    <w:rsid w:val="008E7710"/>
    <w:rsid w:val="008F032C"/>
    <w:rsid w:val="008F0684"/>
    <w:rsid w:val="008F0F4A"/>
    <w:rsid w:val="008F1A7A"/>
    <w:rsid w:val="008F29DF"/>
    <w:rsid w:val="008F4BC9"/>
    <w:rsid w:val="008F4D57"/>
    <w:rsid w:val="008F4E08"/>
    <w:rsid w:val="008F502F"/>
    <w:rsid w:val="008F52D6"/>
    <w:rsid w:val="008F5C55"/>
    <w:rsid w:val="008F6784"/>
    <w:rsid w:val="008F718D"/>
    <w:rsid w:val="008F7567"/>
    <w:rsid w:val="008F75A0"/>
    <w:rsid w:val="008F79DC"/>
    <w:rsid w:val="008F7E93"/>
    <w:rsid w:val="00900648"/>
    <w:rsid w:val="009011F3"/>
    <w:rsid w:val="00901259"/>
    <w:rsid w:val="00901292"/>
    <w:rsid w:val="00902968"/>
    <w:rsid w:val="00902FA2"/>
    <w:rsid w:val="009034E0"/>
    <w:rsid w:val="00903640"/>
    <w:rsid w:val="00903931"/>
    <w:rsid w:val="00903D29"/>
    <w:rsid w:val="0090467E"/>
    <w:rsid w:val="00905263"/>
    <w:rsid w:val="00907676"/>
    <w:rsid w:val="0091064D"/>
    <w:rsid w:val="00911361"/>
    <w:rsid w:val="00911537"/>
    <w:rsid w:val="00911C9F"/>
    <w:rsid w:val="00911F46"/>
    <w:rsid w:val="00912534"/>
    <w:rsid w:val="0091275E"/>
    <w:rsid w:val="00912ACD"/>
    <w:rsid w:val="00912BE1"/>
    <w:rsid w:val="00912E48"/>
    <w:rsid w:val="00912F75"/>
    <w:rsid w:val="00913182"/>
    <w:rsid w:val="009135E0"/>
    <w:rsid w:val="00913ACD"/>
    <w:rsid w:val="00913FB5"/>
    <w:rsid w:val="0091443A"/>
    <w:rsid w:val="00914494"/>
    <w:rsid w:val="009145A2"/>
    <w:rsid w:val="009153F8"/>
    <w:rsid w:val="00915B2C"/>
    <w:rsid w:val="009160A5"/>
    <w:rsid w:val="009165B3"/>
    <w:rsid w:val="00916730"/>
    <w:rsid w:val="00916A6C"/>
    <w:rsid w:val="009170F0"/>
    <w:rsid w:val="0091729D"/>
    <w:rsid w:val="0091734C"/>
    <w:rsid w:val="009178F9"/>
    <w:rsid w:val="009179FF"/>
    <w:rsid w:val="00921162"/>
    <w:rsid w:val="009214D1"/>
    <w:rsid w:val="009225A8"/>
    <w:rsid w:val="009225BD"/>
    <w:rsid w:val="00922D2E"/>
    <w:rsid w:val="00924635"/>
    <w:rsid w:val="0092463A"/>
    <w:rsid w:val="0092569A"/>
    <w:rsid w:val="009256D6"/>
    <w:rsid w:val="009258B1"/>
    <w:rsid w:val="00925CBB"/>
    <w:rsid w:val="00925DEE"/>
    <w:rsid w:val="00927057"/>
    <w:rsid w:val="009271B6"/>
    <w:rsid w:val="009271FF"/>
    <w:rsid w:val="0092722D"/>
    <w:rsid w:val="009272AC"/>
    <w:rsid w:val="009276AC"/>
    <w:rsid w:val="009276B0"/>
    <w:rsid w:val="009279C2"/>
    <w:rsid w:val="00930299"/>
    <w:rsid w:val="009307C3"/>
    <w:rsid w:val="00931A50"/>
    <w:rsid w:val="00931AB5"/>
    <w:rsid w:val="00931CBC"/>
    <w:rsid w:val="00933280"/>
    <w:rsid w:val="0093361B"/>
    <w:rsid w:val="00933BAF"/>
    <w:rsid w:val="00934244"/>
    <w:rsid w:val="00934CC2"/>
    <w:rsid w:val="009355AB"/>
    <w:rsid w:val="00935775"/>
    <w:rsid w:val="009357A9"/>
    <w:rsid w:val="009358DC"/>
    <w:rsid w:val="009366B5"/>
    <w:rsid w:val="00936754"/>
    <w:rsid w:val="00936768"/>
    <w:rsid w:val="00936B14"/>
    <w:rsid w:val="00937591"/>
    <w:rsid w:val="00937967"/>
    <w:rsid w:val="009379A4"/>
    <w:rsid w:val="009405CF"/>
    <w:rsid w:val="00940ED4"/>
    <w:rsid w:val="00940F81"/>
    <w:rsid w:val="00941092"/>
    <w:rsid w:val="009413B3"/>
    <w:rsid w:val="00941434"/>
    <w:rsid w:val="00942662"/>
    <w:rsid w:val="0094360E"/>
    <w:rsid w:val="00944BD1"/>
    <w:rsid w:val="00944F00"/>
    <w:rsid w:val="00944F99"/>
    <w:rsid w:val="0094542B"/>
    <w:rsid w:val="0094583B"/>
    <w:rsid w:val="00945B44"/>
    <w:rsid w:val="00946336"/>
    <w:rsid w:val="00946E72"/>
    <w:rsid w:val="009475CD"/>
    <w:rsid w:val="00947D55"/>
    <w:rsid w:val="009501EF"/>
    <w:rsid w:val="009502ED"/>
    <w:rsid w:val="009506E5"/>
    <w:rsid w:val="00950A96"/>
    <w:rsid w:val="0095153A"/>
    <w:rsid w:val="009515DC"/>
    <w:rsid w:val="0095164B"/>
    <w:rsid w:val="009517FE"/>
    <w:rsid w:val="00951F6B"/>
    <w:rsid w:val="00952728"/>
    <w:rsid w:val="0095280D"/>
    <w:rsid w:val="00952C7A"/>
    <w:rsid w:val="009532D9"/>
    <w:rsid w:val="00953D32"/>
    <w:rsid w:val="009546DB"/>
    <w:rsid w:val="00954911"/>
    <w:rsid w:val="009550F0"/>
    <w:rsid w:val="0095573C"/>
    <w:rsid w:val="00955818"/>
    <w:rsid w:val="009566F5"/>
    <w:rsid w:val="009618A2"/>
    <w:rsid w:val="00961D77"/>
    <w:rsid w:val="00962C0C"/>
    <w:rsid w:val="00962D0A"/>
    <w:rsid w:val="00962DA3"/>
    <w:rsid w:val="009649D2"/>
    <w:rsid w:val="00964E9A"/>
    <w:rsid w:val="00965D43"/>
    <w:rsid w:val="00965D4A"/>
    <w:rsid w:val="00965D5A"/>
    <w:rsid w:val="009662AF"/>
    <w:rsid w:val="00966617"/>
    <w:rsid w:val="009704C8"/>
    <w:rsid w:val="00970535"/>
    <w:rsid w:val="0097090F"/>
    <w:rsid w:val="00970A6F"/>
    <w:rsid w:val="00970F69"/>
    <w:rsid w:val="00971028"/>
    <w:rsid w:val="00971095"/>
    <w:rsid w:val="00971491"/>
    <w:rsid w:val="00971497"/>
    <w:rsid w:val="00971499"/>
    <w:rsid w:val="009715A5"/>
    <w:rsid w:val="00971634"/>
    <w:rsid w:val="0097163F"/>
    <w:rsid w:val="00971771"/>
    <w:rsid w:val="00971E39"/>
    <w:rsid w:val="0097222A"/>
    <w:rsid w:val="00972611"/>
    <w:rsid w:val="00972D45"/>
    <w:rsid w:val="009732A5"/>
    <w:rsid w:val="00973E2E"/>
    <w:rsid w:val="00973FDF"/>
    <w:rsid w:val="00974260"/>
    <w:rsid w:val="00974290"/>
    <w:rsid w:val="009744AA"/>
    <w:rsid w:val="00974EB6"/>
    <w:rsid w:val="00975370"/>
    <w:rsid w:val="0097570D"/>
    <w:rsid w:val="00975885"/>
    <w:rsid w:val="00976178"/>
    <w:rsid w:val="00976290"/>
    <w:rsid w:val="009768F2"/>
    <w:rsid w:val="00976A86"/>
    <w:rsid w:val="009776BF"/>
    <w:rsid w:val="0098024A"/>
    <w:rsid w:val="009805C2"/>
    <w:rsid w:val="00980A07"/>
    <w:rsid w:val="00980BBE"/>
    <w:rsid w:val="0098117D"/>
    <w:rsid w:val="00981A2A"/>
    <w:rsid w:val="009825C7"/>
    <w:rsid w:val="009839D1"/>
    <w:rsid w:val="00984A0F"/>
    <w:rsid w:val="00984ED5"/>
    <w:rsid w:val="009855F8"/>
    <w:rsid w:val="00985D3D"/>
    <w:rsid w:val="00985FA0"/>
    <w:rsid w:val="0098636D"/>
    <w:rsid w:val="00986519"/>
    <w:rsid w:val="00986B4D"/>
    <w:rsid w:val="00986DB4"/>
    <w:rsid w:val="009872A3"/>
    <w:rsid w:val="00987B61"/>
    <w:rsid w:val="00987F97"/>
    <w:rsid w:val="009900E8"/>
    <w:rsid w:val="009906A7"/>
    <w:rsid w:val="00990B58"/>
    <w:rsid w:val="00991752"/>
    <w:rsid w:val="00991B6B"/>
    <w:rsid w:val="009926EB"/>
    <w:rsid w:val="0099342D"/>
    <w:rsid w:val="00994099"/>
    <w:rsid w:val="0099424E"/>
    <w:rsid w:val="00994B10"/>
    <w:rsid w:val="00995417"/>
    <w:rsid w:val="00995CB3"/>
    <w:rsid w:val="00995D93"/>
    <w:rsid w:val="00997ECA"/>
    <w:rsid w:val="009A06D8"/>
    <w:rsid w:val="009A1CF9"/>
    <w:rsid w:val="009A25B9"/>
    <w:rsid w:val="009A2D84"/>
    <w:rsid w:val="009A351B"/>
    <w:rsid w:val="009A3B4E"/>
    <w:rsid w:val="009A517A"/>
    <w:rsid w:val="009A5792"/>
    <w:rsid w:val="009A5A16"/>
    <w:rsid w:val="009A7368"/>
    <w:rsid w:val="009A7636"/>
    <w:rsid w:val="009A7B8A"/>
    <w:rsid w:val="009B0902"/>
    <w:rsid w:val="009B090E"/>
    <w:rsid w:val="009B113B"/>
    <w:rsid w:val="009B127E"/>
    <w:rsid w:val="009B182C"/>
    <w:rsid w:val="009B1934"/>
    <w:rsid w:val="009B1B5E"/>
    <w:rsid w:val="009B1FA6"/>
    <w:rsid w:val="009B2113"/>
    <w:rsid w:val="009B212F"/>
    <w:rsid w:val="009B2662"/>
    <w:rsid w:val="009B2F2F"/>
    <w:rsid w:val="009B33D8"/>
    <w:rsid w:val="009B401C"/>
    <w:rsid w:val="009B52D4"/>
    <w:rsid w:val="009B61CF"/>
    <w:rsid w:val="009B61FF"/>
    <w:rsid w:val="009B6339"/>
    <w:rsid w:val="009B6C0C"/>
    <w:rsid w:val="009B7448"/>
    <w:rsid w:val="009B7839"/>
    <w:rsid w:val="009B7910"/>
    <w:rsid w:val="009B7C99"/>
    <w:rsid w:val="009B7E1A"/>
    <w:rsid w:val="009C0162"/>
    <w:rsid w:val="009C054E"/>
    <w:rsid w:val="009C05D4"/>
    <w:rsid w:val="009C05FF"/>
    <w:rsid w:val="009C10D9"/>
    <w:rsid w:val="009C14D7"/>
    <w:rsid w:val="009C2CAF"/>
    <w:rsid w:val="009C2F43"/>
    <w:rsid w:val="009C3306"/>
    <w:rsid w:val="009C345F"/>
    <w:rsid w:val="009C3A0D"/>
    <w:rsid w:val="009C3AE8"/>
    <w:rsid w:val="009C3B68"/>
    <w:rsid w:val="009C3D97"/>
    <w:rsid w:val="009C4A1E"/>
    <w:rsid w:val="009C5472"/>
    <w:rsid w:val="009C630D"/>
    <w:rsid w:val="009C68C3"/>
    <w:rsid w:val="009C768A"/>
    <w:rsid w:val="009C77C7"/>
    <w:rsid w:val="009D10C7"/>
    <w:rsid w:val="009D14CC"/>
    <w:rsid w:val="009D1680"/>
    <w:rsid w:val="009D17E9"/>
    <w:rsid w:val="009D27CD"/>
    <w:rsid w:val="009D438C"/>
    <w:rsid w:val="009D4493"/>
    <w:rsid w:val="009D4939"/>
    <w:rsid w:val="009D5702"/>
    <w:rsid w:val="009D59F1"/>
    <w:rsid w:val="009D634F"/>
    <w:rsid w:val="009D66FC"/>
    <w:rsid w:val="009D74C3"/>
    <w:rsid w:val="009D7F87"/>
    <w:rsid w:val="009E23A7"/>
    <w:rsid w:val="009E2AA6"/>
    <w:rsid w:val="009E2B6F"/>
    <w:rsid w:val="009E3509"/>
    <w:rsid w:val="009E3667"/>
    <w:rsid w:val="009E3737"/>
    <w:rsid w:val="009E3E6C"/>
    <w:rsid w:val="009E4395"/>
    <w:rsid w:val="009E4AF1"/>
    <w:rsid w:val="009E4CC2"/>
    <w:rsid w:val="009E5126"/>
    <w:rsid w:val="009E53C7"/>
    <w:rsid w:val="009E5769"/>
    <w:rsid w:val="009E5AAC"/>
    <w:rsid w:val="009E5D14"/>
    <w:rsid w:val="009E5E40"/>
    <w:rsid w:val="009E68EE"/>
    <w:rsid w:val="009E6BCF"/>
    <w:rsid w:val="009E70E9"/>
    <w:rsid w:val="009E7A40"/>
    <w:rsid w:val="009F0176"/>
    <w:rsid w:val="009F1482"/>
    <w:rsid w:val="009F22EF"/>
    <w:rsid w:val="009F27FD"/>
    <w:rsid w:val="009F48F4"/>
    <w:rsid w:val="009F4978"/>
    <w:rsid w:val="009F4DB1"/>
    <w:rsid w:val="009F54DC"/>
    <w:rsid w:val="009F5558"/>
    <w:rsid w:val="009F58F0"/>
    <w:rsid w:val="009F5E45"/>
    <w:rsid w:val="009F5F70"/>
    <w:rsid w:val="009F5FA7"/>
    <w:rsid w:val="009F62E3"/>
    <w:rsid w:val="009F63BF"/>
    <w:rsid w:val="009F6495"/>
    <w:rsid w:val="009F7079"/>
    <w:rsid w:val="009F72F7"/>
    <w:rsid w:val="009F7547"/>
    <w:rsid w:val="009F7CD6"/>
    <w:rsid w:val="009F7F72"/>
    <w:rsid w:val="00A00180"/>
    <w:rsid w:val="00A01524"/>
    <w:rsid w:val="00A01991"/>
    <w:rsid w:val="00A02A0C"/>
    <w:rsid w:val="00A02CBE"/>
    <w:rsid w:val="00A02F00"/>
    <w:rsid w:val="00A03529"/>
    <w:rsid w:val="00A039B2"/>
    <w:rsid w:val="00A03CB0"/>
    <w:rsid w:val="00A03D8A"/>
    <w:rsid w:val="00A04403"/>
    <w:rsid w:val="00A04A3C"/>
    <w:rsid w:val="00A04AD1"/>
    <w:rsid w:val="00A04EF6"/>
    <w:rsid w:val="00A063AB"/>
    <w:rsid w:val="00A06445"/>
    <w:rsid w:val="00A06510"/>
    <w:rsid w:val="00A06784"/>
    <w:rsid w:val="00A06D53"/>
    <w:rsid w:val="00A06DCA"/>
    <w:rsid w:val="00A07567"/>
    <w:rsid w:val="00A10B5B"/>
    <w:rsid w:val="00A11730"/>
    <w:rsid w:val="00A117B6"/>
    <w:rsid w:val="00A11E0D"/>
    <w:rsid w:val="00A12552"/>
    <w:rsid w:val="00A127CE"/>
    <w:rsid w:val="00A1284E"/>
    <w:rsid w:val="00A12FCE"/>
    <w:rsid w:val="00A1445B"/>
    <w:rsid w:val="00A14781"/>
    <w:rsid w:val="00A155FB"/>
    <w:rsid w:val="00A16335"/>
    <w:rsid w:val="00A174ED"/>
    <w:rsid w:val="00A204D3"/>
    <w:rsid w:val="00A20E73"/>
    <w:rsid w:val="00A2128A"/>
    <w:rsid w:val="00A215A3"/>
    <w:rsid w:val="00A21BC5"/>
    <w:rsid w:val="00A221E4"/>
    <w:rsid w:val="00A23FAE"/>
    <w:rsid w:val="00A24518"/>
    <w:rsid w:val="00A24894"/>
    <w:rsid w:val="00A24DFB"/>
    <w:rsid w:val="00A24F08"/>
    <w:rsid w:val="00A25DDF"/>
    <w:rsid w:val="00A25EB5"/>
    <w:rsid w:val="00A26ABF"/>
    <w:rsid w:val="00A3035A"/>
    <w:rsid w:val="00A31ED1"/>
    <w:rsid w:val="00A32C23"/>
    <w:rsid w:val="00A32C87"/>
    <w:rsid w:val="00A335A7"/>
    <w:rsid w:val="00A33EEE"/>
    <w:rsid w:val="00A33F7E"/>
    <w:rsid w:val="00A340D8"/>
    <w:rsid w:val="00A34628"/>
    <w:rsid w:val="00A3494E"/>
    <w:rsid w:val="00A35193"/>
    <w:rsid w:val="00A35359"/>
    <w:rsid w:val="00A35CD2"/>
    <w:rsid w:val="00A361FD"/>
    <w:rsid w:val="00A363F5"/>
    <w:rsid w:val="00A366EA"/>
    <w:rsid w:val="00A3695A"/>
    <w:rsid w:val="00A36FAC"/>
    <w:rsid w:val="00A3713E"/>
    <w:rsid w:val="00A405D1"/>
    <w:rsid w:val="00A40D1F"/>
    <w:rsid w:val="00A41501"/>
    <w:rsid w:val="00A41BFD"/>
    <w:rsid w:val="00A44199"/>
    <w:rsid w:val="00A4431C"/>
    <w:rsid w:val="00A4461D"/>
    <w:rsid w:val="00A44C36"/>
    <w:rsid w:val="00A44DC4"/>
    <w:rsid w:val="00A44F13"/>
    <w:rsid w:val="00A450CF"/>
    <w:rsid w:val="00A45205"/>
    <w:rsid w:val="00A4525C"/>
    <w:rsid w:val="00A452C6"/>
    <w:rsid w:val="00A4581D"/>
    <w:rsid w:val="00A45E9F"/>
    <w:rsid w:val="00A477D5"/>
    <w:rsid w:val="00A478D5"/>
    <w:rsid w:val="00A47E9A"/>
    <w:rsid w:val="00A47ECF"/>
    <w:rsid w:val="00A50161"/>
    <w:rsid w:val="00A50EEC"/>
    <w:rsid w:val="00A51408"/>
    <w:rsid w:val="00A51534"/>
    <w:rsid w:val="00A51C11"/>
    <w:rsid w:val="00A51E45"/>
    <w:rsid w:val="00A535C6"/>
    <w:rsid w:val="00A53742"/>
    <w:rsid w:val="00A53A8A"/>
    <w:rsid w:val="00A53DA9"/>
    <w:rsid w:val="00A53F8F"/>
    <w:rsid w:val="00A5402E"/>
    <w:rsid w:val="00A54683"/>
    <w:rsid w:val="00A5477C"/>
    <w:rsid w:val="00A548D8"/>
    <w:rsid w:val="00A54BF9"/>
    <w:rsid w:val="00A54D3D"/>
    <w:rsid w:val="00A54FAE"/>
    <w:rsid w:val="00A551D6"/>
    <w:rsid w:val="00A55F92"/>
    <w:rsid w:val="00A56E7D"/>
    <w:rsid w:val="00A57546"/>
    <w:rsid w:val="00A5792F"/>
    <w:rsid w:val="00A57C7D"/>
    <w:rsid w:val="00A60263"/>
    <w:rsid w:val="00A60542"/>
    <w:rsid w:val="00A60B02"/>
    <w:rsid w:val="00A60C6B"/>
    <w:rsid w:val="00A61649"/>
    <w:rsid w:val="00A62E98"/>
    <w:rsid w:val="00A649D3"/>
    <w:rsid w:val="00A6502F"/>
    <w:rsid w:val="00A65386"/>
    <w:rsid w:val="00A65533"/>
    <w:rsid w:val="00A65785"/>
    <w:rsid w:val="00A65DBA"/>
    <w:rsid w:val="00A6647B"/>
    <w:rsid w:val="00A6648E"/>
    <w:rsid w:val="00A66861"/>
    <w:rsid w:val="00A66AED"/>
    <w:rsid w:val="00A67C3E"/>
    <w:rsid w:val="00A67FAA"/>
    <w:rsid w:val="00A70860"/>
    <w:rsid w:val="00A7126F"/>
    <w:rsid w:val="00A73969"/>
    <w:rsid w:val="00A74477"/>
    <w:rsid w:val="00A7551D"/>
    <w:rsid w:val="00A7553C"/>
    <w:rsid w:val="00A759B5"/>
    <w:rsid w:val="00A7713E"/>
    <w:rsid w:val="00A77456"/>
    <w:rsid w:val="00A779DF"/>
    <w:rsid w:val="00A80698"/>
    <w:rsid w:val="00A818ED"/>
    <w:rsid w:val="00A81DE3"/>
    <w:rsid w:val="00A8218C"/>
    <w:rsid w:val="00A821F9"/>
    <w:rsid w:val="00A826CC"/>
    <w:rsid w:val="00A82927"/>
    <w:rsid w:val="00A832F0"/>
    <w:rsid w:val="00A8337A"/>
    <w:rsid w:val="00A8380D"/>
    <w:rsid w:val="00A83B5D"/>
    <w:rsid w:val="00A83B7D"/>
    <w:rsid w:val="00A83E3D"/>
    <w:rsid w:val="00A84984"/>
    <w:rsid w:val="00A84B3E"/>
    <w:rsid w:val="00A85CFB"/>
    <w:rsid w:val="00A860E3"/>
    <w:rsid w:val="00A86130"/>
    <w:rsid w:val="00A86573"/>
    <w:rsid w:val="00A87454"/>
    <w:rsid w:val="00A8763F"/>
    <w:rsid w:val="00A87EB2"/>
    <w:rsid w:val="00A908A7"/>
    <w:rsid w:val="00A90A1F"/>
    <w:rsid w:val="00A90E9D"/>
    <w:rsid w:val="00A91142"/>
    <w:rsid w:val="00A9150E"/>
    <w:rsid w:val="00A91A51"/>
    <w:rsid w:val="00A91E8B"/>
    <w:rsid w:val="00A9275A"/>
    <w:rsid w:val="00A92BAF"/>
    <w:rsid w:val="00A92C1C"/>
    <w:rsid w:val="00A92E08"/>
    <w:rsid w:val="00A92EA8"/>
    <w:rsid w:val="00A932EE"/>
    <w:rsid w:val="00A93454"/>
    <w:rsid w:val="00A9370C"/>
    <w:rsid w:val="00A938DC"/>
    <w:rsid w:val="00A93AA7"/>
    <w:rsid w:val="00A93B8B"/>
    <w:rsid w:val="00A9436A"/>
    <w:rsid w:val="00A94A3B"/>
    <w:rsid w:val="00A957D3"/>
    <w:rsid w:val="00A95AB1"/>
    <w:rsid w:val="00A95C8A"/>
    <w:rsid w:val="00A95D9E"/>
    <w:rsid w:val="00A96320"/>
    <w:rsid w:val="00A96583"/>
    <w:rsid w:val="00A96945"/>
    <w:rsid w:val="00A96D1A"/>
    <w:rsid w:val="00A96D4A"/>
    <w:rsid w:val="00A97456"/>
    <w:rsid w:val="00A97D6D"/>
    <w:rsid w:val="00AA0689"/>
    <w:rsid w:val="00AA0D5A"/>
    <w:rsid w:val="00AA10B6"/>
    <w:rsid w:val="00AA1378"/>
    <w:rsid w:val="00AA1414"/>
    <w:rsid w:val="00AA17AE"/>
    <w:rsid w:val="00AA1A2C"/>
    <w:rsid w:val="00AA2B18"/>
    <w:rsid w:val="00AA3674"/>
    <w:rsid w:val="00AA3958"/>
    <w:rsid w:val="00AA3BA1"/>
    <w:rsid w:val="00AA3C78"/>
    <w:rsid w:val="00AA4004"/>
    <w:rsid w:val="00AA459A"/>
    <w:rsid w:val="00AA5B92"/>
    <w:rsid w:val="00AA6662"/>
    <w:rsid w:val="00AA66EC"/>
    <w:rsid w:val="00AA6B0D"/>
    <w:rsid w:val="00AA76B6"/>
    <w:rsid w:val="00AA7D3D"/>
    <w:rsid w:val="00AB00E2"/>
    <w:rsid w:val="00AB0406"/>
    <w:rsid w:val="00AB06E5"/>
    <w:rsid w:val="00AB0D17"/>
    <w:rsid w:val="00AB1A1D"/>
    <w:rsid w:val="00AB230B"/>
    <w:rsid w:val="00AB244F"/>
    <w:rsid w:val="00AB280A"/>
    <w:rsid w:val="00AB29E6"/>
    <w:rsid w:val="00AB2B8B"/>
    <w:rsid w:val="00AB4226"/>
    <w:rsid w:val="00AB47CD"/>
    <w:rsid w:val="00AB5345"/>
    <w:rsid w:val="00AB5FD1"/>
    <w:rsid w:val="00AB62A3"/>
    <w:rsid w:val="00AB62A4"/>
    <w:rsid w:val="00AB79AF"/>
    <w:rsid w:val="00AB7C1C"/>
    <w:rsid w:val="00AC03CB"/>
    <w:rsid w:val="00AC0B22"/>
    <w:rsid w:val="00AC13DC"/>
    <w:rsid w:val="00AC1857"/>
    <w:rsid w:val="00AC1A38"/>
    <w:rsid w:val="00AC1F0D"/>
    <w:rsid w:val="00AC2211"/>
    <w:rsid w:val="00AC2329"/>
    <w:rsid w:val="00AC27FF"/>
    <w:rsid w:val="00AC2EDE"/>
    <w:rsid w:val="00AC3185"/>
    <w:rsid w:val="00AC3969"/>
    <w:rsid w:val="00AC3CCE"/>
    <w:rsid w:val="00AC3FE7"/>
    <w:rsid w:val="00AC4215"/>
    <w:rsid w:val="00AC42F8"/>
    <w:rsid w:val="00AC46BF"/>
    <w:rsid w:val="00AC518A"/>
    <w:rsid w:val="00AC5318"/>
    <w:rsid w:val="00AC56DC"/>
    <w:rsid w:val="00AC5869"/>
    <w:rsid w:val="00AC7060"/>
    <w:rsid w:val="00AC7334"/>
    <w:rsid w:val="00AC7400"/>
    <w:rsid w:val="00AC765E"/>
    <w:rsid w:val="00AD0177"/>
    <w:rsid w:val="00AD0958"/>
    <w:rsid w:val="00AD13DF"/>
    <w:rsid w:val="00AD1616"/>
    <w:rsid w:val="00AD1793"/>
    <w:rsid w:val="00AD197F"/>
    <w:rsid w:val="00AD1A4F"/>
    <w:rsid w:val="00AD2462"/>
    <w:rsid w:val="00AD2596"/>
    <w:rsid w:val="00AD277B"/>
    <w:rsid w:val="00AD288B"/>
    <w:rsid w:val="00AD2C37"/>
    <w:rsid w:val="00AD2DFA"/>
    <w:rsid w:val="00AD3446"/>
    <w:rsid w:val="00AD43DC"/>
    <w:rsid w:val="00AD4E00"/>
    <w:rsid w:val="00AD51BA"/>
    <w:rsid w:val="00AD534E"/>
    <w:rsid w:val="00AD5773"/>
    <w:rsid w:val="00AD579D"/>
    <w:rsid w:val="00AD59AC"/>
    <w:rsid w:val="00AD65D9"/>
    <w:rsid w:val="00AD6677"/>
    <w:rsid w:val="00AD6743"/>
    <w:rsid w:val="00AD7101"/>
    <w:rsid w:val="00AD73A9"/>
    <w:rsid w:val="00AE1025"/>
    <w:rsid w:val="00AE11E2"/>
    <w:rsid w:val="00AE11FD"/>
    <w:rsid w:val="00AE1652"/>
    <w:rsid w:val="00AE1A46"/>
    <w:rsid w:val="00AE1AC5"/>
    <w:rsid w:val="00AE1ACF"/>
    <w:rsid w:val="00AE2742"/>
    <w:rsid w:val="00AE35CF"/>
    <w:rsid w:val="00AE3ABA"/>
    <w:rsid w:val="00AE3E60"/>
    <w:rsid w:val="00AE5FB3"/>
    <w:rsid w:val="00AE657E"/>
    <w:rsid w:val="00AE7AA8"/>
    <w:rsid w:val="00AE7B2B"/>
    <w:rsid w:val="00AF0A72"/>
    <w:rsid w:val="00AF10F9"/>
    <w:rsid w:val="00AF16CA"/>
    <w:rsid w:val="00AF1907"/>
    <w:rsid w:val="00AF1E10"/>
    <w:rsid w:val="00AF205F"/>
    <w:rsid w:val="00AF2186"/>
    <w:rsid w:val="00AF2BF2"/>
    <w:rsid w:val="00AF307E"/>
    <w:rsid w:val="00AF3BF5"/>
    <w:rsid w:val="00AF413F"/>
    <w:rsid w:val="00AF4570"/>
    <w:rsid w:val="00AF6A74"/>
    <w:rsid w:val="00AF6CC1"/>
    <w:rsid w:val="00AF7773"/>
    <w:rsid w:val="00AF7928"/>
    <w:rsid w:val="00AF7A35"/>
    <w:rsid w:val="00AF7EFD"/>
    <w:rsid w:val="00B00734"/>
    <w:rsid w:val="00B0084C"/>
    <w:rsid w:val="00B0096D"/>
    <w:rsid w:val="00B01604"/>
    <w:rsid w:val="00B01EE8"/>
    <w:rsid w:val="00B02059"/>
    <w:rsid w:val="00B02342"/>
    <w:rsid w:val="00B0272C"/>
    <w:rsid w:val="00B02BA8"/>
    <w:rsid w:val="00B02F5D"/>
    <w:rsid w:val="00B0349F"/>
    <w:rsid w:val="00B03A28"/>
    <w:rsid w:val="00B03E07"/>
    <w:rsid w:val="00B04170"/>
    <w:rsid w:val="00B043C8"/>
    <w:rsid w:val="00B046B2"/>
    <w:rsid w:val="00B04B64"/>
    <w:rsid w:val="00B04E25"/>
    <w:rsid w:val="00B0510F"/>
    <w:rsid w:val="00B056A8"/>
    <w:rsid w:val="00B05C6A"/>
    <w:rsid w:val="00B05CD3"/>
    <w:rsid w:val="00B05D5F"/>
    <w:rsid w:val="00B06120"/>
    <w:rsid w:val="00B06DE1"/>
    <w:rsid w:val="00B072DF"/>
    <w:rsid w:val="00B07742"/>
    <w:rsid w:val="00B07AA8"/>
    <w:rsid w:val="00B10C30"/>
    <w:rsid w:val="00B10CE8"/>
    <w:rsid w:val="00B11B03"/>
    <w:rsid w:val="00B1220B"/>
    <w:rsid w:val="00B12281"/>
    <w:rsid w:val="00B12317"/>
    <w:rsid w:val="00B12B5B"/>
    <w:rsid w:val="00B13866"/>
    <w:rsid w:val="00B14709"/>
    <w:rsid w:val="00B14DD4"/>
    <w:rsid w:val="00B14F72"/>
    <w:rsid w:val="00B15032"/>
    <w:rsid w:val="00B15B03"/>
    <w:rsid w:val="00B16245"/>
    <w:rsid w:val="00B16700"/>
    <w:rsid w:val="00B16CE7"/>
    <w:rsid w:val="00B176DB"/>
    <w:rsid w:val="00B178C8"/>
    <w:rsid w:val="00B17F73"/>
    <w:rsid w:val="00B20B7E"/>
    <w:rsid w:val="00B217B2"/>
    <w:rsid w:val="00B21C03"/>
    <w:rsid w:val="00B221E6"/>
    <w:rsid w:val="00B22489"/>
    <w:rsid w:val="00B2292F"/>
    <w:rsid w:val="00B22B59"/>
    <w:rsid w:val="00B24300"/>
    <w:rsid w:val="00B24586"/>
    <w:rsid w:val="00B24614"/>
    <w:rsid w:val="00B2578C"/>
    <w:rsid w:val="00B26173"/>
    <w:rsid w:val="00B27E30"/>
    <w:rsid w:val="00B3003A"/>
    <w:rsid w:val="00B30290"/>
    <w:rsid w:val="00B30FE7"/>
    <w:rsid w:val="00B31338"/>
    <w:rsid w:val="00B31F45"/>
    <w:rsid w:val="00B329B3"/>
    <w:rsid w:val="00B32BA1"/>
    <w:rsid w:val="00B33458"/>
    <w:rsid w:val="00B33513"/>
    <w:rsid w:val="00B340E2"/>
    <w:rsid w:val="00B3448D"/>
    <w:rsid w:val="00B350F8"/>
    <w:rsid w:val="00B35446"/>
    <w:rsid w:val="00B35862"/>
    <w:rsid w:val="00B35EB6"/>
    <w:rsid w:val="00B3628F"/>
    <w:rsid w:val="00B36831"/>
    <w:rsid w:val="00B368A7"/>
    <w:rsid w:val="00B36E71"/>
    <w:rsid w:val="00B370B9"/>
    <w:rsid w:val="00B371BE"/>
    <w:rsid w:val="00B37997"/>
    <w:rsid w:val="00B37BB8"/>
    <w:rsid w:val="00B4055B"/>
    <w:rsid w:val="00B4128B"/>
    <w:rsid w:val="00B416E8"/>
    <w:rsid w:val="00B41750"/>
    <w:rsid w:val="00B41929"/>
    <w:rsid w:val="00B41950"/>
    <w:rsid w:val="00B41DBB"/>
    <w:rsid w:val="00B42A8C"/>
    <w:rsid w:val="00B42C67"/>
    <w:rsid w:val="00B43217"/>
    <w:rsid w:val="00B43598"/>
    <w:rsid w:val="00B438BA"/>
    <w:rsid w:val="00B440DA"/>
    <w:rsid w:val="00B44917"/>
    <w:rsid w:val="00B44966"/>
    <w:rsid w:val="00B44E94"/>
    <w:rsid w:val="00B45C0F"/>
    <w:rsid w:val="00B46A16"/>
    <w:rsid w:val="00B46C6A"/>
    <w:rsid w:val="00B46CBE"/>
    <w:rsid w:val="00B46F72"/>
    <w:rsid w:val="00B4713A"/>
    <w:rsid w:val="00B474A5"/>
    <w:rsid w:val="00B47F01"/>
    <w:rsid w:val="00B516D4"/>
    <w:rsid w:val="00B51713"/>
    <w:rsid w:val="00B51DBE"/>
    <w:rsid w:val="00B52AA6"/>
    <w:rsid w:val="00B52BF4"/>
    <w:rsid w:val="00B5306E"/>
    <w:rsid w:val="00B530DE"/>
    <w:rsid w:val="00B53B01"/>
    <w:rsid w:val="00B5414C"/>
    <w:rsid w:val="00B54814"/>
    <w:rsid w:val="00B5597A"/>
    <w:rsid w:val="00B55F50"/>
    <w:rsid w:val="00B56339"/>
    <w:rsid w:val="00B563D7"/>
    <w:rsid w:val="00B5648E"/>
    <w:rsid w:val="00B570C2"/>
    <w:rsid w:val="00B575B8"/>
    <w:rsid w:val="00B57AE7"/>
    <w:rsid w:val="00B57C2C"/>
    <w:rsid w:val="00B60B8F"/>
    <w:rsid w:val="00B61665"/>
    <w:rsid w:val="00B61E02"/>
    <w:rsid w:val="00B62F4B"/>
    <w:rsid w:val="00B63060"/>
    <w:rsid w:val="00B63954"/>
    <w:rsid w:val="00B646C0"/>
    <w:rsid w:val="00B659FD"/>
    <w:rsid w:val="00B66974"/>
    <w:rsid w:val="00B66CB4"/>
    <w:rsid w:val="00B674B6"/>
    <w:rsid w:val="00B675C4"/>
    <w:rsid w:val="00B70BFE"/>
    <w:rsid w:val="00B71578"/>
    <w:rsid w:val="00B71FF3"/>
    <w:rsid w:val="00B72072"/>
    <w:rsid w:val="00B72478"/>
    <w:rsid w:val="00B736FA"/>
    <w:rsid w:val="00B74105"/>
    <w:rsid w:val="00B742C3"/>
    <w:rsid w:val="00B74420"/>
    <w:rsid w:val="00B74A71"/>
    <w:rsid w:val="00B75D1B"/>
    <w:rsid w:val="00B766CC"/>
    <w:rsid w:val="00B7674E"/>
    <w:rsid w:val="00B76FE9"/>
    <w:rsid w:val="00B7710C"/>
    <w:rsid w:val="00B7766C"/>
    <w:rsid w:val="00B77CE9"/>
    <w:rsid w:val="00B80747"/>
    <w:rsid w:val="00B808D8"/>
    <w:rsid w:val="00B8092C"/>
    <w:rsid w:val="00B80C2E"/>
    <w:rsid w:val="00B80F05"/>
    <w:rsid w:val="00B81132"/>
    <w:rsid w:val="00B81150"/>
    <w:rsid w:val="00B81294"/>
    <w:rsid w:val="00B8164C"/>
    <w:rsid w:val="00B81B00"/>
    <w:rsid w:val="00B8218C"/>
    <w:rsid w:val="00B82299"/>
    <w:rsid w:val="00B82371"/>
    <w:rsid w:val="00B82FFF"/>
    <w:rsid w:val="00B8433B"/>
    <w:rsid w:val="00B84483"/>
    <w:rsid w:val="00B84795"/>
    <w:rsid w:val="00B84972"/>
    <w:rsid w:val="00B85739"/>
    <w:rsid w:val="00B8649D"/>
    <w:rsid w:val="00B86542"/>
    <w:rsid w:val="00B867DC"/>
    <w:rsid w:val="00B86BCF"/>
    <w:rsid w:val="00B86E20"/>
    <w:rsid w:val="00B871B4"/>
    <w:rsid w:val="00B8761B"/>
    <w:rsid w:val="00B879FA"/>
    <w:rsid w:val="00B879FF"/>
    <w:rsid w:val="00B87A7D"/>
    <w:rsid w:val="00B87D6C"/>
    <w:rsid w:val="00B90072"/>
    <w:rsid w:val="00B903DA"/>
    <w:rsid w:val="00B9063E"/>
    <w:rsid w:val="00B908E9"/>
    <w:rsid w:val="00B91176"/>
    <w:rsid w:val="00B91409"/>
    <w:rsid w:val="00B9162F"/>
    <w:rsid w:val="00B917C5"/>
    <w:rsid w:val="00B923C6"/>
    <w:rsid w:val="00B923FA"/>
    <w:rsid w:val="00B9349A"/>
    <w:rsid w:val="00B93E68"/>
    <w:rsid w:val="00B942DF"/>
    <w:rsid w:val="00B9446D"/>
    <w:rsid w:val="00B94D73"/>
    <w:rsid w:val="00B94E1A"/>
    <w:rsid w:val="00B954A7"/>
    <w:rsid w:val="00B95B3C"/>
    <w:rsid w:val="00B95F27"/>
    <w:rsid w:val="00B95F60"/>
    <w:rsid w:val="00B95FB7"/>
    <w:rsid w:val="00B960C6"/>
    <w:rsid w:val="00B97B03"/>
    <w:rsid w:val="00BA0433"/>
    <w:rsid w:val="00BA0985"/>
    <w:rsid w:val="00BA0B98"/>
    <w:rsid w:val="00BA0FE9"/>
    <w:rsid w:val="00BA1A1C"/>
    <w:rsid w:val="00BA1A55"/>
    <w:rsid w:val="00BA23AB"/>
    <w:rsid w:val="00BA2875"/>
    <w:rsid w:val="00BA28EF"/>
    <w:rsid w:val="00BA3156"/>
    <w:rsid w:val="00BA321D"/>
    <w:rsid w:val="00BA36C4"/>
    <w:rsid w:val="00BA3FB0"/>
    <w:rsid w:val="00BA4A21"/>
    <w:rsid w:val="00BA502F"/>
    <w:rsid w:val="00BA53B6"/>
    <w:rsid w:val="00BA5947"/>
    <w:rsid w:val="00BA75F8"/>
    <w:rsid w:val="00BA7812"/>
    <w:rsid w:val="00BA7914"/>
    <w:rsid w:val="00BA7FCA"/>
    <w:rsid w:val="00BB0368"/>
    <w:rsid w:val="00BB06B9"/>
    <w:rsid w:val="00BB0A89"/>
    <w:rsid w:val="00BB2084"/>
    <w:rsid w:val="00BB26A3"/>
    <w:rsid w:val="00BB29DA"/>
    <w:rsid w:val="00BB37E8"/>
    <w:rsid w:val="00BB3886"/>
    <w:rsid w:val="00BB3C70"/>
    <w:rsid w:val="00BB3F39"/>
    <w:rsid w:val="00BB524D"/>
    <w:rsid w:val="00BB6E46"/>
    <w:rsid w:val="00BB763E"/>
    <w:rsid w:val="00BB7D26"/>
    <w:rsid w:val="00BC08EB"/>
    <w:rsid w:val="00BC0C8D"/>
    <w:rsid w:val="00BC0ED7"/>
    <w:rsid w:val="00BC0FD0"/>
    <w:rsid w:val="00BC162D"/>
    <w:rsid w:val="00BC213B"/>
    <w:rsid w:val="00BC279C"/>
    <w:rsid w:val="00BC28A0"/>
    <w:rsid w:val="00BC3610"/>
    <w:rsid w:val="00BC4E99"/>
    <w:rsid w:val="00BC4EB1"/>
    <w:rsid w:val="00BC55B4"/>
    <w:rsid w:val="00BC5A4A"/>
    <w:rsid w:val="00BC666A"/>
    <w:rsid w:val="00BC7067"/>
    <w:rsid w:val="00BC762F"/>
    <w:rsid w:val="00BC7F53"/>
    <w:rsid w:val="00BD0F46"/>
    <w:rsid w:val="00BD1CC1"/>
    <w:rsid w:val="00BD1D72"/>
    <w:rsid w:val="00BD1D77"/>
    <w:rsid w:val="00BD21AA"/>
    <w:rsid w:val="00BD31A4"/>
    <w:rsid w:val="00BD35C0"/>
    <w:rsid w:val="00BD3647"/>
    <w:rsid w:val="00BD3C63"/>
    <w:rsid w:val="00BD44C1"/>
    <w:rsid w:val="00BD4824"/>
    <w:rsid w:val="00BD4993"/>
    <w:rsid w:val="00BD4AF6"/>
    <w:rsid w:val="00BD4F66"/>
    <w:rsid w:val="00BD54FA"/>
    <w:rsid w:val="00BD5658"/>
    <w:rsid w:val="00BD596D"/>
    <w:rsid w:val="00BD681C"/>
    <w:rsid w:val="00BD6CD3"/>
    <w:rsid w:val="00BD6CFC"/>
    <w:rsid w:val="00BD7750"/>
    <w:rsid w:val="00BD79D6"/>
    <w:rsid w:val="00BD7F63"/>
    <w:rsid w:val="00BE0484"/>
    <w:rsid w:val="00BE13CA"/>
    <w:rsid w:val="00BE19E8"/>
    <w:rsid w:val="00BE1AFB"/>
    <w:rsid w:val="00BE1C2C"/>
    <w:rsid w:val="00BE1F38"/>
    <w:rsid w:val="00BE1FEE"/>
    <w:rsid w:val="00BE2018"/>
    <w:rsid w:val="00BE39BD"/>
    <w:rsid w:val="00BE4A65"/>
    <w:rsid w:val="00BE5A44"/>
    <w:rsid w:val="00BE699C"/>
    <w:rsid w:val="00BE7713"/>
    <w:rsid w:val="00BF006C"/>
    <w:rsid w:val="00BF08DC"/>
    <w:rsid w:val="00BF09B4"/>
    <w:rsid w:val="00BF0C08"/>
    <w:rsid w:val="00BF163D"/>
    <w:rsid w:val="00BF2429"/>
    <w:rsid w:val="00BF2982"/>
    <w:rsid w:val="00BF30CD"/>
    <w:rsid w:val="00BF32BF"/>
    <w:rsid w:val="00BF36CD"/>
    <w:rsid w:val="00BF38B6"/>
    <w:rsid w:val="00BF38F3"/>
    <w:rsid w:val="00BF3B10"/>
    <w:rsid w:val="00BF3DE3"/>
    <w:rsid w:val="00BF3EE7"/>
    <w:rsid w:val="00BF4BB7"/>
    <w:rsid w:val="00BF4D0A"/>
    <w:rsid w:val="00BF4F02"/>
    <w:rsid w:val="00BF565F"/>
    <w:rsid w:val="00BF5F4D"/>
    <w:rsid w:val="00BF64F7"/>
    <w:rsid w:val="00BF64F8"/>
    <w:rsid w:val="00BF7163"/>
    <w:rsid w:val="00BF7AAD"/>
    <w:rsid w:val="00BF7C2D"/>
    <w:rsid w:val="00C0183A"/>
    <w:rsid w:val="00C01B63"/>
    <w:rsid w:val="00C01DCE"/>
    <w:rsid w:val="00C022E7"/>
    <w:rsid w:val="00C027B1"/>
    <w:rsid w:val="00C03139"/>
    <w:rsid w:val="00C035FB"/>
    <w:rsid w:val="00C037BC"/>
    <w:rsid w:val="00C03C58"/>
    <w:rsid w:val="00C0475D"/>
    <w:rsid w:val="00C04820"/>
    <w:rsid w:val="00C05D3B"/>
    <w:rsid w:val="00C05E94"/>
    <w:rsid w:val="00C0650B"/>
    <w:rsid w:val="00C06555"/>
    <w:rsid w:val="00C065CF"/>
    <w:rsid w:val="00C06DA0"/>
    <w:rsid w:val="00C0782B"/>
    <w:rsid w:val="00C07E1B"/>
    <w:rsid w:val="00C07E48"/>
    <w:rsid w:val="00C10317"/>
    <w:rsid w:val="00C10626"/>
    <w:rsid w:val="00C107BE"/>
    <w:rsid w:val="00C10C21"/>
    <w:rsid w:val="00C114E2"/>
    <w:rsid w:val="00C12341"/>
    <w:rsid w:val="00C12E83"/>
    <w:rsid w:val="00C14143"/>
    <w:rsid w:val="00C1420B"/>
    <w:rsid w:val="00C1435E"/>
    <w:rsid w:val="00C146B6"/>
    <w:rsid w:val="00C147E6"/>
    <w:rsid w:val="00C14806"/>
    <w:rsid w:val="00C14B74"/>
    <w:rsid w:val="00C14DC7"/>
    <w:rsid w:val="00C15138"/>
    <w:rsid w:val="00C15191"/>
    <w:rsid w:val="00C159A2"/>
    <w:rsid w:val="00C15A44"/>
    <w:rsid w:val="00C161E6"/>
    <w:rsid w:val="00C16F08"/>
    <w:rsid w:val="00C20330"/>
    <w:rsid w:val="00C2073C"/>
    <w:rsid w:val="00C20A66"/>
    <w:rsid w:val="00C217A7"/>
    <w:rsid w:val="00C22D36"/>
    <w:rsid w:val="00C237C7"/>
    <w:rsid w:val="00C23B0A"/>
    <w:rsid w:val="00C23D35"/>
    <w:rsid w:val="00C23EC3"/>
    <w:rsid w:val="00C24495"/>
    <w:rsid w:val="00C24633"/>
    <w:rsid w:val="00C248BA"/>
    <w:rsid w:val="00C25075"/>
    <w:rsid w:val="00C258AD"/>
    <w:rsid w:val="00C25D42"/>
    <w:rsid w:val="00C26440"/>
    <w:rsid w:val="00C264C8"/>
    <w:rsid w:val="00C268CD"/>
    <w:rsid w:val="00C27142"/>
    <w:rsid w:val="00C27D18"/>
    <w:rsid w:val="00C303F4"/>
    <w:rsid w:val="00C30ED0"/>
    <w:rsid w:val="00C31502"/>
    <w:rsid w:val="00C31ADC"/>
    <w:rsid w:val="00C32CFD"/>
    <w:rsid w:val="00C33283"/>
    <w:rsid w:val="00C33677"/>
    <w:rsid w:val="00C336C3"/>
    <w:rsid w:val="00C33A54"/>
    <w:rsid w:val="00C34C19"/>
    <w:rsid w:val="00C350E2"/>
    <w:rsid w:val="00C3520F"/>
    <w:rsid w:val="00C35BB5"/>
    <w:rsid w:val="00C36081"/>
    <w:rsid w:val="00C362F5"/>
    <w:rsid w:val="00C36467"/>
    <w:rsid w:val="00C36D00"/>
    <w:rsid w:val="00C36DC3"/>
    <w:rsid w:val="00C36EF0"/>
    <w:rsid w:val="00C37164"/>
    <w:rsid w:val="00C37246"/>
    <w:rsid w:val="00C37251"/>
    <w:rsid w:val="00C37EA0"/>
    <w:rsid w:val="00C4049A"/>
    <w:rsid w:val="00C4073D"/>
    <w:rsid w:val="00C40A7C"/>
    <w:rsid w:val="00C410D6"/>
    <w:rsid w:val="00C41498"/>
    <w:rsid w:val="00C41AC8"/>
    <w:rsid w:val="00C423A9"/>
    <w:rsid w:val="00C426D2"/>
    <w:rsid w:val="00C42CA0"/>
    <w:rsid w:val="00C4388B"/>
    <w:rsid w:val="00C43D1A"/>
    <w:rsid w:val="00C44185"/>
    <w:rsid w:val="00C45965"/>
    <w:rsid w:val="00C46265"/>
    <w:rsid w:val="00C466B6"/>
    <w:rsid w:val="00C467AB"/>
    <w:rsid w:val="00C46B18"/>
    <w:rsid w:val="00C46D3F"/>
    <w:rsid w:val="00C47172"/>
    <w:rsid w:val="00C47256"/>
    <w:rsid w:val="00C47815"/>
    <w:rsid w:val="00C507DF"/>
    <w:rsid w:val="00C51AE9"/>
    <w:rsid w:val="00C51B21"/>
    <w:rsid w:val="00C51C64"/>
    <w:rsid w:val="00C51EC3"/>
    <w:rsid w:val="00C521BB"/>
    <w:rsid w:val="00C527C3"/>
    <w:rsid w:val="00C532F8"/>
    <w:rsid w:val="00C538AB"/>
    <w:rsid w:val="00C53A07"/>
    <w:rsid w:val="00C53B5B"/>
    <w:rsid w:val="00C545A3"/>
    <w:rsid w:val="00C5492F"/>
    <w:rsid w:val="00C5498C"/>
    <w:rsid w:val="00C54A74"/>
    <w:rsid w:val="00C55A91"/>
    <w:rsid w:val="00C55C68"/>
    <w:rsid w:val="00C55E67"/>
    <w:rsid w:val="00C56CF7"/>
    <w:rsid w:val="00C56DB6"/>
    <w:rsid w:val="00C5748C"/>
    <w:rsid w:val="00C57EED"/>
    <w:rsid w:val="00C606E4"/>
    <w:rsid w:val="00C60E6A"/>
    <w:rsid w:val="00C6105A"/>
    <w:rsid w:val="00C610F5"/>
    <w:rsid w:val="00C615DD"/>
    <w:rsid w:val="00C6274B"/>
    <w:rsid w:val="00C62A72"/>
    <w:rsid w:val="00C63288"/>
    <w:rsid w:val="00C639A2"/>
    <w:rsid w:val="00C63DD7"/>
    <w:rsid w:val="00C645C5"/>
    <w:rsid w:val="00C64C91"/>
    <w:rsid w:val="00C64D4D"/>
    <w:rsid w:val="00C65339"/>
    <w:rsid w:val="00C66B12"/>
    <w:rsid w:val="00C66C03"/>
    <w:rsid w:val="00C67298"/>
    <w:rsid w:val="00C67825"/>
    <w:rsid w:val="00C67861"/>
    <w:rsid w:val="00C67A25"/>
    <w:rsid w:val="00C702C4"/>
    <w:rsid w:val="00C70471"/>
    <w:rsid w:val="00C70989"/>
    <w:rsid w:val="00C7187F"/>
    <w:rsid w:val="00C71926"/>
    <w:rsid w:val="00C71A30"/>
    <w:rsid w:val="00C71DC5"/>
    <w:rsid w:val="00C7364D"/>
    <w:rsid w:val="00C74805"/>
    <w:rsid w:val="00C7487B"/>
    <w:rsid w:val="00C755C6"/>
    <w:rsid w:val="00C755EA"/>
    <w:rsid w:val="00C760DC"/>
    <w:rsid w:val="00C762AD"/>
    <w:rsid w:val="00C76F28"/>
    <w:rsid w:val="00C77861"/>
    <w:rsid w:val="00C80AD4"/>
    <w:rsid w:val="00C80BD4"/>
    <w:rsid w:val="00C80C48"/>
    <w:rsid w:val="00C80F26"/>
    <w:rsid w:val="00C81235"/>
    <w:rsid w:val="00C814ED"/>
    <w:rsid w:val="00C81970"/>
    <w:rsid w:val="00C819B4"/>
    <w:rsid w:val="00C81E4A"/>
    <w:rsid w:val="00C820F2"/>
    <w:rsid w:val="00C8289C"/>
    <w:rsid w:val="00C828C7"/>
    <w:rsid w:val="00C83083"/>
    <w:rsid w:val="00C8333D"/>
    <w:rsid w:val="00C8342C"/>
    <w:rsid w:val="00C83613"/>
    <w:rsid w:val="00C840E2"/>
    <w:rsid w:val="00C841FA"/>
    <w:rsid w:val="00C85B26"/>
    <w:rsid w:val="00C85F55"/>
    <w:rsid w:val="00C85FD8"/>
    <w:rsid w:val="00C86417"/>
    <w:rsid w:val="00C8732B"/>
    <w:rsid w:val="00C87929"/>
    <w:rsid w:val="00C87A0D"/>
    <w:rsid w:val="00C91AD8"/>
    <w:rsid w:val="00C92583"/>
    <w:rsid w:val="00C93D37"/>
    <w:rsid w:val="00C940FC"/>
    <w:rsid w:val="00C94401"/>
    <w:rsid w:val="00C94450"/>
    <w:rsid w:val="00C947CF"/>
    <w:rsid w:val="00C95161"/>
    <w:rsid w:val="00C95BB3"/>
    <w:rsid w:val="00C9747D"/>
    <w:rsid w:val="00C97660"/>
    <w:rsid w:val="00C979DE"/>
    <w:rsid w:val="00C97D86"/>
    <w:rsid w:val="00C97FD9"/>
    <w:rsid w:val="00CA0139"/>
    <w:rsid w:val="00CA1466"/>
    <w:rsid w:val="00CA16F1"/>
    <w:rsid w:val="00CA187D"/>
    <w:rsid w:val="00CA1A0E"/>
    <w:rsid w:val="00CA20F0"/>
    <w:rsid w:val="00CA25E0"/>
    <w:rsid w:val="00CA2910"/>
    <w:rsid w:val="00CA45EE"/>
    <w:rsid w:val="00CA494B"/>
    <w:rsid w:val="00CA4C4C"/>
    <w:rsid w:val="00CA4D25"/>
    <w:rsid w:val="00CA5025"/>
    <w:rsid w:val="00CA6C95"/>
    <w:rsid w:val="00CA7043"/>
    <w:rsid w:val="00CA7F53"/>
    <w:rsid w:val="00CB01A4"/>
    <w:rsid w:val="00CB0AF8"/>
    <w:rsid w:val="00CB122B"/>
    <w:rsid w:val="00CB1A88"/>
    <w:rsid w:val="00CB1C3C"/>
    <w:rsid w:val="00CB279D"/>
    <w:rsid w:val="00CB2AAA"/>
    <w:rsid w:val="00CB334A"/>
    <w:rsid w:val="00CB4276"/>
    <w:rsid w:val="00CB4597"/>
    <w:rsid w:val="00CB56C3"/>
    <w:rsid w:val="00CB59CD"/>
    <w:rsid w:val="00CB5CCB"/>
    <w:rsid w:val="00CB606A"/>
    <w:rsid w:val="00CB6443"/>
    <w:rsid w:val="00CB7119"/>
    <w:rsid w:val="00CC01C9"/>
    <w:rsid w:val="00CC023E"/>
    <w:rsid w:val="00CC0489"/>
    <w:rsid w:val="00CC0B73"/>
    <w:rsid w:val="00CC0F4C"/>
    <w:rsid w:val="00CC1471"/>
    <w:rsid w:val="00CC1507"/>
    <w:rsid w:val="00CC1528"/>
    <w:rsid w:val="00CC1DC5"/>
    <w:rsid w:val="00CC25B5"/>
    <w:rsid w:val="00CC2CDA"/>
    <w:rsid w:val="00CC48C4"/>
    <w:rsid w:val="00CC51F9"/>
    <w:rsid w:val="00CC53DA"/>
    <w:rsid w:val="00CC5443"/>
    <w:rsid w:val="00CC5638"/>
    <w:rsid w:val="00CC5DD3"/>
    <w:rsid w:val="00CC61B2"/>
    <w:rsid w:val="00CC7341"/>
    <w:rsid w:val="00CC74F4"/>
    <w:rsid w:val="00CC76C1"/>
    <w:rsid w:val="00CC7DFD"/>
    <w:rsid w:val="00CD00B2"/>
    <w:rsid w:val="00CD026F"/>
    <w:rsid w:val="00CD08A9"/>
    <w:rsid w:val="00CD098D"/>
    <w:rsid w:val="00CD0E18"/>
    <w:rsid w:val="00CD13DA"/>
    <w:rsid w:val="00CD16E6"/>
    <w:rsid w:val="00CD2A83"/>
    <w:rsid w:val="00CD2CB0"/>
    <w:rsid w:val="00CD36D8"/>
    <w:rsid w:val="00CD4BD0"/>
    <w:rsid w:val="00CD4E2C"/>
    <w:rsid w:val="00CD539F"/>
    <w:rsid w:val="00CD56A6"/>
    <w:rsid w:val="00CD7324"/>
    <w:rsid w:val="00CD7330"/>
    <w:rsid w:val="00CD793A"/>
    <w:rsid w:val="00CD7E06"/>
    <w:rsid w:val="00CE001E"/>
    <w:rsid w:val="00CE00AC"/>
    <w:rsid w:val="00CE14E5"/>
    <w:rsid w:val="00CE25A4"/>
    <w:rsid w:val="00CE2BAE"/>
    <w:rsid w:val="00CE2E5F"/>
    <w:rsid w:val="00CE3776"/>
    <w:rsid w:val="00CE3B81"/>
    <w:rsid w:val="00CE3BFF"/>
    <w:rsid w:val="00CE42A7"/>
    <w:rsid w:val="00CE4323"/>
    <w:rsid w:val="00CE4B10"/>
    <w:rsid w:val="00CE513F"/>
    <w:rsid w:val="00CE5CC5"/>
    <w:rsid w:val="00CE6355"/>
    <w:rsid w:val="00CE6E00"/>
    <w:rsid w:val="00CE7317"/>
    <w:rsid w:val="00CE7488"/>
    <w:rsid w:val="00CE7698"/>
    <w:rsid w:val="00CE78EC"/>
    <w:rsid w:val="00CE7B91"/>
    <w:rsid w:val="00CF0201"/>
    <w:rsid w:val="00CF0402"/>
    <w:rsid w:val="00CF0CAB"/>
    <w:rsid w:val="00CF17C2"/>
    <w:rsid w:val="00CF2543"/>
    <w:rsid w:val="00CF2956"/>
    <w:rsid w:val="00CF2A90"/>
    <w:rsid w:val="00CF2C54"/>
    <w:rsid w:val="00CF3102"/>
    <w:rsid w:val="00CF3D0B"/>
    <w:rsid w:val="00CF4448"/>
    <w:rsid w:val="00CF45BD"/>
    <w:rsid w:val="00CF54DD"/>
    <w:rsid w:val="00CF5521"/>
    <w:rsid w:val="00CF5A16"/>
    <w:rsid w:val="00CF5BBE"/>
    <w:rsid w:val="00CF5BEB"/>
    <w:rsid w:val="00CF68ED"/>
    <w:rsid w:val="00CF7559"/>
    <w:rsid w:val="00CF75BB"/>
    <w:rsid w:val="00CF77CB"/>
    <w:rsid w:val="00CF7825"/>
    <w:rsid w:val="00CF7DD0"/>
    <w:rsid w:val="00D0016D"/>
    <w:rsid w:val="00D00F01"/>
    <w:rsid w:val="00D01D63"/>
    <w:rsid w:val="00D025E6"/>
    <w:rsid w:val="00D0324A"/>
    <w:rsid w:val="00D0327B"/>
    <w:rsid w:val="00D03813"/>
    <w:rsid w:val="00D03C63"/>
    <w:rsid w:val="00D04722"/>
    <w:rsid w:val="00D054CE"/>
    <w:rsid w:val="00D05EAA"/>
    <w:rsid w:val="00D05F3C"/>
    <w:rsid w:val="00D07A35"/>
    <w:rsid w:val="00D10E5F"/>
    <w:rsid w:val="00D113E7"/>
    <w:rsid w:val="00D11981"/>
    <w:rsid w:val="00D11EC6"/>
    <w:rsid w:val="00D12572"/>
    <w:rsid w:val="00D129EE"/>
    <w:rsid w:val="00D12ABF"/>
    <w:rsid w:val="00D12E93"/>
    <w:rsid w:val="00D141F8"/>
    <w:rsid w:val="00D1510B"/>
    <w:rsid w:val="00D1559B"/>
    <w:rsid w:val="00D16909"/>
    <w:rsid w:val="00D1721B"/>
    <w:rsid w:val="00D173CD"/>
    <w:rsid w:val="00D1797F"/>
    <w:rsid w:val="00D20D08"/>
    <w:rsid w:val="00D211C1"/>
    <w:rsid w:val="00D2151A"/>
    <w:rsid w:val="00D21BDD"/>
    <w:rsid w:val="00D21D03"/>
    <w:rsid w:val="00D21EA9"/>
    <w:rsid w:val="00D222AF"/>
    <w:rsid w:val="00D226E7"/>
    <w:rsid w:val="00D23927"/>
    <w:rsid w:val="00D245D3"/>
    <w:rsid w:val="00D25EFA"/>
    <w:rsid w:val="00D25FDF"/>
    <w:rsid w:val="00D2612A"/>
    <w:rsid w:val="00D278F9"/>
    <w:rsid w:val="00D27959"/>
    <w:rsid w:val="00D27AC6"/>
    <w:rsid w:val="00D3002B"/>
    <w:rsid w:val="00D30976"/>
    <w:rsid w:val="00D30A6C"/>
    <w:rsid w:val="00D31382"/>
    <w:rsid w:val="00D31E08"/>
    <w:rsid w:val="00D32572"/>
    <w:rsid w:val="00D32AAE"/>
    <w:rsid w:val="00D346C6"/>
    <w:rsid w:val="00D351EA"/>
    <w:rsid w:val="00D35750"/>
    <w:rsid w:val="00D35C04"/>
    <w:rsid w:val="00D35D61"/>
    <w:rsid w:val="00D36009"/>
    <w:rsid w:val="00D36CF9"/>
    <w:rsid w:val="00D37482"/>
    <w:rsid w:val="00D37A17"/>
    <w:rsid w:val="00D402A8"/>
    <w:rsid w:val="00D402DA"/>
    <w:rsid w:val="00D4044D"/>
    <w:rsid w:val="00D404C1"/>
    <w:rsid w:val="00D408D5"/>
    <w:rsid w:val="00D409CC"/>
    <w:rsid w:val="00D40A01"/>
    <w:rsid w:val="00D40FAC"/>
    <w:rsid w:val="00D41791"/>
    <w:rsid w:val="00D42964"/>
    <w:rsid w:val="00D42A70"/>
    <w:rsid w:val="00D42D9A"/>
    <w:rsid w:val="00D43760"/>
    <w:rsid w:val="00D43DFD"/>
    <w:rsid w:val="00D4406A"/>
    <w:rsid w:val="00D449B5"/>
    <w:rsid w:val="00D455ED"/>
    <w:rsid w:val="00D4568E"/>
    <w:rsid w:val="00D45CA4"/>
    <w:rsid w:val="00D464F8"/>
    <w:rsid w:val="00D4756F"/>
    <w:rsid w:val="00D477E2"/>
    <w:rsid w:val="00D47A0A"/>
    <w:rsid w:val="00D47BA2"/>
    <w:rsid w:val="00D47F62"/>
    <w:rsid w:val="00D50B50"/>
    <w:rsid w:val="00D51519"/>
    <w:rsid w:val="00D519E8"/>
    <w:rsid w:val="00D51C34"/>
    <w:rsid w:val="00D5249C"/>
    <w:rsid w:val="00D53785"/>
    <w:rsid w:val="00D53DB7"/>
    <w:rsid w:val="00D53EA0"/>
    <w:rsid w:val="00D540B0"/>
    <w:rsid w:val="00D540C4"/>
    <w:rsid w:val="00D54B34"/>
    <w:rsid w:val="00D550CB"/>
    <w:rsid w:val="00D5556F"/>
    <w:rsid w:val="00D55C51"/>
    <w:rsid w:val="00D56702"/>
    <w:rsid w:val="00D56E83"/>
    <w:rsid w:val="00D56F92"/>
    <w:rsid w:val="00D57844"/>
    <w:rsid w:val="00D5795B"/>
    <w:rsid w:val="00D60070"/>
    <w:rsid w:val="00D601E7"/>
    <w:rsid w:val="00D60A54"/>
    <w:rsid w:val="00D62171"/>
    <w:rsid w:val="00D62983"/>
    <w:rsid w:val="00D646CA"/>
    <w:rsid w:val="00D646EE"/>
    <w:rsid w:val="00D647F6"/>
    <w:rsid w:val="00D6557A"/>
    <w:rsid w:val="00D65583"/>
    <w:rsid w:val="00D66AB6"/>
    <w:rsid w:val="00D66E14"/>
    <w:rsid w:val="00D67105"/>
    <w:rsid w:val="00D677DF"/>
    <w:rsid w:val="00D679B2"/>
    <w:rsid w:val="00D67D8A"/>
    <w:rsid w:val="00D67F8D"/>
    <w:rsid w:val="00D7010C"/>
    <w:rsid w:val="00D7063C"/>
    <w:rsid w:val="00D70AFB"/>
    <w:rsid w:val="00D70DC0"/>
    <w:rsid w:val="00D71B89"/>
    <w:rsid w:val="00D71D51"/>
    <w:rsid w:val="00D7240F"/>
    <w:rsid w:val="00D72C7C"/>
    <w:rsid w:val="00D73135"/>
    <w:rsid w:val="00D73190"/>
    <w:rsid w:val="00D73333"/>
    <w:rsid w:val="00D7418B"/>
    <w:rsid w:val="00D7496E"/>
    <w:rsid w:val="00D7536B"/>
    <w:rsid w:val="00D75E8F"/>
    <w:rsid w:val="00D76CA7"/>
    <w:rsid w:val="00D774CB"/>
    <w:rsid w:val="00D775B7"/>
    <w:rsid w:val="00D7798B"/>
    <w:rsid w:val="00D80A9B"/>
    <w:rsid w:val="00D810CB"/>
    <w:rsid w:val="00D814BC"/>
    <w:rsid w:val="00D8168C"/>
    <w:rsid w:val="00D81A68"/>
    <w:rsid w:val="00D81EDF"/>
    <w:rsid w:val="00D82034"/>
    <w:rsid w:val="00D83014"/>
    <w:rsid w:val="00D835FE"/>
    <w:rsid w:val="00D83807"/>
    <w:rsid w:val="00D838CD"/>
    <w:rsid w:val="00D8422B"/>
    <w:rsid w:val="00D844CB"/>
    <w:rsid w:val="00D84DCF"/>
    <w:rsid w:val="00D855FB"/>
    <w:rsid w:val="00D85A53"/>
    <w:rsid w:val="00D861C1"/>
    <w:rsid w:val="00D86F5B"/>
    <w:rsid w:val="00D8717B"/>
    <w:rsid w:val="00D8742F"/>
    <w:rsid w:val="00D87995"/>
    <w:rsid w:val="00D90B12"/>
    <w:rsid w:val="00D90BE0"/>
    <w:rsid w:val="00D90D4C"/>
    <w:rsid w:val="00D916B9"/>
    <w:rsid w:val="00D91F90"/>
    <w:rsid w:val="00D92161"/>
    <w:rsid w:val="00D92385"/>
    <w:rsid w:val="00D93C5A"/>
    <w:rsid w:val="00D94DF1"/>
    <w:rsid w:val="00D955F1"/>
    <w:rsid w:val="00D9579B"/>
    <w:rsid w:val="00D95C6F"/>
    <w:rsid w:val="00D965BC"/>
    <w:rsid w:val="00D96F1E"/>
    <w:rsid w:val="00D96FB9"/>
    <w:rsid w:val="00D97132"/>
    <w:rsid w:val="00D979FD"/>
    <w:rsid w:val="00D97C93"/>
    <w:rsid w:val="00DA02FB"/>
    <w:rsid w:val="00DA04B6"/>
    <w:rsid w:val="00DA04DE"/>
    <w:rsid w:val="00DA0639"/>
    <w:rsid w:val="00DA06E5"/>
    <w:rsid w:val="00DA0E78"/>
    <w:rsid w:val="00DA0ED6"/>
    <w:rsid w:val="00DA1151"/>
    <w:rsid w:val="00DA1469"/>
    <w:rsid w:val="00DA1CDD"/>
    <w:rsid w:val="00DA2080"/>
    <w:rsid w:val="00DA273D"/>
    <w:rsid w:val="00DA27F9"/>
    <w:rsid w:val="00DA3DDD"/>
    <w:rsid w:val="00DA3E06"/>
    <w:rsid w:val="00DA42B4"/>
    <w:rsid w:val="00DA4B3D"/>
    <w:rsid w:val="00DA7227"/>
    <w:rsid w:val="00DA7465"/>
    <w:rsid w:val="00DA74D6"/>
    <w:rsid w:val="00DA7B05"/>
    <w:rsid w:val="00DA7E84"/>
    <w:rsid w:val="00DB030B"/>
    <w:rsid w:val="00DB05E9"/>
    <w:rsid w:val="00DB13D4"/>
    <w:rsid w:val="00DB1801"/>
    <w:rsid w:val="00DB185B"/>
    <w:rsid w:val="00DB1AE7"/>
    <w:rsid w:val="00DB22FA"/>
    <w:rsid w:val="00DB237A"/>
    <w:rsid w:val="00DB26E7"/>
    <w:rsid w:val="00DB2B66"/>
    <w:rsid w:val="00DB2FEB"/>
    <w:rsid w:val="00DB383B"/>
    <w:rsid w:val="00DB3A80"/>
    <w:rsid w:val="00DB3C6E"/>
    <w:rsid w:val="00DB40D2"/>
    <w:rsid w:val="00DB4423"/>
    <w:rsid w:val="00DB45D0"/>
    <w:rsid w:val="00DB4754"/>
    <w:rsid w:val="00DB555C"/>
    <w:rsid w:val="00DB557F"/>
    <w:rsid w:val="00DB5A0F"/>
    <w:rsid w:val="00DB605C"/>
    <w:rsid w:val="00DB63EF"/>
    <w:rsid w:val="00DC0272"/>
    <w:rsid w:val="00DC02AB"/>
    <w:rsid w:val="00DC0359"/>
    <w:rsid w:val="00DC04F9"/>
    <w:rsid w:val="00DC1493"/>
    <w:rsid w:val="00DC171E"/>
    <w:rsid w:val="00DC1BAB"/>
    <w:rsid w:val="00DC25B7"/>
    <w:rsid w:val="00DC2DE8"/>
    <w:rsid w:val="00DC4089"/>
    <w:rsid w:val="00DC4806"/>
    <w:rsid w:val="00DC5A4C"/>
    <w:rsid w:val="00DC658F"/>
    <w:rsid w:val="00DC6AAA"/>
    <w:rsid w:val="00DC7600"/>
    <w:rsid w:val="00DC7719"/>
    <w:rsid w:val="00DC77B9"/>
    <w:rsid w:val="00DC783F"/>
    <w:rsid w:val="00DC7B90"/>
    <w:rsid w:val="00DD07BD"/>
    <w:rsid w:val="00DD0E83"/>
    <w:rsid w:val="00DD218E"/>
    <w:rsid w:val="00DD313E"/>
    <w:rsid w:val="00DD3954"/>
    <w:rsid w:val="00DD3972"/>
    <w:rsid w:val="00DD3E15"/>
    <w:rsid w:val="00DD5257"/>
    <w:rsid w:val="00DD5409"/>
    <w:rsid w:val="00DD5A72"/>
    <w:rsid w:val="00DD65AA"/>
    <w:rsid w:val="00DD6912"/>
    <w:rsid w:val="00DD7729"/>
    <w:rsid w:val="00DE0265"/>
    <w:rsid w:val="00DE0C7C"/>
    <w:rsid w:val="00DE0EDF"/>
    <w:rsid w:val="00DE0EE4"/>
    <w:rsid w:val="00DE180B"/>
    <w:rsid w:val="00DE3A7B"/>
    <w:rsid w:val="00DE4580"/>
    <w:rsid w:val="00DE514C"/>
    <w:rsid w:val="00DE5249"/>
    <w:rsid w:val="00DE5839"/>
    <w:rsid w:val="00DE5D1F"/>
    <w:rsid w:val="00DE5F72"/>
    <w:rsid w:val="00DE6EF1"/>
    <w:rsid w:val="00DE737A"/>
    <w:rsid w:val="00DE749A"/>
    <w:rsid w:val="00DE77B1"/>
    <w:rsid w:val="00DE7DC5"/>
    <w:rsid w:val="00DE7F55"/>
    <w:rsid w:val="00DE7F85"/>
    <w:rsid w:val="00DF0499"/>
    <w:rsid w:val="00DF09F9"/>
    <w:rsid w:val="00DF0A97"/>
    <w:rsid w:val="00DF0DB2"/>
    <w:rsid w:val="00DF131D"/>
    <w:rsid w:val="00DF166B"/>
    <w:rsid w:val="00DF1778"/>
    <w:rsid w:val="00DF1ACE"/>
    <w:rsid w:val="00DF1D01"/>
    <w:rsid w:val="00DF1D6C"/>
    <w:rsid w:val="00DF268B"/>
    <w:rsid w:val="00DF2B50"/>
    <w:rsid w:val="00DF3421"/>
    <w:rsid w:val="00DF4371"/>
    <w:rsid w:val="00DF4C1E"/>
    <w:rsid w:val="00DF4F39"/>
    <w:rsid w:val="00DF504D"/>
    <w:rsid w:val="00DF530A"/>
    <w:rsid w:val="00DF5554"/>
    <w:rsid w:val="00DF613F"/>
    <w:rsid w:val="00DF637B"/>
    <w:rsid w:val="00DF6816"/>
    <w:rsid w:val="00DF72D1"/>
    <w:rsid w:val="00DF737A"/>
    <w:rsid w:val="00DF7D60"/>
    <w:rsid w:val="00E002CF"/>
    <w:rsid w:val="00E0037E"/>
    <w:rsid w:val="00E00502"/>
    <w:rsid w:val="00E00692"/>
    <w:rsid w:val="00E00976"/>
    <w:rsid w:val="00E00B7A"/>
    <w:rsid w:val="00E00C7C"/>
    <w:rsid w:val="00E00CD4"/>
    <w:rsid w:val="00E01AC8"/>
    <w:rsid w:val="00E01CB8"/>
    <w:rsid w:val="00E02281"/>
    <w:rsid w:val="00E02B5F"/>
    <w:rsid w:val="00E02C66"/>
    <w:rsid w:val="00E02FA4"/>
    <w:rsid w:val="00E02FDC"/>
    <w:rsid w:val="00E03134"/>
    <w:rsid w:val="00E03C7A"/>
    <w:rsid w:val="00E0439D"/>
    <w:rsid w:val="00E0474E"/>
    <w:rsid w:val="00E04ECA"/>
    <w:rsid w:val="00E05DF7"/>
    <w:rsid w:val="00E05F3F"/>
    <w:rsid w:val="00E0622C"/>
    <w:rsid w:val="00E06EF0"/>
    <w:rsid w:val="00E1047F"/>
    <w:rsid w:val="00E11FA9"/>
    <w:rsid w:val="00E1259A"/>
    <w:rsid w:val="00E1275A"/>
    <w:rsid w:val="00E12BDA"/>
    <w:rsid w:val="00E12D36"/>
    <w:rsid w:val="00E13EC7"/>
    <w:rsid w:val="00E14FD3"/>
    <w:rsid w:val="00E15512"/>
    <w:rsid w:val="00E157A5"/>
    <w:rsid w:val="00E166DE"/>
    <w:rsid w:val="00E17A5A"/>
    <w:rsid w:val="00E2079B"/>
    <w:rsid w:val="00E209FD"/>
    <w:rsid w:val="00E20FEC"/>
    <w:rsid w:val="00E22B51"/>
    <w:rsid w:val="00E2387A"/>
    <w:rsid w:val="00E239D9"/>
    <w:rsid w:val="00E23A15"/>
    <w:rsid w:val="00E23C8E"/>
    <w:rsid w:val="00E24EA1"/>
    <w:rsid w:val="00E2502E"/>
    <w:rsid w:val="00E25504"/>
    <w:rsid w:val="00E2599D"/>
    <w:rsid w:val="00E25A07"/>
    <w:rsid w:val="00E260F8"/>
    <w:rsid w:val="00E26C36"/>
    <w:rsid w:val="00E30B73"/>
    <w:rsid w:val="00E30D3E"/>
    <w:rsid w:val="00E3131D"/>
    <w:rsid w:val="00E31952"/>
    <w:rsid w:val="00E31CFA"/>
    <w:rsid w:val="00E32460"/>
    <w:rsid w:val="00E324D9"/>
    <w:rsid w:val="00E325F6"/>
    <w:rsid w:val="00E32DB6"/>
    <w:rsid w:val="00E33760"/>
    <w:rsid w:val="00E337B6"/>
    <w:rsid w:val="00E35054"/>
    <w:rsid w:val="00E3576E"/>
    <w:rsid w:val="00E35A09"/>
    <w:rsid w:val="00E35AE6"/>
    <w:rsid w:val="00E3642F"/>
    <w:rsid w:val="00E369E4"/>
    <w:rsid w:val="00E36FFE"/>
    <w:rsid w:val="00E37293"/>
    <w:rsid w:val="00E37819"/>
    <w:rsid w:val="00E3787C"/>
    <w:rsid w:val="00E37EC3"/>
    <w:rsid w:val="00E37EEB"/>
    <w:rsid w:val="00E4036F"/>
    <w:rsid w:val="00E406BD"/>
    <w:rsid w:val="00E40B32"/>
    <w:rsid w:val="00E4128D"/>
    <w:rsid w:val="00E419E6"/>
    <w:rsid w:val="00E41DAA"/>
    <w:rsid w:val="00E42A12"/>
    <w:rsid w:val="00E434D5"/>
    <w:rsid w:val="00E4386D"/>
    <w:rsid w:val="00E43A41"/>
    <w:rsid w:val="00E4421E"/>
    <w:rsid w:val="00E44430"/>
    <w:rsid w:val="00E444D2"/>
    <w:rsid w:val="00E45637"/>
    <w:rsid w:val="00E456A8"/>
    <w:rsid w:val="00E45C38"/>
    <w:rsid w:val="00E45DF2"/>
    <w:rsid w:val="00E46019"/>
    <w:rsid w:val="00E465B7"/>
    <w:rsid w:val="00E467DF"/>
    <w:rsid w:val="00E46B63"/>
    <w:rsid w:val="00E46CCC"/>
    <w:rsid w:val="00E46F40"/>
    <w:rsid w:val="00E50791"/>
    <w:rsid w:val="00E50991"/>
    <w:rsid w:val="00E50B51"/>
    <w:rsid w:val="00E515E1"/>
    <w:rsid w:val="00E5166C"/>
    <w:rsid w:val="00E51DFF"/>
    <w:rsid w:val="00E52464"/>
    <w:rsid w:val="00E5250C"/>
    <w:rsid w:val="00E52606"/>
    <w:rsid w:val="00E52741"/>
    <w:rsid w:val="00E52CAD"/>
    <w:rsid w:val="00E52F96"/>
    <w:rsid w:val="00E532F0"/>
    <w:rsid w:val="00E5410B"/>
    <w:rsid w:val="00E541E2"/>
    <w:rsid w:val="00E544ED"/>
    <w:rsid w:val="00E54648"/>
    <w:rsid w:val="00E546BA"/>
    <w:rsid w:val="00E55E7F"/>
    <w:rsid w:val="00E563B0"/>
    <w:rsid w:val="00E563BF"/>
    <w:rsid w:val="00E56596"/>
    <w:rsid w:val="00E565F3"/>
    <w:rsid w:val="00E56D2E"/>
    <w:rsid w:val="00E57139"/>
    <w:rsid w:val="00E6005D"/>
    <w:rsid w:val="00E607EB"/>
    <w:rsid w:val="00E60BC6"/>
    <w:rsid w:val="00E62C38"/>
    <w:rsid w:val="00E63CC5"/>
    <w:rsid w:val="00E6413E"/>
    <w:rsid w:val="00E65429"/>
    <w:rsid w:val="00E65843"/>
    <w:rsid w:val="00E65982"/>
    <w:rsid w:val="00E65C1F"/>
    <w:rsid w:val="00E664C4"/>
    <w:rsid w:val="00E66937"/>
    <w:rsid w:val="00E67200"/>
    <w:rsid w:val="00E67B24"/>
    <w:rsid w:val="00E703D9"/>
    <w:rsid w:val="00E70A3F"/>
    <w:rsid w:val="00E70A57"/>
    <w:rsid w:val="00E711A5"/>
    <w:rsid w:val="00E71236"/>
    <w:rsid w:val="00E7146B"/>
    <w:rsid w:val="00E7156B"/>
    <w:rsid w:val="00E71643"/>
    <w:rsid w:val="00E71C0A"/>
    <w:rsid w:val="00E71F13"/>
    <w:rsid w:val="00E723E6"/>
    <w:rsid w:val="00E7247A"/>
    <w:rsid w:val="00E7256B"/>
    <w:rsid w:val="00E72F9C"/>
    <w:rsid w:val="00E73D49"/>
    <w:rsid w:val="00E73DB1"/>
    <w:rsid w:val="00E74346"/>
    <w:rsid w:val="00E74E45"/>
    <w:rsid w:val="00E750E3"/>
    <w:rsid w:val="00E75231"/>
    <w:rsid w:val="00E75D40"/>
    <w:rsid w:val="00E75E4C"/>
    <w:rsid w:val="00E768C8"/>
    <w:rsid w:val="00E76E97"/>
    <w:rsid w:val="00E7713D"/>
    <w:rsid w:val="00E77987"/>
    <w:rsid w:val="00E779B1"/>
    <w:rsid w:val="00E8077A"/>
    <w:rsid w:val="00E80FAF"/>
    <w:rsid w:val="00E81FE8"/>
    <w:rsid w:val="00E821EF"/>
    <w:rsid w:val="00E8432D"/>
    <w:rsid w:val="00E85EB8"/>
    <w:rsid w:val="00E86907"/>
    <w:rsid w:val="00E869AC"/>
    <w:rsid w:val="00E8720A"/>
    <w:rsid w:val="00E87665"/>
    <w:rsid w:val="00E87912"/>
    <w:rsid w:val="00E900FE"/>
    <w:rsid w:val="00E909A6"/>
    <w:rsid w:val="00E90B42"/>
    <w:rsid w:val="00E90FD7"/>
    <w:rsid w:val="00E91269"/>
    <w:rsid w:val="00E91945"/>
    <w:rsid w:val="00E91DF7"/>
    <w:rsid w:val="00E93214"/>
    <w:rsid w:val="00E9341F"/>
    <w:rsid w:val="00E93606"/>
    <w:rsid w:val="00E94125"/>
    <w:rsid w:val="00E94443"/>
    <w:rsid w:val="00E95899"/>
    <w:rsid w:val="00E95DB8"/>
    <w:rsid w:val="00E97951"/>
    <w:rsid w:val="00E97A54"/>
    <w:rsid w:val="00EA0A28"/>
    <w:rsid w:val="00EA0A4D"/>
    <w:rsid w:val="00EA1F2A"/>
    <w:rsid w:val="00EA1F54"/>
    <w:rsid w:val="00EA20C7"/>
    <w:rsid w:val="00EA2B04"/>
    <w:rsid w:val="00EA2BC4"/>
    <w:rsid w:val="00EA2E85"/>
    <w:rsid w:val="00EA3BEF"/>
    <w:rsid w:val="00EA413F"/>
    <w:rsid w:val="00EA4444"/>
    <w:rsid w:val="00EA472C"/>
    <w:rsid w:val="00EA54AC"/>
    <w:rsid w:val="00EA57D1"/>
    <w:rsid w:val="00EA5893"/>
    <w:rsid w:val="00EA5BA2"/>
    <w:rsid w:val="00EA65BC"/>
    <w:rsid w:val="00EA6A6E"/>
    <w:rsid w:val="00EA7370"/>
    <w:rsid w:val="00EA7A32"/>
    <w:rsid w:val="00EA7B10"/>
    <w:rsid w:val="00EA7E37"/>
    <w:rsid w:val="00EB0B94"/>
    <w:rsid w:val="00EB1805"/>
    <w:rsid w:val="00EB24EF"/>
    <w:rsid w:val="00EB26E5"/>
    <w:rsid w:val="00EB2D35"/>
    <w:rsid w:val="00EB2D4F"/>
    <w:rsid w:val="00EB2E3F"/>
    <w:rsid w:val="00EB31DE"/>
    <w:rsid w:val="00EB38FA"/>
    <w:rsid w:val="00EB4841"/>
    <w:rsid w:val="00EB5262"/>
    <w:rsid w:val="00EB54DA"/>
    <w:rsid w:val="00EB54EA"/>
    <w:rsid w:val="00EB5AB4"/>
    <w:rsid w:val="00EB63C8"/>
    <w:rsid w:val="00EB6432"/>
    <w:rsid w:val="00EB6652"/>
    <w:rsid w:val="00EB6F39"/>
    <w:rsid w:val="00EB7699"/>
    <w:rsid w:val="00EB7CF1"/>
    <w:rsid w:val="00EB7D99"/>
    <w:rsid w:val="00EC0A09"/>
    <w:rsid w:val="00EC0D7E"/>
    <w:rsid w:val="00EC14A8"/>
    <w:rsid w:val="00EC1504"/>
    <w:rsid w:val="00EC15B7"/>
    <w:rsid w:val="00EC19BE"/>
    <w:rsid w:val="00EC27BC"/>
    <w:rsid w:val="00EC28D5"/>
    <w:rsid w:val="00EC29E9"/>
    <w:rsid w:val="00EC2B25"/>
    <w:rsid w:val="00EC386C"/>
    <w:rsid w:val="00EC433F"/>
    <w:rsid w:val="00EC480F"/>
    <w:rsid w:val="00EC523D"/>
    <w:rsid w:val="00EC54FF"/>
    <w:rsid w:val="00EC5F63"/>
    <w:rsid w:val="00EC627E"/>
    <w:rsid w:val="00EC62E8"/>
    <w:rsid w:val="00EC6C30"/>
    <w:rsid w:val="00EC71DA"/>
    <w:rsid w:val="00EC76F5"/>
    <w:rsid w:val="00EC7C8E"/>
    <w:rsid w:val="00ED161A"/>
    <w:rsid w:val="00ED1A1C"/>
    <w:rsid w:val="00ED1A3B"/>
    <w:rsid w:val="00ED21F1"/>
    <w:rsid w:val="00ED2C6D"/>
    <w:rsid w:val="00ED2D3F"/>
    <w:rsid w:val="00ED3176"/>
    <w:rsid w:val="00ED375D"/>
    <w:rsid w:val="00ED3E8D"/>
    <w:rsid w:val="00ED42A6"/>
    <w:rsid w:val="00ED457E"/>
    <w:rsid w:val="00ED5019"/>
    <w:rsid w:val="00ED577E"/>
    <w:rsid w:val="00ED66F6"/>
    <w:rsid w:val="00ED6A0F"/>
    <w:rsid w:val="00ED7000"/>
    <w:rsid w:val="00EE04A3"/>
    <w:rsid w:val="00EE0A89"/>
    <w:rsid w:val="00EE103F"/>
    <w:rsid w:val="00EE127E"/>
    <w:rsid w:val="00EE1A2B"/>
    <w:rsid w:val="00EE1EB2"/>
    <w:rsid w:val="00EE2294"/>
    <w:rsid w:val="00EE2298"/>
    <w:rsid w:val="00EE2453"/>
    <w:rsid w:val="00EE2747"/>
    <w:rsid w:val="00EE28E0"/>
    <w:rsid w:val="00EE2A68"/>
    <w:rsid w:val="00EE3EA6"/>
    <w:rsid w:val="00EE4B1B"/>
    <w:rsid w:val="00EE5732"/>
    <w:rsid w:val="00EE57EB"/>
    <w:rsid w:val="00EE5D59"/>
    <w:rsid w:val="00EE5DC9"/>
    <w:rsid w:val="00EE5F75"/>
    <w:rsid w:val="00EE6B84"/>
    <w:rsid w:val="00EE7139"/>
    <w:rsid w:val="00EF03D2"/>
    <w:rsid w:val="00EF08B3"/>
    <w:rsid w:val="00EF201E"/>
    <w:rsid w:val="00EF20B8"/>
    <w:rsid w:val="00EF2A25"/>
    <w:rsid w:val="00EF321C"/>
    <w:rsid w:val="00EF3B05"/>
    <w:rsid w:val="00EF4D45"/>
    <w:rsid w:val="00EF50F2"/>
    <w:rsid w:val="00EF5C44"/>
    <w:rsid w:val="00EF6E80"/>
    <w:rsid w:val="00EF741E"/>
    <w:rsid w:val="00F0098B"/>
    <w:rsid w:val="00F0235E"/>
    <w:rsid w:val="00F02969"/>
    <w:rsid w:val="00F02D02"/>
    <w:rsid w:val="00F03941"/>
    <w:rsid w:val="00F042CD"/>
    <w:rsid w:val="00F042DD"/>
    <w:rsid w:val="00F05076"/>
    <w:rsid w:val="00F0625F"/>
    <w:rsid w:val="00F067B6"/>
    <w:rsid w:val="00F06E49"/>
    <w:rsid w:val="00F074FE"/>
    <w:rsid w:val="00F1028D"/>
    <w:rsid w:val="00F11873"/>
    <w:rsid w:val="00F11A8A"/>
    <w:rsid w:val="00F11D34"/>
    <w:rsid w:val="00F120FC"/>
    <w:rsid w:val="00F12D82"/>
    <w:rsid w:val="00F13357"/>
    <w:rsid w:val="00F133AC"/>
    <w:rsid w:val="00F14459"/>
    <w:rsid w:val="00F1495A"/>
    <w:rsid w:val="00F14D0E"/>
    <w:rsid w:val="00F154DF"/>
    <w:rsid w:val="00F15839"/>
    <w:rsid w:val="00F16B5C"/>
    <w:rsid w:val="00F16D90"/>
    <w:rsid w:val="00F17095"/>
    <w:rsid w:val="00F1772B"/>
    <w:rsid w:val="00F17C0E"/>
    <w:rsid w:val="00F201E3"/>
    <w:rsid w:val="00F2046E"/>
    <w:rsid w:val="00F209A7"/>
    <w:rsid w:val="00F20AFC"/>
    <w:rsid w:val="00F2103D"/>
    <w:rsid w:val="00F2194A"/>
    <w:rsid w:val="00F21D27"/>
    <w:rsid w:val="00F22B91"/>
    <w:rsid w:val="00F22CE8"/>
    <w:rsid w:val="00F22DEC"/>
    <w:rsid w:val="00F22EA6"/>
    <w:rsid w:val="00F2345D"/>
    <w:rsid w:val="00F23867"/>
    <w:rsid w:val="00F241D1"/>
    <w:rsid w:val="00F247F2"/>
    <w:rsid w:val="00F24A17"/>
    <w:rsid w:val="00F24A4D"/>
    <w:rsid w:val="00F24D37"/>
    <w:rsid w:val="00F25A17"/>
    <w:rsid w:val="00F260F9"/>
    <w:rsid w:val="00F2707B"/>
    <w:rsid w:val="00F274B0"/>
    <w:rsid w:val="00F27C45"/>
    <w:rsid w:val="00F304C7"/>
    <w:rsid w:val="00F30F3A"/>
    <w:rsid w:val="00F312B9"/>
    <w:rsid w:val="00F3141D"/>
    <w:rsid w:val="00F31698"/>
    <w:rsid w:val="00F31D9F"/>
    <w:rsid w:val="00F31E17"/>
    <w:rsid w:val="00F31ECE"/>
    <w:rsid w:val="00F32548"/>
    <w:rsid w:val="00F32BE7"/>
    <w:rsid w:val="00F33ADD"/>
    <w:rsid w:val="00F33BCA"/>
    <w:rsid w:val="00F34449"/>
    <w:rsid w:val="00F34766"/>
    <w:rsid w:val="00F35599"/>
    <w:rsid w:val="00F3592D"/>
    <w:rsid w:val="00F36166"/>
    <w:rsid w:val="00F36F63"/>
    <w:rsid w:val="00F37331"/>
    <w:rsid w:val="00F377DD"/>
    <w:rsid w:val="00F3798F"/>
    <w:rsid w:val="00F407B4"/>
    <w:rsid w:val="00F4113F"/>
    <w:rsid w:val="00F41FCE"/>
    <w:rsid w:val="00F41FE9"/>
    <w:rsid w:val="00F422A4"/>
    <w:rsid w:val="00F4249D"/>
    <w:rsid w:val="00F42540"/>
    <w:rsid w:val="00F42DAB"/>
    <w:rsid w:val="00F43689"/>
    <w:rsid w:val="00F43D34"/>
    <w:rsid w:val="00F4459C"/>
    <w:rsid w:val="00F44D45"/>
    <w:rsid w:val="00F4514B"/>
    <w:rsid w:val="00F463B2"/>
    <w:rsid w:val="00F46C54"/>
    <w:rsid w:val="00F47AE6"/>
    <w:rsid w:val="00F47E05"/>
    <w:rsid w:val="00F47FE7"/>
    <w:rsid w:val="00F501C6"/>
    <w:rsid w:val="00F50C41"/>
    <w:rsid w:val="00F513FB"/>
    <w:rsid w:val="00F51C38"/>
    <w:rsid w:val="00F5291B"/>
    <w:rsid w:val="00F52B75"/>
    <w:rsid w:val="00F52FD6"/>
    <w:rsid w:val="00F53BBC"/>
    <w:rsid w:val="00F54260"/>
    <w:rsid w:val="00F544B9"/>
    <w:rsid w:val="00F55B04"/>
    <w:rsid w:val="00F561BE"/>
    <w:rsid w:val="00F564F8"/>
    <w:rsid w:val="00F56903"/>
    <w:rsid w:val="00F570F0"/>
    <w:rsid w:val="00F5737D"/>
    <w:rsid w:val="00F57486"/>
    <w:rsid w:val="00F5748F"/>
    <w:rsid w:val="00F5763D"/>
    <w:rsid w:val="00F5772D"/>
    <w:rsid w:val="00F60652"/>
    <w:rsid w:val="00F60AA8"/>
    <w:rsid w:val="00F61AE1"/>
    <w:rsid w:val="00F61EFA"/>
    <w:rsid w:val="00F6221D"/>
    <w:rsid w:val="00F623B2"/>
    <w:rsid w:val="00F62BB9"/>
    <w:rsid w:val="00F633F2"/>
    <w:rsid w:val="00F63EA6"/>
    <w:rsid w:val="00F641AD"/>
    <w:rsid w:val="00F64E1F"/>
    <w:rsid w:val="00F6545D"/>
    <w:rsid w:val="00F65528"/>
    <w:rsid w:val="00F657F9"/>
    <w:rsid w:val="00F65C91"/>
    <w:rsid w:val="00F666B2"/>
    <w:rsid w:val="00F66F4D"/>
    <w:rsid w:val="00F67222"/>
    <w:rsid w:val="00F67454"/>
    <w:rsid w:val="00F7059F"/>
    <w:rsid w:val="00F70AAD"/>
    <w:rsid w:val="00F70CBD"/>
    <w:rsid w:val="00F70DEB"/>
    <w:rsid w:val="00F70F76"/>
    <w:rsid w:val="00F7114B"/>
    <w:rsid w:val="00F71186"/>
    <w:rsid w:val="00F719D2"/>
    <w:rsid w:val="00F71FA1"/>
    <w:rsid w:val="00F72170"/>
    <w:rsid w:val="00F72211"/>
    <w:rsid w:val="00F7231A"/>
    <w:rsid w:val="00F73F52"/>
    <w:rsid w:val="00F766C8"/>
    <w:rsid w:val="00F76B5C"/>
    <w:rsid w:val="00F76E9E"/>
    <w:rsid w:val="00F76EAA"/>
    <w:rsid w:val="00F77172"/>
    <w:rsid w:val="00F779CA"/>
    <w:rsid w:val="00F8041B"/>
    <w:rsid w:val="00F8067E"/>
    <w:rsid w:val="00F80EED"/>
    <w:rsid w:val="00F82AE6"/>
    <w:rsid w:val="00F82AF5"/>
    <w:rsid w:val="00F82BFE"/>
    <w:rsid w:val="00F82CAE"/>
    <w:rsid w:val="00F8384D"/>
    <w:rsid w:val="00F83ACF"/>
    <w:rsid w:val="00F83BE9"/>
    <w:rsid w:val="00F83DF6"/>
    <w:rsid w:val="00F8425B"/>
    <w:rsid w:val="00F8473B"/>
    <w:rsid w:val="00F847C3"/>
    <w:rsid w:val="00F848CB"/>
    <w:rsid w:val="00F84A52"/>
    <w:rsid w:val="00F8529B"/>
    <w:rsid w:val="00F859F4"/>
    <w:rsid w:val="00F8677C"/>
    <w:rsid w:val="00F86BC8"/>
    <w:rsid w:val="00F87675"/>
    <w:rsid w:val="00F8787D"/>
    <w:rsid w:val="00F879A6"/>
    <w:rsid w:val="00F87A3A"/>
    <w:rsid w:val="00F90F12"/>
    <w:rsid w:val="00F916E5"/>
    <w:rsid w:val="00F9228A"/>
    <w:rsid w:val="00F9245B"/>
    <w:rsid w:val="00F92E10"/>
    <w:rsid w:val="00F93332"/>
    <w:rsid w:val="00F93DBC"/>
    <w:rsid w:val="00F940B3"/>
    <w:rsid w:val="00F9461D"/>
    <w:rsid w:val="00F956FC"/>
    <w:rsid w:val="00F95778"/>
    <w:rsid w:val="00F9645B"/>
    <w:rsid w:val="00F96885"/>
    <w:rsid w:val="00F968EA"/>
    <w:rsid w:val="00F97C6F"/>
    <w:rsid w:val="00FA09D7"/>
    <w:rsid w:val="00FA14F0"/>
    <w:rsid w:val="00FA1632"/>
    <w:rsid w:val="00FA164A"/>
    <w:rsid w:val="00FA1E69"/>
    <w:rsid w:val="00FA2452"/>
    <w:rsid w:val="00FA27BA"/>
    <w:rsid w:val="00FA32FE"/>
    <w:rsid w:val="00FA34D1"/>
    <w:rsid w:val="00FA3641"/>
    <w:rsid w:val="00FA36CC"/>
    <w:rsid w:val="00FA43BC"/>
    <w:rsid w:val="00FA45A7"/>
    <w:rsid w:val="00FA4D2C"/>
    <w:rsid w:val="00FA5B12"/>
    <w:rsid w:val="00FA5D3E"/>
    <w:rsid w:val="00FA6847"/>
    <w:rsid w:val="00FA68D1"/>
    <w:rsid w:val="00FA6C83"/>
    <w:rsid w:val="00FA72C4"/>
    <w:rsid w:val="00FA7A20"/>
    <w:rsid w:val="00FA7AE6"/>
    <w:rsid w:val="00FB0265"/>
    <w:rsid w:val="00FB0660"/>
    <w:rsid w:val="00FB0B88"/>
    <w:rsid w:val="00FB10D4"/>
    <w:rsid w:val="00FB1771"/>
    <w:rsid w:val="00FB1CAD"/>
    <w:rsid w:val="00FB1E2F"/>
    <w:rsid w:val="00FB22D8"/>
    <w:rsid w:val="00FB2859"/>
    <w:rsid w:val="00FB2D61"/>
    <w:rsid w:val="00FB38F1"/>
    <w:rsid w:val="00FB5B0C"/>
    <w:rsid w:val="00FB60A6"/>
    <w:rsid w:val="00FC1752"/>
    <w:rsid w:val="00FC1945"/>
    <w:rsid w:val="00FC1CFF"/>
    <w:rsid w:val="00FC3163"/>
    <w:rsid w:val="00FC3500"/>
    <w:rsid w:val="00FC3530"/>
    <w:rsid w:val="00FC371E"/>
    <w:rsid w:val="00FC3FCD"/>
    <w:rsid w:val="00FC446C"/>
    <w:rsid w:val="00FC44E5"/>
    <w:rsid w:val="00FC4A4D"/>
    <w:rsid w:val="00FC4AF3"/>
    <w:rsid w:val="00FC4D9C"/>
    <w:rsid w:val="00FC4EC9"/>
    <w:rsid w:val="00FC552D"/>
    <w:rsid w:val="00FC61D8"/>
    <w:rsid w:val="00FC6726"/>
    <w:rsid w:val="00FC68BF"/>
    <w:rsid w:val="00FC7E13"/>
    <w:rsid w:val="00FD0666"/>
    <w:rsid w:val="00FD0979"/>
    <w:rsid w:val="00FD0D3B"/>
    <w:rsid w:val="00FD1C91"/>
    <w:rsid w:val="00FD378F"/>
    <w:rsid w:val="00FD3C2A"/>
    <w:rsid w:val="00FD3FD0"/>
    <w:rsid w:val="00FD4478"/>
    <w:rsid w:val="00FD4902"/>
    <w:rsid w:val="00FD5652"/>
    <w:rsid w:val="00FD56E6"/>
    <w:rsid w:val="00FD59F2"/>
    <w:rsid w:val="00FD6343"/>
    <w:rsid w:val="00FD65D9"/>
    <w:rsid w:val="00FD66F7"/>
    <w:rsid w:val="00FD682F"/>
    <w:rsid w:val="00FD6C40"/>
    <w:rsid w:val="00FD6C5C"/>
    <w:rsid w:val="00FD716C"/>
    <w:rsid w:val="00FD75CC"/>
    <w:rsid w:val="00FD7608"/>
    <w:rsid w:val="00FE0EA5"/>
    <w:rsid w:val="00FE1771"/>
    <w:rsid w:val="00FE1EEA"/>
    <w:rsid w:val="00FE2237"/>
    <w:rsid w:val="00FE2418"/>
    <w:rsid w:val="00FE32D7"/>
    <w:rsid w:val="00FE3341"/>
    <w:rsid w:val="00FE3721"/>
    <w:rsid w:val="00FE37FA"/>
    <w:rsid w:val="00FE38EF"/>
    <w:rsid w:val="00FE462A"/>
    <w:rsid w:val="00FE46E3"/>
    <w:rsid w:val="00FE57F5"/>
    <w:rsid w:val="00FE599E"/>
    <w:rsid w:val="00FE7084"/>
    <w:rsid w:val="00FE70A1"/>
    <w:rsid w:val="00FE784E"/>
    <w:rsid w:val="00FE7C7F"/>
    <w:rsid w:val="00FE7DDE"/>
    <w:rsid w:val="00FF00BB"/>
    <w:rsid w:val="00FF09C7"/>
    <w:rsid w:val="00FF15FE"/>
    <w:rsid w:val="00FF193A"/>
    <w:rsid w:val="00FF22FB"/>
    <w:rsid w:val="00FF27CF"/>
    <w:rsid w:val="00FF28BF"/>
    <w:rsid w:val="00FF2A0B"/>
    <w:rsid w:val="00FF2D24"/>
    <w:rsid w:val="00FF2EB2"/>
    <w:rsid w:val="00FF2EE6"/>
    <w:rsid w:val="00FF3184"/>
    <w:rsid w:val="00FF3A63"/>
    <w:rsid w:val="00FF3E3F"/>
    <w:rsid w:val="00FF497D"/>
    <w:rsid w:val="00FF547C"/>
    <w:rsid w:val="00FF5E8F"/>
    <w:rsid w:val="00FF6B73"/>
    <w:rsid w:val="00FF6FD1"/>
    <w:rsid w:val="00FF728E"/>
    <w:rsid w:val="00FF7EF8"/>
    <w:rsid w:val="01270E91"/>
    <w:rsid w:val="013A42D4"/>
    <w:rsid w:val="013F57A9"/>
    <w:rsid w:val="015249C3"/>
    <w:rsid w:val="01580A88"/>
    <w:rsid w:val="01632F79"/>
    <w:rsid w:val="016F45ED"/>
    <w:rsid w:val="018512EA"/>
    <w:rsid w:val="01851614"/>
    <w:rsid w:val="01852549"/>
    <w:rsid w:val="01893BC1"/>
    <w:rsid w:val="01980AE2"/>
    <w:rsid w:val="019B2365"/>
    <w:rsid w:val="01AA1178"/>
    <w:rsid w:val="01B83806"/>
    <w:rsid w:val="01B84EB4"/>
    <w:rsid w:val="01B973FB"/>
    <w:rsid w:val="01D35357"/>
    <w:rsid w:val="01D37454"/>
    <w:rsid w:val="01EE6B74"/>
    <w:rsid w:val="01F86A76"/>
    <w:rsid w:val="01FD477C"/>
    <w:rsid w:val="02003E68"/>
    <w:rsid w:val="020D1B76"/>
    <w:rsid w:val="02127A04"/>
    <w:rsid w:val="02160F0D"/>
    <w:rsid w:val="0217085B"/>
    <w:rsid w:val="021D0AB2"/>
    <w:rsid w:val="02204F6D"/>
    <w:rsid w:val="02255A45"/>
    <w:rsid w:val="023C6582"/>
    <w:rsid w:val="023E2355"/>
    <w:rsid w:val="024E65EB"/>
    <w:rsid w:val="02572FF4"/>
    <w:rsid w:val="025D10C7"/>
    <w:rsid w:val="025E63B0"/>
    <w:rsid w:val="027B120E"/>
    <w:rsid w:val="02863AB9"/>
    <w:rsid w:val="02934806"/>
    <w:rsid w:val="02AB0C94"/>
    <w:rsid w:val="02BC24F4"/>
    <w:rsid w:val="02D85049"/>
    <w:rsid w:val="02DD22DE"/>
    <w:rsid w:val="02F855A4"/>
    <w:rsid w:val="03112E3F"/>
    <w:rsid w:val="03174B33"/>
    <w:rsid w:val="031E2A1F"/>
    <w:rsid w:val="032A7718"/>
    <w:rsid w:val="032D03C4"/>
    <w:rsid w:val="032D4760"/>
    <w:rsid w:val="03362145"/>
    <w:rsid w:val="033644EB"/>
    <w:rsid w:val="034C14BD"/>
    <w:rsid w:val="034C700E"/>
    <w:rsid w:val="034E5101"/>
    <w:rsid w:val="03601CB4"/>
    <w:rsid w:val="03630252"/>
    <w:rsid w:val="03642DDE"/>
    <w:rsid w:val="037035A1"/>
    <w:rsid w:val="037C4911"/>
    <w:rsid w:val="03816E01"/>
    <w:rsid w:val="03826ADA"/>
    <w:rsid w:val="03886E68"/>
    <w:rsid w:val="03961D80"/>
    <w:rsid w:val="03993BA4"/>
    <w:rsid w:val="03A97878"/>
    <w:rsid w:val="03B43A47"/>
    <w:rsid w:val="03BD44E3"/>
    <w:rsid w:val="03D30F98"/>
    <w:rsid w:val="03F80E95"/>
    <w:rsid w:val="040D0C73"/>
    <w:rsid w:val="040E27E3"/>
    <w:rsid w:val="04135C20"/>
    <w:rsid w:val="0417619D"/>
    <w:rsid w:val="04211EFE"/>
    <w:rsid w:val="04484F31"/>
    <w:rsid w:val="04491F49"/>
    <w:rsid w:val="04501C81"/>
    <w:rsid w:val="0454692A"/>
    <w:rsid w:val="04561A95"/>
    <w:rsid w:val="045B6370"/>
    <w:rsid w:val="045D3CFE"/>
    <w:rsid w:val="0460082E"/>
    <w:rsid w:val="046F21EC"/>
    <w:rsid w:val="0471189E"/>
    <w:rsid w:val="04720EB0"/>
    <w:rsid w:val="048126D6"/>
    <w:rsid w:val="048824DD"/>
    <w:rsid w:val="04890E16"/>
    <w:rsid w:val="048D6ACC"/>
    <w:rsid w:val="04957B11"/>
    <w:rsid w:val="04973DB6"/>
    <w:rsid w:val="04BC5E62"/>
    <w:rsid w:val="04D24FBB"/>
    <w:rsid w:val="050F1D56"/>
    <w:rsid w:val="0510614C"/>
    <w:rsid w:val="0511241D"/>
    <w:rsid w:val="053130E3"/>
    <w:rsid w:val="05322502"/>
    <w:rsid w:val="0549508B"/>
    <w:rsid w:val="054A630A"/>
    <w:rsid w:val="055361A1"/>
    <w:rsid w:val="05543945"/>
    <w:rsid w:val="05617E6E"/>
    <w:rsid w:val="05631056"/>
    <w:rsid w:val="05634469"/>
    <w:rsid w:val="057626D5"/>
    <w:rsid w:val="057F1035"/>
    <w:rsid w:val="058A1555"/>
    <w:rsid w:val="058D12AF"/>
    <w:rsid w:val="05B223EE"/>
    <w:rsid w:val="05C64E5C"/>
    <w:rsid w:val="05D30466"/>
    <w:rsid w:val="05DA3F88"/>
    <w:rsid w:val="05E77FEB"/>
    <w:rsid w:val="05EE2F43"/>
    <w:rsid w:val="060C1208"/>
    <w:rsid w:val="06121D22"/>
    <w:rsid w:val="06215B4D"/>
    <w:rsid w:val="063C5592"/>
    <w:rsid w:val="065C45CF"/>
    <w:rsid w:val="065E5979"/>
    <w:rsid w:val="066211F9"/>
    <w:rsid w:val="06635D89"/>
    <w:rsid w:val="06661DE7"/>
    <w:rsid w:val="06707CE9"/>
    <w:rsid w:val="06847C34"/>
    <w:rsid w:val="068C0212"/>
    <w:rsid w:val="069469A4"/>
    <w:rsid w:val="0696084B"/>
    <w:rsid w:val="069A1DEC"/>
    <w:rsid w:val="069C38BD"/>
    <w:rsid w:val="06AF1255"/>
    <w:rsid w:val="06BC58E5"/>
    <w:rsid w:val="06C853B3"/>
    <w:rsid w:val="06D05B2E"/>
    <w:rsid w:val="06DD7B38"/>
    <w:rsid w:val="06F72E1B"/>
    <w:rsid w:val="070B6B66"/>
    <w:rsid w:val="07123873"/>
    <w:rsid w:val="07133C6D"/>
    <w:rsid w:val="071B3C8A"/>
    <w:rsid w:val="072A7934"/>
    <w:rsid w:val="07312BAC"/>
    <w:rsid w:val="07357BBF"/>
    <w:rsid w:val="073F49DA"/>
    <w:rsid w:val="075B74B8"/>
    <w:rsid w:val="07614AC6"/>
    <w:rsid w:val="076E4FBD"/>
    <w:rsid w:val="077B401B"/>
    <w:rsid w:val="077B7AA9"/>
    <w:rsid w:val="077D1E1D"/>
    <w:rsid w:val="07862691"/>
    <w:rsid w:val="078D2557"/>
    <w:rsid w:val="07B64AAC"/>
    <w:rsid w:val="07C32C14"/>
    <w:rsid w:val="07C52F43"/>
    <w:rsid w:val="07F7477E"/>
    <w:rsid w:val="07FB3C48"/>
    <w:rsid w:val="08044BD1"/>
    <w:rsid w:val="08273E74"/>
    <w:rsid w:val="082A3964"/>
    <w:rsid w:val="08394D10"/>
    <w:rsid w:val="08480A86"/>
    <w:rsid w:val="08500F5F"/>
    <w:rsid w:val="0856611A"/>
    <w:rsid w:val="085B55B2"/>
    <w:rsid w:val="086309DC"/>
    <w:rsid w:val="086C7B7F"/>
    <w:rsid w:val="08715751"/>
    <w:rsid w:val="08797598"/>
    <w:rsid w:val="087F7A43"/>
    <w:rsid w:val="08967164"/>
    <w:rsid w:val="08975040"/>
    <w:rsid w:val="089E0526"/>
    <w:rsid w:val="08BE0384"/>
    <w:rsid w:val="08C23B9D"/>
    <w:rsid w:val="08C6543B"/>
    <w:rsid w:val="08C74666"/>
    <w:rsid w:val="08E214A2"/>
    <w:rsid w:val="08F55D20"/>
    <w:rsid w:val="08F8632A"/>
    <w:rsid w:val="09047BC9"/>
    <w:rsid w:val="09087E0E"/>
    <w:rsid w:val="09171BE1"/>
    <w:rsid w:val="0924058F"/>
    <w:rsid w:val="09246605"/>
    <w:rsid w:val="092A14A9"/>
    <w:rsid w:val="092A2CEE"/>
    <w:rsid w:val="092D4F23"/>
    <w:rsid w:val="092F5CF5"/>
    <w:rsid w:val="09385C0D"/>
    <w:rsid w:val="09554A11"/>
    <w:rsid w:val="09574B7E"/>
    <w:rsid w:val="0964561F"/>
    <w:rsid w:val="096475DF"/>
    <w:rsid w:val="096E7880"/>
    <w:rsid w:val="096F4699"/>
    <w:rsid w:val="09795B80"/>
    <w:rsid w:val="097C6D85"/>
    <w:rsid w:val="0982382E"/>
    <w:rsid w:val="098B7162"/>
    <w:rsid w:val="098D2D54"/>
    <w:rsid w:val="09994E29"/>
    <w:rsid w:val="099C6A15"/>
    <w:rsid w:val="09A0411B"/>
    <w:rsid w:val="09A1697F"/>
    <w:rsid w:val="09AF7630"/>
    <w:rsid w:val="09B368E9"/>
    <w:rsid w:val="09BD67D5"/>
    <w:rsid w:val="09C3181F"/>
    <w:rsid w:val="09D74144"/>
    <w:rsid w:val="09D76A90"/>
    <w:rsid w:val="09DC0853"/>
    <w:rsid w:val="09E15B04"/>
    <w:rsid w:val="09E245E9"/>
    <w:rsid w:val="09E8639D"/>
    <w:rsid w:val="09EE2CA3"/>
    <w:rsid w:val="09F42DF1"/>
    <w:rsid w:val="09FB7809"/>
    <w:rsid w:val="0A095565"/>
    <w:rsid w:val="0A104DB9"/>
    <w:rsid w:val="0A117E22"/>
    <w:rsid w:val="0A2549E2"/>
    <w:rsid w:val="0A2C0150"/>
    <w:rsid w:val="0A2D067F"/>
    <w:rsid w:val="0A492F74"/>
    <w:rsid w:val="0A4A584A"/>
    <w:rsid w:val="0A557A5E"/>
    <w:rsid w:val="0A5922A1"/>
    <w:rsid w:val="0A6067DA"/>
    <w:rsid w:val="0A6B7104"/>
    <w:rsid w:val="0A7F6AD7"/>
    <w:rsid w:val="0A866066"/>
    <w:rsid w:val="0A8F7997"/>
    <w:rsid w:val="0A903BB7"/>
    <w:rsid w:val="0A9B23DE"/>
    <w:rsid w:val="0AB5460B"/>
    <w:rsid w:val="0AC05323"/>
    <w:rsid w:val="0ACE6CF1"/>
    <w:rsid w:val="0AD625A0"/>
    <w:rsid w:val="0ADD0271"/>
    <w:rsid w:val="0AE46F01"/>
    <w:rsid w:val="0AE80D0D"/>
    <w:rsid w:val="0AE913D8"/>
    <w:rsid w:val="0AE95496"/>
    <w:rsid w:val="0AF47BAD"/>
    <w:rsid w:val="0B09160F"/>
    <w:rsid w:val="0B116F11"/>
    <w:rsid w:val="0B1D21EE"/>
    <w:rsid w:val="0B253424"/>
    <w:rsid w:val="0B332789"/>
    <w:rsid w:val="0B3E193E"/>
    <w:rsid w:val="0B6902FF"/>
    <w:rsid w:val="0B6D4608"/>
    <w:rsid w:val="0B6E048C"/>
    <w:rsid w:val="0B7416F6"/>
    <w:rsid w:val="0B7E0DD2"/>
    <w:rsid w:val="0B8B25EC"/>
    <w:rsid w:val="0BA13EE4"/>
    <w:rsid w:val="0BB35B83"/>
    <w:rsid w:val="0BBA377A"/>
    <w:rsid w:val="0BBD7C9C"/>
    <w:rsid w:val="0BC32402"/>
    <w:rsid w:val="0BCC2C31"/>
    <w:rsid w:val="0BCD6E9A"/>
    <w:rsid w:val="0BD54CBD"/>
    <w:rsid w:val="0BDE7A3F"/>
    <w:rsid w:val="0BE54C94"/>
    <w:rsid w:val="0BF04986"/>
    <w:rsid w:val="0C145730"/>
    <w:rsid w:val="0C154B70"/>
    <w:rsid w:val="0C1D4035"/>
    <w:rsid w:val="0C442475"/>
    <w:rsid w:val="0C476883"/>
    <w:rsid w:val="0C4950BA"/>
    <w:rsid w:val="0C4D0AFE"/>
    <w:rsid w:val="0C572365"/>
    <w:rsid w:val="0C680784"/>
    <w:rsid w:val="0C721436"/>
    <w:rsid w:val="0C77677A"/>
    <w:rsid w:val="0C807FF6"/>
    <w:rsid w:val="0C8A791C"/>
    <w:rsid w:val="0C8B7DBA"/>
    <w:rsid w:val="0C9100DA"/>
    <w:rsid w:val="0C962455"/>
    <w:rsid w:val="0CA57E8B"/>
    <w:rsid w:val="0CAD3790"/>
    <w:rsid w:val="0CB62354"/>
    <w:rsid w:val="0CBB2AEF"/>
    <w:rsid w:val="0CBC3342"/>
    <w:rsid w:val="0CCA3020"/>
    <w:rsid w:val="0CCC1BD8"/>
    <w:rsid w:val="0CCE4369"/>
    <w:rsid w:val="0CD86A65"/>
    <w:rsid w:val="0CF77B6B"/>
    <w:rsid w:val="0D005377"/>
    <w:rsid w:val="0D163E6E"/>
    <w:rsid w:val="0D17284B"/>
    <w:rsid w:val="0D1B7AAD"/>
    <w:rsid w:val="0D29018F"/>
    <w:rsid w:val="0D2975F7"/>
    <w:rsid w:val="0D2D1005"/>
    <w:rsid w:val="0D322100"/>
    <w:rsid w:val="0D342691"/>
    <w:rsid w:val="0D3742D6"/>
    <w:rsid w:val="0D3F1814"/>
    <w:rsid w:val="0D410314"/>
    <w:rsid w:val="0D5579BF"/>
    <w:rsid w:val="0D5864B3"/>
    <w:rsid w:val="0D5C6884"/>
    <w:rsid w:val="0D7F4E23"/>
    <w:rsid w:val="0DA6012B"/>
    <w:rsid w:val="0DB056BE"/>
    <w:rsid w:val="0DB110CE"/>
    <w:rsid w:val="0DB5128E"/>
    <w:rsid w:val="0DB95A3A"/>
    <w:rsid w:val="0DBC1739"/>
    <w:rsid w:val="0DC054EE"/>
    <w:rsid w:val="0DCB3E60"/>
    <w:rsid w:val="0DCF4BC1"/>
    <w:rsid w:val="0DE37BC8"/>
    <w:rsid w:val="0DFC5AFF"/>
    <w:rsid w:val="0E064274"/>
    <w:rsid w:val="0E086B72"/>
    <w:rsid w:val="0E2449B2"/>
    <w:rsid w:val="0E28442E"/>
    <w:rsid w:val="0E5A03D3"/>
    <w:rsid w:val="0E5C2736"/>
    <w:rsid w:val="0E5C5275"/>
    <w:rsid w:val="0E5D5363"/>
    <w:rsid w:val="0E6052D8"/>
    <w:rsid w:val="0E6E3DDC"/>
    <w:rsid w:val="0E8171EF"/>
    <w:rsid w:val="0E9102AF"/>
    <w:rsid w:val="0EA353EC"/>
    <w:rsid w:val="0EA57708"/>
    <w:rsid w:val="0EB06244"/>
    <w:rsid w:val="0EB77B29"/>
    <w:rsid w:val="0EB8285F"/>
    <w:rsid w:val="0ED03480"/>
    <w:rsid w:val="0ED20B69"/>
    <w:rsid w:val="0EE21971"/>
    <w:rsid w:val="0EE42971"/>
    <w:rsid w:val="0EE62B79"/>
    <w:rsid w:val="0EF87F88"/>
    <w:rsid w:val="0F021A2D"/>
    <w:rsid w:val="0F025067"/>
    <w:rsid w:val="0F2469C0"/>
    <w:rsid w:val="0F2F360E"/>
    <w:rsid w:val="0F331EE9"/>
    <w:rsid w:val="0F3949D7"/>
    <w:rsid w:val="0F4E1023"/>
    <w:rsid w:val="0F4E5DDD"/>
    <w:rsid w:val="0F4F782C"/>
    <w:rsid w:val="0F7554C5"/>
    <w:rsid w:val="0F837406"/>
    <w:rsid w:val="0F867D4F"/>
    <w:rsid w:val="0FA77AC3"/>
    <w:rsid w:val="0FAB02E7"/>
    <w:rsid w:val="0FAF4A25"/>
    <w:rsid w:val="0FB34AC9"/>
    <w:rsid w:val="0FBE68A5"/>
    <w:rsid w:val="0FC60EE8"/>
    <w:rsid w:val="0FCB1A98"/>
    <w:rsid w:val="0FD35B62"/>
    <w:rsid w:val="0FDE3E4E"/>
    <w:rsid w:val="0FE8038D"/>
    <w:rsid w:val="10075B9F"/>
    <w:rsid w:val="10167F5A"/>
    <w:rsid w:val="101B0EA3"/>
    <w:rsid w:val="101C3B92"/>
    <w:rsid w:val="101D2B91"/>
    <w:rsid w:val="102875E3"/>
    <w:rsid w:val="102D30FC"/>
    <w:rsid w:val="103709CC"/>
    <w:rsid w:val="103C77C1"/>
    <w:rsid w:val="105C57A1"/>
    <w:rsid w:val="1060794F"/>
    <w:rsid w:val="10675510"/>
    <w:rsid w:val="10742CA4"/>
    <w:rsid w:val="107C60FE"/>
    <w:rsid w:val="10856145"/>
    <w:rsid w:val="1086679F"/>
    <w:rsid w:val="108E629F"/>
    <w:rsid w:val="10920217"/>
    <w:rsid w:val="10986CA4"/>
    <w:rsid w:val="10A36073"/>
    <w:rsid w:val="10A83911"/>
    <w:rsid w:val="10AB6993"/>
    <w:rsid w:val="10AC1F1F"/>
    <w:rsid w:val="10B501AC"/>
    <w:rsid w:val="10C461BF"/>
    <w:rsid w:val="10D55CFC"/>
    <w:rsid w:val="10D56B11"/>
    <w:rsid w:val="10D85FF7"/>
    <w:rsid w:val="11052878"/>
    <w:rsid w:val="11123C98"/>
    <w:rsid w:val="111E0184"/>
    <w:rsid w:val="11271840"/>
    <w:rsid w:val="112B3F1D"/>
    <w:rsid w:val="112D0B01"/>
    <w:rsid w:val="114B1E33"/>
    <w:rsid w:val="11523243"/>
    <w:rsid w:val="115C5585"/>
    <w:rsid w:val="11917485"/>
    <w:rsid w:val="11963EDF"/>
    <w:rsid w:val="119C04D3"/>
    <w:rsid w:val="11B14E1C"/>
    <w:rsid w:val="11B60016"/>
    <w:rsid w:val="11C37234"/>
    <w:rsid w:val="11F245E2"/>
    <w:rsid w:val="120334AB"/>
    <w:rsid w:val="120B7DEE"/>
    <w:rsid w:val="121458C0"/>
    <w:rsid w:val="121C0D71"/>
    <w:rsid w:val="1233650A"/>
    <w:rsid w:val="12355743"/>
    <w:rsid w:val="12366F0C"/>
    <w:rsid w:val="124B2D81"/>
    <w:rsid w:val="124F550C"/>
    <w:rsid w:val="12761732"/>
    <w:rsid w:val="12827D51"/>
    <w:rsid w:val="128E729E"/>
    <w:rsid w:val="12977684"/>
    <w:rsid w:val="12A71F5C"/>
    <w:rsid w:val="12B0020D"/>
    <w:rsid w:val="12B455D4"/>
    <w:rsid w:val="12B55E30"/>
    <w:rsid w:val="12CE7627"/>
    <w:rsid w:val="12DC07BB"/>
    <w:rsid w:val="12EB5C9C"/>
    <w:rsid w:val="12F437F7"/>
    <w:rsid w:val="130313DB"/>
    <w:rsid w:val="13086650"/>
    <w:rsid w:val="13151E7F"/>
    <w:rsid w:val="131E5392"/>
    <w:rsid w:val="132366FD"/>
    <w:rsid w:val="13251A1C"/>
    <w:rsid w:val="13305E88"/>
    <w:rsid w:val="13394A5B"/>
    <w:rsid w:val="136263A0"/>
    <w:rsid w:val="136735AF"/>
    <w:rsid w:val="136E0847"/>
    <w:rsid w:val="137B7048"/>
    <w:rsid w:val="138013C9"/>
    <w:rsid w:val="13873548"/>
    <w:rsid w:val="13A04ADA"/>
    <w:rsid w:val="13A95398"/>
    <w:rsid w:val="13B16CE7"/>
    <w:rsid w:val="13BD4F00"/>
    <w:rsid w:val="13C019E0"/>
    <w:rsid w:val="13D20FEE"/>
    <w:rsid w:val="13ED4C06"/>
    <w:rsid w:val="13EF7C34"/>
    <w:rsid w:val="13F43C54"/>
    <w:rsid w:val="140D6C77"/>
    <w:rsid w:val="14192BC7"/>
    <w:rsid w:val="141A488D"/>
    <w:rsid w:val="14230B21"/>
    <w:rsid w:val="142F5713"/>
    <w:rsid w:val="1434520D"/>
    <w:rsid w:val="1442170F"/>
    <w:rsid w:val="14422D74"/>
    <w:rsid w:val="144B4D5C"/>
    <w:rsid w:val="144C337F"/>
    <w:rsid w:val="1451553D"/>
    <w:rsid w:val="145156FD"/>
    <w:rsid w:val="1452468A"/>
    <w:rsid w:val="145A374B"/>
    <w:rsid w:val="146407B3"/>
    <w:rsid w:val="14652609"/>
    <w:rsid w:val="146A1878"/>
    <w:rsid w:val="148031DE"/>
    <w:rsid w:val="1483022F"/>
    <w:rsid w:val="1483585D"/>
    <w:rsid w:val="14953EC6"/>
    <w:rsid w:val="14A66120"/>
    <w:rsid w:val="14BA44C5"/>
    <w:rsid w:val="14BE478A"/>
    <w:rsid w:val="14C04654"/>
    <w:rsid w:val="14D57916"/>
    <w:rsid w:val="14DB226E"/>
    <w:rsid w:val="14FC5EA2"/>
    <w:rsid w:val="15083F30"/>
    <w:rsid w:val="15183E97"/>
    <w:rsid w:val="151E5979"/>
    <w:rsid w:val="15210C42"/>
    <w:rsid w:val="152D2829"/>
    <w:rsid w:val="15322E20"/>
    <w:rsid w:val="15386B26"/>
    <w:rsid w:val="153F64AD"/>
    <w:rsid w:val="15404433"/>
    <w:rsid w:val="154C35E3"/>
    <w:rsid w:val="15520C48"/>
    <w:rsid w:val="155341A6"/>
    <w:rsid w:val="155C6579"/>
    <w:rsid w:val="1563206E"/>
    <w:rsid w:val="156813EF"/>
    <w:rsid w:val="156D32D4"/>
    <w:rsid w:val="158E5532"/>
    <w:rsid w:val="159D195D"/>
    <w:rsid w:val="15AB5BC7"/>
    <w:rsid w:val="15B31390"/>
    <w:rsid w:val="15B641C2"/>
    <w:rsid w:val="15C60631"/>
    <w:rsid w:val="15DD2133"/>
    <w:rsid w:val="15F65087"/>
    <w:rsid w:val="1604313D"/>
    <w:rsid w:val="161F525A"/>
    <w:rsid w:val="16265389"/>
    <w:rsid w:val="162F12DA"/>
    <w:rsid w:val="163678CB"/>
    <w:rsid w:val="16404566"/>
    <w:rsid w:val="16481B51"/>
    <w:rsid w:val="164B564B"/>
    <w:rsid w:val="164F5B56"/>
    <w:rsid w:val="165C553A"/>
    <w:rsid w:val="16691708"/>
    <w:rsid w:val="167438DF"/>
    <w:rsid w:val="16784A16"/>
    <w:rsid w:val="167F02AA"/>
    <w:rsid w:val="168411AA"/>
    <w:rsid w:val="16845D39"/>
    <w:rsid w:val="168836EB"/>
    <w:rsid w:val="168F64FD"/>
    <w:rsid w:val="16980B07"/>
    <w:rsid w:val="169E71AE"/>
    <w:rsid w:val="16A02817"/>
    <w:rsid w:val="16A46D8B"/>
    <w:rsid w:val="16A6297C"/>
    <w:rsid w:val="16A91EF8"/>
    <w:rsid w:val="16B25E44"/>
    <w:rsid w:val="16B928AA"/>
    <w:rsid w:val="16BB6B0F"/>
    <w:rsid w:val="16D06676"/>
    <w:rsid w:val="16D67E69"/>
    <w:rsid w:val="16D90014"/>
    <w:rsid w:val="16F94DAD"/>
    <w:rsid w:val="170610F8"/>
    <w:rsid w:val="17215192"/>
    <w:rsid w:val="17240C9F"/>
    <w:rsid w:val="172447FF"/>
    <w:rsid w:val="17332426"/>
    <w:rsid w:val="17345DA0"/>
    <w:rsid w:val="17382638"/>
    <w:rsid w:val="175278BD"/>
    <w:rsid w:val="17590347"/>
    <w:rsid w:val="175D153B"/>
    <w:rsid w:val="175F0FA6"/>
    <w:rsid w:val="17671862"/>
    <w:rsid w:val="176F51DA"/>
    <w:rsid w:val="177136BA"/>
    <w:rsid w:val="17BE54A2"/>
    <w:rsid w:val="17C07303"/>
    <w:rsid w:val="17C72B85"/>
    <w:rsid w:val="17D0753E"/>
    <w:rsid w:val="17D44550"/>
    <w:rsid w:val="17D75AAB"/>
    <w:rsid w:val="17E67D86"/>
    <w:rsid w:val="17EF217C"/>
    <w:rsid w:val="17FF22D4"/>
    <w:rsid w:val="180F0AAA"/>
    <w:rsid w:val="18146114"/>
    <w:rsid w:val="18197945"/>
    <w:rsid w:val="18197B68"/>
    <w:rsid w:val="181E78C5"/>
    <w:rsid w:val="1838334B"/>
    <w:rsid w:val="184440F6"/>
    <w:rsid w:val="1847511D"/>
    <w:rsid w:val="184A2CD0"/>
    <w:rsid w:val="185A48A0"/>
    <w:rsid w:val="185F750C"/>
    <w:rsid w:val="186A0886"/>
    <w:rsid w:val="18740E9B"/>
    <w:rsid w:val="187C0CAC"/>
    <w:rsid w:val="18815B02"/>
    <w:rsid w:val="18985E50"/>
    <w:rsid w:val="18A3508A"/>
    <w:rsid w:val="18AF02E2"/>
    <w:rsid w:val="18B13D4E"/>
    <w:rsid w:val="18C66C0E"/>
    <w:rsid w:val="18E11E1D"/>
    <w:rsid w:val="18E768D8"/>
    <w:rsid w:val="18F07A01"/>
    <w:rsid w:val="18F3166E"/>
    <w:rsid w:val="18FC4CC2"/>
    <w:rsid w:val="19036CC9"/>
    <w:rsid w:val="190653E0"/>
    <w:rsid w:val="190E0849"/>
    <w:rsid w:val="19362ACE"/>
    <w:rsid w:val="193E5FD5"/>
    <w:rsid w:val="19485C62"/>
    <w:rsid w:val="19566672"/>
    <w:rsid w:val="19575809"/>
    <w:rsid w:val="195A75FD"/>
    <w:rsid w:val="19727F32"/>
    <w:rsid w:val="197417FF"/>
    <w:rsid w:val="1974493A"/>
    <w:rsid w:val="19752908"/>
    <w:rsid w:val="198C1377"/>
    <w:rsid w:val="19920317"/>
    <w:rsid w:val="199A7DB8"/>
    <w:rsid w:val="19AC7476"/>
    <w:rsid w:val="19B82913"/>
    <w:rsid w:val="19C86B39"/>
    <w:rsid w:val="19D755B9"/>
    <w:rsid w:val="19DA3889"/>
    <w:rsid w:val="19DB5BD8"/>
    <w:rsid w:val="19DC17E5"/>
    <w:rsid w:val="19E439E0"/>
    <w:rsid w:val="19E46AAC"/>
    <w:rsid w:val="19E51499"/>
    <w:rsid w:val="19EB54C0"/>
    <w:rsid w:val="19F8266F"/>
    <w:rsid w:val="1A020647"/>
    <w:rsid w:val="1A0538E9"/>
    <w:rsid w:val="1A0B6EF0"/>
    <w:rsid w:val="1A2F7751"/>
    <w:rsid w:val="1A365CFF"/>
    <w:rsid w:val="1A397958"/>
    <w:rsid w:val="1A4F0220"/>
    <w:rsid w:val="1A513156"/>
    <w:rsid w:val="1A523305"/>
    <w:rsid w:val="1A662163"/>
    <w:rsid w:val="1A7000A4"/>
    <w:rsid w:val="1A7C0B48"/>
    <w:rsid w:val="1A831998"/>
    <w:rsid w:val="1A8907D3"/>
    <w:rsid w:val="1A99686F"/>
    <w:rsid w:val="1AA034B3"/>
    <w:rsid w:val="1AB20A48"/>
    <w:rsid w:val="1AC12391"/>
    <w:rsid w:val="1AC569F4"/>
    <w:rsid w:val="1ACC4199"/>
    <w:rsid w:val="1AD320DC"/>
    <w:rsid w:val="1AD872B0"/>
    <w:rsid w:val="1AE278CF"/>
    <w:rsid w:val="1AEF4EE6"/>
    <w:rsid w:val="1AF100C4"/>
    <w:rsid w:val="1AF25BE7"/>
    <w:rsid w:val="1AF413C8"/>
    <w:rsid w:val="1AF55770"/>
    <w:rsid w:val="1AFA0CF5"/>
    <w:rsid w:val="1B0D6EF9"/>
    <w:rsid w:val="1B127EEE"/>
    <w:rsid w:val="1B1E16AA"/>
    <w:rsid w:val="1B2153FF"/>
    <w:rsid w:val="1B434041"/>
    <w:rsid w:val="1B5E7C00"/>
    <w:rsid w:val="1B60095E"/>
    <w:rsid w:val="1B7345DC"/>
    <w:rsid w:val="1B8410C9"/>
    <w:rsid w:val="1B854CE1"/>
    <w:rsid w:val="1B977501"/>
    <w:rsid w:val="1BA527DA"/>
    <w:rsid w:val="1BAE040F"/>
    <w:rsid w:val="1BB44406"/>
    <w:rsid w:val="1BB64A79"/>
    <w:rsid w:val="1BBB655A"/>
    <w:rsid w:val="1BD17F27"/>
    <w:rsid w:val="1BD34D0E"/>
    <w:rsid w:val="1BD40113"/>
    <w:rsid w:val="1BDB067B"/>
    <w:rsid w:val="1BEA2D97"/>
    <w:rsid w:val="1BEB5900"/>
    <w:rsid w:val="1BEE0B2E"/>
    <w:rsid w:val="1BF530D3"/>
    <w:rsid w:val="1BFE642F"/>
    <w:rsid w:val="1BFF1D22"/>
    <w:rsid w:val="1C00030A"/>
    <w:rsid w:val="1C0508EB"/>
    <w:rsid w:val="1C0B4A2E"/>
    <w:rsid w:val="1C273E42"/>
    <w:rsid w:val="1C297953"/>
    <w:rsid w:val="1C2F768A"/>
    <w:rsid w:val="1C555ED0"/>
    <w:rsid w:val="1C582DD0"/>
    <w:rsid w:val="1C611377"/>
    <w:rsid w:val="1C630A1B"/>
    <w:rsid w:val="1C790ACA"/>
    <w:rsid w:val="1C7A1A8B"/>
    <w:rsid w:val="1CBC53AD"/>
    <w:rsid w:val="1CBF4F19"/>
    <w:rsid w:val="1CC15454"/>
    <w:rsid w:val="1CCC6E82"/>
    <w:rsid w:val="1CD257A4"/>
    <w:rsid w:val="1CDF6673"/>
    <w:rsid w:val="1CE123EB"/>
    <w:rsid w:val="1CE6488D"/>
    <w:rsid w:val="1CF132EB"/>
    <w:rsid w:val="1CF13E52"/>
    <w:rsid w:val="1D0930A5"/>
    <w:rsid w:val="1D097096"/>
    <w:rsid w:val="1D0E6B9A"/>
    <w:rsid w:val="1D164AF6"/>
    <w:rsid w:val="1D265721"/>
    <w:rsid w:val="1D3322A9"/>
    <w:rsid w:val="1D476EF9"/>
    <w:rsid w:val="1D4A4435"/>
    <w:rsid w:val="1D4D181D"/>
    <w:rsid w:val="1D522547"/>
    <w:rsid w:val="1D576212"/>
    <w:rsid w:val="1D6628F1"/>
    <w:rsid w:val="1D6C53A7"/>
    <w:rsid w:val="1D7248D2"/>
    <w:rsid w:val="1D724A8B"/>
    <w:rsid w:val="1D881BF6"/>
    <w:rsid w:val="1D8D2573"/>
    <w:rsid w:val="1D9426F6"/>
    <w:rsid w:val="1D9C6C1F"/>
    <w:rsid w:val="1DA10CF9"/>
    <w:rsid w:val="1DA1561B"/>
    <w:rsid w:val="1DB2500C"/>
    <w:rsid w:val="1DB62B40"/>
    <w:rsid w:val="1DCD5DAC"/>
    <w:rsid w:val="1DD64A94"/>
    <w:rsid w:val="1DD71281"/>
    <w:rsid w:val="1DDE4267"/>
    <w:rsid w:val="1DDE4B7D"/>
    <w:rsid w:val="1DFC173F"/>
    <w:rsid w:val="1E042582"/>
    <w:rsid w:val="1E057B25"/>
    <w:rsid w:val="1E1E4365"/>
    <w:rsid w:val="1E207942"/>
    <w:rsid w:val="1E240FD6"/>
    <w:rsid w:val="1E345EA4"/>
    <w:rsid w:val="1E3F30C4"/>
    <w:rsid w:val="1E414EED"/>
    <w:rsid w:val="1E4C340A"/>
    <w:rsid w:val="1E5531DB"/>
    <w:rsid w:val="1E581C0D"/>
    <w:rsid w:val="1E602FA4"/>
    <w:rsid w:val="1E65368B"/>
    <w:rsid w:val="1E666816"/>
    <w:rsid w:val="1E8435F8"/>
    <w:rsid w:val="1E851F92"/>
    <w:rsid w:val="1E8F416B"/>
    <w:rsid w:val="1E902EE9"/>
    <w:rsid w:val="1E9246B7"/>
    <w:rsid w:val="1E9B174C"/>
    <w:rsid w:val="1E9B73A5"/>
    <w:rsid w:val="1EA8029C"/>
    <w:rsid w:val="1EAC1D95"/>
    <w:rsid w:val="1ECE5D91"/>
    <w:rsid w:val="1EDA4F49"/>
    <w:rsid w:val="1EE22190"/>
    <w:rsid w:val="1EE70CC0"/>
    <w:rsid w:val="1EF42E02"/>
    <w:rsid w:val="1EF84FEB"/>
    <w:rsid w:val="1F012BD6"/>
    <w:rsid w:val="1F226C87"/>
    <w:rsid w:val="1F297823"/>
    <w:rsid w:val="1F2A797C"/>
    <w:rsid w:val="1F33673C"/>
    <w:rsid w:val="1F596D89"/>
    <w:rsid w:val="1F6811C4"/>
    <w:rsid w:val="1F716439"/>
    <w:rsid w:val="1F8560E2"/>
    <w:rsid w:val="1F92429B"/>
    <w:rsid w:val="1F9C2CF3"/>
    <w:rsid w:val="1FAE7732"/>
    <w:rsid w:val="1FC762F7"/>
    <w:rsid w:val="1FC8447D"/>
    <w:rsid w:val="1FCF334B"/>
    <w:rsid w:val="1FCF4407"/>
    <w:rsid w:val="1FD925DE"/>
    <w:rsid w:val="1FE602A2"/>
    <w:rsid w:val="1FE84A46"/>
    <w:rsid w:val="200A1C59"/>
    <w:rsid w:val="20320E17"/>
    <w:rsid w:val="20504D5B"/>
    <w:rsid w:val="20541A1D"/>
    <w:rsid w:val="20635B3A"/>
    <w:rsid w:val="20651231"/>
    <w:rsid w:val="206A4BD7"/>
    <w:rsid w:val="20760051"/>
    <w:rsid w:val="20774773"/>
    <w:rsid w:val="207D0DA2"/>
    <w:rsid w:val="20847C5E"/>
    <w:rsid w:val="20890F0D"/>
    <w:rsid w:val="20945A44"/>
    <w:rsid w:val="20982167"/>
    <w:rsid w:val="209D3B8F"/>
    <w:rsid w:val="20A01300"/>
    <w:rsid w:val="20A32751"/>
    <w:rsid w:val="20BA622E"/>
    <w:rsid w:val="20BB7545"/>
    <w:rsid w:val="20C04DD0"/>
    <w:rsid w:val="20C92BDD"/>
    <w:rsid w:val="20CA3197"/>
    <w:rsid w:val="20CB7BA1"/>
    <w:rsid w:val="20D015C7"/>
    <w:rsid w:val="20E03C9D"/>
    <w:rsid w:val="20E7290F"/>
    <w:rsid w:val="20ED551D"/>
    <w:rsid w:val="20EF6027"/>
    <w:rsid w:val="210743EB"/>
    <w:rsid w:val="211E358B"/>
    <w:rsid w:val="213D6356"/>
    <w:rsid w:val="213D6DEA"/>
    <w:rsid w:val="21435979"/>
    <w:rsid w:val="214553E6"/>
    <w:rsid w:val="21466CC1"/>
    <w:rsid w:val="21484CCE"/>
    <w:rsid w:val="217757B4"/>
    <w:rsid w:val="21815F4B"/>
    <w:rsid w:val="21950979"/>
    <w:rsid w:val="21AF6D5B"/>
    <w:rsid w:val="21C01183"/>
    <w:rsid w:val="21C0125B"/>
    <w:rsid w:val="21CF2728"/>
    <w:rsid w:val="21DE0D09"/>
    <w:rsid w:val="21E57000"/>
    <w:rsid w:val="21E604A4"/>
    <w:rsid w:val="21ED38F5"/>
    <w:rsid w:val="21F0639B"/>
    <w:rsid w:val="21F42BC1"/>
    <w:rsid w:val="21F73037"/>
    <w:rsid w:val="21FE708F"/>
    <w:rsid w:val="22036B12"/>
    <w:rsid w:val="220F025A"/>
    <w:rsid w:val="22115827"/>
    <w:rsid w:val="22200687"/>
    <w:rsid w:val="22233655"/>
    <w:rsid w:val="222E38B4"/>
    <w:rsid w:val="22371E9C"/>
    <w:rsid w:val="223F25CE"/>
    <w:rsid w:val="22402A11"/>
    <w:rsid w:val="22442F11"/>
    <w:rsid w:val="22717D6E"/>
    <w:rsid w:val="227C7BCF"/>
    <w:rsid w:val="22836CB1"/>
    <w:rsid w:val="229455F9"/>
    <w:rsid w:val="22963E9C"/>
    <w:rsid w:val="229D59F7"/>
    <w:rsid w:val="22AE327B"/>
    <w:rsid w:val="22AF502F"/>
    <w:rsid w:val="22C22450"/>
    <w:rsid w:val="22C93355"/>
    <w:rsid w:val="22DD5403"/>
    <w:rsid w:val="22DF11C3"/>
    <w:rsid w:val="23051CFD"/>
    <w:rsid w:val="23083443"/>
    <w:rsid w:val="23111955"/>
    <w:rsid w:val="23127C15"/>
    <w:rsid w:val="2314156E"/>
    <w:rsid w:val="231609EE"/>
    <w:rsid w:val="233D2732"/>
    <w:rsid w:val="234251EB"/>
    <w:rsid w:val="2343595D"/>
    <w:rsid w:val="234820DC"/>
    <w:rsid w:val="235F2A78"/>
    <w:rsid w:val="23710AE2"/>
    <w:rsid w:val="23763E48"/>
    <w:rsid w:val="23894310"/>
    <w:rsid w:val="238C1E05"/>
    <w:rsid w:val="239F4DAE"/>
    <w:rsid w:val="23AC3570"/>
    <w:rsid w:val="23E170FC"/>
    <w:rsid w:val="23E26A49"/>
    <w:rsid w:val="23EC210B"/>
    <w:rsid w:val="23F24912"/>
    <w:rsid w:val="23F73797"/>
    <w:rsid w:val="23FF7907"/>
    <w:rsid w:val="24024587"/>
    <w:rsid w:val="241E5115"/>
    <w:rsid w:val="24283C06"/>
    <w:rsid w:val="2432539B"/>
    <w:rsid w:val="243661E1"/>
    <w:rsid w:val="243758B6"/>
    <w:rsid w:val="24454A34"/>
    <w:rsid w:val="24493FFC"/>
    <w:rsid w:val="24586D29"/>
    <w:rsid w:val="2461456D"/>
    <w:rsid w:val="247F779E"/>
    <w:rsid w:val="248A5117"/>
    <w:rsid w:val="24912949"/>
    <w:rsid w:val="24A57178"/>
    <w:rsid w:val="24B00366"/>
    <w:rsid w:val="24E862E1"/>
    <w:rsid w:val="24F43320"/>
    <w:rsid w:val="25000321"/>
    <w:rsid w:val="2515090C"/>
    <w:rsid w:val="252103B5"/>
    <w:rsid w:val="25491484"/>
    <w:rsid w:val="254A4193"/>
    <w:rsid w:val="255B69DE"/>
    <w:rsid w:val="2566066B"/>
    <w:rsid w:val="25813F0A"/>
    <w:rsid w:val="25843EE9"/>
    <w:rsid w:val="25906A25"/>
    <w:rsid w:val="25A77700"/>
    <w:rsid w:val="25AF792D"/>
    <w:rsid w:val="25C45648"/>
    <w:rsid w:val="25C554EA"/>
    <w:rsid w:val="25E30604"/>
    <w:rsid w:val="25E4562B"/>
    <w:rsid w:val="25EA3726"/>
    <w:rsid w:val="25EB6B40"/>
    <w:rsid w:val="25FA2D7F"/>
    <w:rsid w:val="25FE1BB2"/>
    <w:rsid w:val="26120945"/>
    <w:rsid w:val="26326368"/>
    <w:rsid w:val="26492DAF"/>
    <w:rsid w:val="266C1765"/>
    <w:rsid w:val="2677791D"/>
    <w:rsid w:val="26860223"/>
    <w:rsid w:val="268A54AE"/>
    <w:rsid w:val="268E2CCB"/>
    <w:rsid w:val="2693383D"/>
    <w:rsid w:val="26AD260B"/>
    <w:rsid w:val="26B107DC"/>
    <w:rsid w:val="26B803E0"/>
    <w:rsid w:val="26C63C8A"/>
    <w:rsid w:val="26D26E8D"/>
    <w:rsid w:val="26DC0F78"/>
    <w:rsid w:val="26E62DEC"/>
    <w:rsid w:val="27005FB1"/>
    <w:rsid w:val="270926C6"/>
    <w:rsid w:val="270F0FB9"/>
    <w:rsid w:val="2710724D"/>
    <w:rsid w:val="271D1738"/>
    <w:rsid w:val="271D4F1F"/>
    <w:rsid w:val="271E0A14"/>
    <w:rsid w:val="271E423C"/>
    <w:rsid w:val="273141A1"/>
    <w:rsid w:val="2738471A"/>
    <w:rsid w:val="27504D40"/>
    <w:rsid w:val="275C77EF"/>
    <w:rsid w:val="276E0D20"/>
    <w:rsid w:val="27745A0B"/>
    <w:rsid w:val="27814EAA"/>
    <w:rsid w:val="27851D39"/>
    <w:rsid w:val="27934241"/>
    <w:rsid w:val="279C7A6C"/>
    <w:rsid w:val="27BB1D6B"/>
    <w:rsid w:val="27BC2EBE"/>
    <w:rsid w:val="27D47105"/>
    <w:rsid w:val="27DE3E3D"/>
    <w:rsid w:val="27E62DC5"/>
    <w:rsid w:val="27F574F4"/>
    <w:rsid w:val="27FF0FEE"/>
    <w:rsid w:val="281239A2"/>
    <w:rsid w:val="281E1EFD"/>
    <w:rsid w:val="28232688"/>
    <w:rsid w:val="28235FAE"/>
    <w:rsid w:val="282529BE"/>
    <w:rsid w:val="2831540E"/>
    <w:rsid w:val="28406AB3"/>
    <w:rsid w:val="28581A12"/>
    <w:rsid w:val="285C5E1F"/>
    <w:rsid w:val="28605ED3"/>
    <w:rsid w:val="286111E9"/>
    <w:rsid w:val="287879D7"/>
    <w:rsid w:val="288051AE"/>
    <w:rsid w:val="28811420"/>
    <w:rsid w:val="289D274D"/>
    <w:rsid w:val="28A70850"/>
    <w:rsid w:val="28A71315"/>
    <w:rsid w:val="28A923A8"/>
    <w:rsid w:val="28B15D68"/>
    <w:rsid w:val="28BA1ECC"/>
    <w:rsid w:val="28BB4ED1"/>
    <w:rsid w:val="28C81D49"/>
    <w:rsid w:val="28CC03F4"/>
    <w:rsid w:val="28CD1A76"/>
    <w:rsid w:val="28D01F62"/>
    <w:rsid w:val="28D95F15"/>
    <w:rsid w:val="28E27EF0"/>
    <w:rsid w:val="28E606DF"/>
    <w:rsid w:val="28E67D19"/>
    <w:rsid w:val="28F902C9"/>
    <w:rsid w:val="290323A5"/>
    <w:rsid w:val="291174DE"/>
    <w:rsid w:val="291B5393"/>
    <w:rsid w:val="293822E0"/>
    <w:rsid w:val="2940049A"/>
    <w:rsid w:val="29422464"/>
    <w:rsid w:val="295C5122"/>
    <w:rsid w:val="29600863"/>
    <w:rsid w:val="29685D08"/>
    <w:rsid w:val="298D658E"/>
    <w:rsid w:val="299F1D86"/>
    <w:rsid w:val="29A87F0C"/>
    <w:rsid w:val="29AD6386"/>
    <w:rsid w:val="29BB018B"/>
    <w:rsid w:val="29BF395C"/>
    <w:rsid w:val="29C86E4A"/>
    <w:rsid w:val="29CC42DD"/>
    <w:rsid w:val="29CD4C01"/>
    <w:rsid w:val="29CF1E36"/>
    <w:rsid w:val="29DB32E2"/>
    <w:rsid w:val="29DE623A"/>
    <w:rsid w:val="29E20C71"/>
    <w:rsid w:val="29E42789"/>
    <w:rsid w:val="29E74EED"/>
    <w:rsid w:val="29F4488D"/>
    <w:rsid w:val="29FE1245"/>
    <w:rsid w:val="29FE5060"/>
    <w:rsid w:val="29FF6F41"/>
    <w:rsid w:val="2A14023E"/>
    <w:rsid w:val="2A213258"/>
    <w:rsid w:val="2A2B6F29"/>
    <w:rsid w:val="2A4360E7"/>
    <w:rsid w:val="2A44544F"/>
    <w:rsid w:val="2A47358C"/>
    <w:rsid w:val="2A6C49D6"/>
    <w:rsid w:val="2A6D307B"/>
    <w:rsid w:val="2A7B0250"/>
    <w:rsid w:val="2A7D127A"/>
    <w:rsid w:val="2A9D48A0"/>
    <w:rsid w:val="2A9E201A"/>
    <w:rsid w:val="2A9F2CA4"/>
    <w:rsid w:val="2A9F6229"/>
    <w:rsid w:val="2AA15562"/>
    <w:rsid w:val="2AA46B8B"/>
    <w:rsid w:val="2AAE5DD2"/>
    <w:rsid w:val="2ABB2BEE"/>
    <w:rsid w:val="2ABF1892"/>
    <w:rsid w:val="2ACD0453"/>
    <w:rsid w:val="2AD00BA8"/>
    <w:rsid w:val="2ADB5866"/>
    <w:rsid w:val="2ADC58AF"/>
    <w:rsid w:val="2AE82DCC"/>
    <w:rsid w:val="2AE911BA"/>
    <w:rsid w:val="2B313D87"/>
    <w:rsid w:val="2B3A1068"/>
    <w:rsid w:val="2B3B1724"/>
    <w:rsid w:val="2B3D6FEE"/>
    <w:rsid w:val="2B420D23"/>
    <w:rsid w:val="2B483217"/>
    <w:rsid w:val="2B503EA6"/>
    <w:rsid w:val="2B625B48"/>
    <w:rsid w:val="2B656069"/>
    <w:rsid w:val="2B6E2697"/>
    <w:rsid w:val="2B716660"/>
    <w:rsid w:val="2B7971E8"/>
    <w:rsid w:val="2B7B5819"/>
    <w:rsid w:val="2B8C234F"/>
    <w:rsid w:val="2B8D3847"/>
    <w:rsid w:val="2B970A07"/>
    <w:rsid w:val="2B980712"/>
    <w:rsid w:val="2BA52258"/>
    <w:rsid w:val="2BA73B01"/>
    <w:rsid w:val="2BA8426A"/>
    <w:rsid w:val="2BAE1704"/>
    <w:rsid w:val="2BAF0F54"/>
    <w:rsid w:val="2BB26974"/>
    <w:rsid w:val="2BB741C1"/>
    <w:rsid w:val="2BBA10F5"/>
    <w:rsid w:val="2BD6745D"/>
    <w:rsid w:val="2BDC5DD1"/>
    <w:rsid w:val="2BDD5866"/>
    <w:rsid w:val="2BE23959"/>
    <w:rsid w:val="2BEB42A2"/>
    <w:rsid w:val="2BF1744C"/>
    <w:rsid w:val="2BF93631"/>
    <w:rsid w:val="2BFE019D"/>
    <w:rsid w:val="2C004242"/>
    <w:rsid w:val="2C063C1D"/>
    <w:rsid w:val="2C064308"/>
    <w:rsid w:val="2C0D6D61"/>
    <w:rsid w:val="2C0E1D47"/>
    <w:rsid w:val="2C153F1C"/>
    <w:rsid w:val="2C161A37"/>
    <w:rsid w:val="2C1A3B9C"/>
    <w:rsid w:val="2C1B727A"/>
    <w:rsid w:val="2C1C046E"/>
    <w:rsid w:val="2C285736"/>
    <w:rsid w:val="2C351E0C"/>
    <w:rsid w:val="2C3E04B2"/>
    <w:rsid w:val="2C3E102A"/>
    <w:rsid w:val="2C433295"/>
    <w:rsid w:val="2C585471"/>
    <w:rsid w:val="2C5E3F21"/>
    <w:rsid w:val="2C6E308D"/>
    <w:rsid w:val="2C7C022D"/>
    <w:rsid w:val="2C9F0FCE"/>
    <w:rsid w:val="2CA265FD"/>
    <w:rsid w:val="2CB60180"/>
    <w:rsid w:val="2CC05699"/>
    <w:rsid w:val="2CD20350"/>
    <w:rsid w:val="2CD26BFA"/>
    <w:rsid w:val="2CD83BEA"/>
    <w:rsid w:val="2CDA5D77"/>
    <w:rsid w:val="2CDC056E"/>
    <w:rsid w:val="2CED5853"/>
    <w:rsid w:val="2CF330BE"/>
    <w:rsid w:val="2D0365BF"/>
    <w:rsid w:val="2D1156B2"/>
    <w:rsid w:val="2D445E90"/>
    <w:rsid w:val="2D5755E3"/>
    <w:rsid w:val="2D6435FC"/>
    <w:rsid w:val="2D72762F"/>
    <w:rsid w:val="2D75466F"/>
    <w:rsid w:val="2D856DC3"/>
    <w:rsid w:val="2D8C1F00"/>
    <w:rsid w:val="2D8F7C42"/>
    <w:rsid w:val="2D940A01"/>
    <w:rsid w:val="2DAD6088"/>
    <w:rsid w:val="2DB814C8"/>
    <w:rsid w:val="2DBD014D"/>
    <w:rsid w:val="2DBF1F69"/>
    <w:rsid w:val="2DD450FC"/>
    <w:rsid w:val="2DD602A7"/>
    <w:rsid w:val="2DDD2DB7"/>
    <w:rsid w:val="2DDE5193"/>
    <w:rsid w:val="2DDE69BB"/>
    <w:rsid w:val="2DDF2B16"/>
    <w:rsid w:val="2DE11071"/>
    <w:rsid w:val="2E0D4D08"/>
    <w:rsid w:val="2E217BB6"/>
    <w:rsid w:val="2E257402"/>
    <w:rsid w:val="2E2A1D13"/>
    <w:rsid w:val="2E301F19"/>
    <w:rsid w:val="2E334A71"/>
    <w:rsid w:val="2E363234"/>
    <w:rsid w:val="2E40598D"/>
    <w:rsid w:val="2E4B4BB1"/>
    <w:rsid w:val="2E4E564B"/>
    <w:rsid w:val="2E5556AA"/>
    <w:rsid w:val="2E5717EE"/>
    <w:rsid w:val="2E5A234E"/>
    <w:rsid w:val="2E5F13C2"/>
    <w:rsid w:val="2E627104"/>
    <w:rsid w:val="2E64162B"/>
    <w:rsid w:val="2E666B43"/>
    <w:rsid w:val="2E6D478D"/>
    <w:rsid w:val="2E720B6B"/>
    <w:rsid w:val="2E813CF1"/>
    <w:rsid w:val="2E85026D"/>
    <w:rsid w:val="2E9A1D6B"/>
    <w:rsid w:val="2EA357CB"/>
    <w:rsid w:val="2EA418CC"/>
    <w:rsid w:val="2EAA7478"/>
    <w:rsid w:val="2EAE5EA6"/>
    <w:rsid w:val="2EB57234"/>
    <w:rsid w:val="2EB73BB0"/>
    <w:rsid w:val="2EB823DE"/>
    <w:rsid w:val="2EBA731C"/>
    <w:rsid w:val="2EC929B6"/>
    <w:rsid w:val="2ECB14DC"/>
    <w:rsid w:val="2ECB160E"/>
    <w:rsid w:val="2ED85BB3"/>
    <w:rsid w:val="2ED916C7"/>
    <w:rsid w:val="2EDF73F9"/>
    <w:rsid w:val="2EE01D16"/>
    <w:rsid w:val="2EE47B19"/>
    <w:rsid w:val="2EEC6C2D"/>
    <w:rsid w:val="2EEE6F18"/>
    <w:rsid w:val="2EF426E5"/>
    <w:rsid w:val="2EF73987"/>
    <w:rsid w:val="2F0F1ABA"/>
    <w:rsid w:val="2F211FE9"/>
    <w:rsid w:val="2F235876"/>
    <w:rsid w:val="2F2738EF"/>
    <w:rsid w:val="2F295368"/>
    <w:rsid w:val="2F3B7600"/>
    <w:rsid w:val="2F3D4D1B"/>
    <w:rsid w:val="2F415705"/>
    <w:rsid w:val="2F495CFE"/>
    <w:rsid w:val="2F6B3D97"/>
    <w:rsid w:val="2F6E34A5"/>
    <w:rsid w:val="2F705161"/>
    <w:rsid w:val="2F861988"/>
    <w:rsid w:val="2F9037FD"/>
    <w:rsid w:val="2F960D02"/>
    <w:rsid w:val="2F9879C1"/>
    <w:rsid w:val="2F9D7288"/>
    <w:rsid w:val="2FA9638F"/>
    <w:rsid w:val="2FB4592F"/>
    <w:rsid w:val="2FC2450A"/>
    <w:rsid w:val="2FCF0387"/>
    <w:rsid w:val="2FE37E9F"/>
    <w:rsid w:val="2FEA71E3"/>
    <w:rsid w:val="2FEC7EA5"/>
    <w:rsid w:val="2FF46F03"/>
    <w:rsid w:val="2FF8433A"/>
    <w:rsid w:val="30126EB2"/>
    <w:rsid w:val="301C47F8"/>
    <w:rsid w:val="301C5647"/>
    <w:rsid w:val="302C3E71"/>
    <w:rsid w:val="30395879"/>
    <w:rsid w:val="30407C54"/>
    <w:rsid w:val="30436ADE"/>
    <w:rsid w:val="305643D4"/>
    <w:rsid w:val="305863B0"/>
    <w:rsid w:val="3088423E"/>
    <w:rsid w:val="308A1283"/>
    <w:rsid w:val="308F2381"/>
    <w:rsid w:val="30914714"/>
    <w:rsid w:val="30991315"/>
    <w:rsid w:val="30B42F22"/>
    <w:rsid w:val="30BA4729"/>
    <w:rsid w:val="30BB2D40"/>
    <w:rsid w:val="30BB63A5"/>
    <w:rsid w:val="30BF5D42"/>
    <w:rsid w:val="30C05D9F"/>
    <w:rsid w:val="30C43362"/>
    <w:rsid w:val="30C54D8D"/>
    <w:rsid w:val="30D2076C"/>
    <w:rsid w:val="30D60716"/>
    <w:rsid w:val="30F3289B"/>
    <w:rsid w:val="311259C8"/>
    <w:rsid w:val="31147100"/>
    <w:rsid w:val="311A3D1B"/>
    <w:rsid w:val="31336B36"/>
    <w:rsid w:val="31425D4D"/>
    <w:rsid w:val="31581A60"/>
    <w:rsid w:val="3158699E"/>
    <w:rsid w:val="315F192B"/>
    <w:rsid w:val="3173108C"/>
    <w:rsid w:val="31740E4B"/>
    <w:rsid w:val="318B67DF"/>
    <w:rsid w:val="31970EAC"/>
    <w:rsid w:val="31A31F0E"/>
    <w:rsid w:val="31A77F8F"/>
    <w:rsid w:val="31B16E7A"/>
    <w:rsid w:val="31C055D9"/>
    <w:rsid w:val="31C311AB"/>
    <w:rsid w:val="31E71D19"/>
    <w:rsid w:val="31EA1866"/>
    <w:rsid w:val="31F22673"/>
    <w:rsid w:val="31FB46E7"/>
    <w:rsid w:val="32025004"/>
    <w:rsid w:val="320F047D"/>
    <w:rsid w:val="321A6A3D"/>
    <w:rsid w:val="321B6A03"/>
    <w:rsid w:val="32236CC9"/>
    <w:rsid w:val="322960D3"/>
    <w:rsid w:val="32422282"/>
    <w:rsid w:val="324A4AA9"/>
    <w:rsid w:val="32534BE3"/>
    <w:rsid w:val="326A0760"/>
    <w:rsid w:val="326C0FEC"/>
    <w:rsid w:val="326E2DD7"/>
    <w:rsid w:val="3277492F"/>
    <w:rsid w:val="327947EE"/>
    <w:rsid w:val="32815A06"/>
    <w:rsid w:val="32903437"/>
    <w:rsid w:val="32943604"/>
    <w:rsid w:val="329D013D"/>
    <w:rsid w:val="329F0927"/>
    <w:rsid w:val="329F4EC8"/>
    <w:rsid w:val="32A90378"/>
    <w:rsid w:val="32B236BD"/>
    <w:rsid w:val="32B6105E"/>
    <w:rsid w:val="32B9480F"/>
    <w:rsid w:val="32E95F13"/>
    <w:rsid w:val="32F21D0C"/>
    <w:rsid w:val="32FB3FEA"/>
    <w:rsid w:val="33053041"/>
    <w:rsid w:val="331319CD"/>
    <w:rsid w:val="331C6711"/>
    <w:rsid w:val="33223005"/>
    <w:rsid w:val="332B5D17"/>
    <w:rsid w:val="332C0A06"/>
    <w:rsid w:val="332F3DE3"/>
    <w:rsid w:val="333300FD"/>
    <w:rsid w:val="333F53D7"/>
    <w:rsid w:val="33440DE4"/>
    <w:rsid w:val="335F75FB"/>
    <w:rsid w:val="336126A1"/>
    <w:rsid w:val="337811C2"/>
    <w:rsid w:val="337E0DCB"/>
    <w:rsid w:val="33A53D1B"/>
    <w:rsid w:val="33A66AA4"/>
    <w:rsid w:val="33A91C24"/>
    <w:rsid w:val="33B875FC"/>
    <w:rsid w:val="33B92391"/>
    <w:rsid w:val="33BC350B"/>
    <w:rsid w:val="33C77E6B"/>
    <w:rsid w:val="33CC574C"/>
    <w:rsid w:val="33E509FE"/>
    <w:rsid w:val="33EB6081"/>
    <w:rsid w:val="34081027"/>
    <w:rsid w:val="3411315F"/>
    <w:rsid w:val="34135DF3"/>
    <w:rsid w:val="34297BC6"/>
    <w:rsid w:val="342A5911"/>
    <w:rsid w:val="342E163B"/>
    <w:rsid w:val="3442400E"/>
    <w:rsid w:val="34540279"/>
    <w:rsid w:val="345A16DC"/>
    <w:rsid w:val="346455DB"/>
    <w:rsid w:val="3465013A"/>
    <w:rsid w:val="34673860"/>
    <w:rsid w:val="346E05B1"/>
    <w:rsid w:val="346E4D55"/>
    <w:rsid w:val="34790A61"/>
    <w:rsid w:val="347D21E2"/>
    <w:rsid w:val="34963416"/>
    <w:rsid w:val="34A108E0"/>
    <w:rsid w:val="34A17A33"/>
    <w:rsid w:val="34AB3A96"/>
    <w:rsid w:val="34B564C2"/>
    <w:rsid w:val="34C44C03"/>
    <w:rsid w:val="34CB6D9B"/>
    <w:rsid w:val="34D35EEF"/>
    <w:rsid w:val="34D40A2A"/>
    <w:rsid w:val="34E85578"/>
    <w:rsid w:val="35030378"/>
    <w:rsid w:val="35190AD7"/>
    <w:rsid w:val="35211861"/>
    <w:rsid w:val="35240A57"/>
    <w:rsid w:val="353C3E78"/>
    <w:rsid w:val="3542559A"/>
    <w:rsid w:val="35484751"/>
    <w:rsid w:val="354D60F9"/>
    <w:rsid w:val="355F0C65"/>
    <w:rsid w:val="356E6C6E"/>
    <w:rsid w:val="35706195"/>
    <w:rsid w:val="35715253"/>
    <w:rsid w:val="357363F4"/>
    <w:rsid w:val="35741E58"/>
    <w:rsid w:val="35800B5F"/>
    <w:rsid w:val="35802A7F"/>
    <w:rsid w:val="35991BF2"/>
    <w:rsid w:val="359B4EAD"/>
    <w:rsid w:val="359F7ABF"/>
    <w:rsid w:val="35A40002"/>
    <w:rsid w:val="35A973C7"/>
    <w:rsid w:val="35AD3263"/>
    <w:rsid w:val="35B12835"/>
    <w:rsid w:val="35BC1A29"/>
    <w:rsid w:val="35BF2522"/>
    <w:rsid w:val="35C542FB"/>
    <w:rsid w:val="35CB4ABF"/>
    <w:rsid w:val="35CE175A"/>
    <w:rsid w:val="35FC48CB"/>
    <w:rsid w:val="36073758"/>
    <w:rsid w:val="361B4776"/>
    <w:rsid w:val="362079AD"/>
    <w:rsid w:val="36307C4B"/>
    <w:rsid w:val="363308D1"/>
    <w:rsid w:val="363B298C"/>
    <w:rsid w:val="36543A40"/>
    <w:rsid w:val="365667CF"/>
    <w:rsid w:val="366559F7"/>
    <w:rsid w:val="36775F5D"/>
    <w:rsid w:val="367A0F47"/>
    <w:rsid w:val="367D24EE"/>
    <w:rsid w:val="36863186"/>
    <w:rsid w:val="36871DC6"/>
    <w:rsid w:val="368B344C"/>
    <w:rsid w:val="36A4318C"/>
    <w:rsid w:val="36AC7A6D"/>
    <w:rsid w:val="36BD327E"/>
    <w:rsid w:val="36D60CA7"/>
    <w:rsid w:val="36E118B7"/>
    <w:rsid w:val="36E44B5A"/>
    <w:rsid w:val="36E925A8"/>
    <w:rsid w:val="36EA5FF6"/>
    <w:rsid w:val="36ED5205"/>
    <w:rsid w:val="36F06151"/>
    <w:rsid w:val="36FC21E8"/>
    <w:rsid w:val="370322F2"/>
    <w:rsid w:val="37092DCD"/>
    <w:rsid w:val="370A20E7"/>
    <w:rsid w:val="370E7EE2"/>
    <w:rsid w:val="37124C5B"/>
    <w:rsid w:val="37355857"/>
    <w:rsid w:val="373D64CA"/>
    <w:rsid w:val="3744583C"/>
    <w:rsid w:val="37465B80"/>
    <w:rsid w:val="374A7168"/>
    <w:rsid w:val="37531F29"/>
    <w:rsid w:val="3753790B"/>
    <w:rsid w:val="37681A1C"/>
    <w:rsid w:val="37820010"/>
    <w:rsid w:val="37836B71"/>
    <w:rsid w:val="3789455B"/>
    <w:rsid w:val="379323AF"/>
    <w:rsid w:val="37954801"/>
    <w:rsid w:val="379C6A43"/>
    <w:rsid w:val="37A76792"/>
    <w:rsid w:val="37A83853"/>
    <w:rsid w:val="37BD30E1"/>
    <w:rsid w:val="37C223B3"/>
    <w:rsid w:val="37C23E08"/>
    <w:rsid w:val="37CB1876"/>
    <w:rsid w:val="37CF4101"/>
    <w:rsid w:val="37D94573"/>
    <w:rsid w:val="37E87E39"/>
    <w:rsid w:val="37EA08A6"/>
    <w:rsid w:val="38022BB6"/>
    <w:rsid w:val="38046A7E"/>
    <w:rsid w:val="380C4F51"/>
    <w:rsid w:val="380D7C6B"/>
    <w:rsid w:val="380F7EED"/>
    <w:rsid w:val="38177A67"/>
    <w:rsid w:val="38197C43"/>
    <w:rsid w:val="38217699"/>
    <w:rsid w:val="382D42DF"/>
    <w:rsid w:val="38392D73"/>
    <w:rsid w:val="38401C4A"/>
    <w:rsid w:val="384F124A"/>
    <w:rsid w:val="385C5804"/>
    <w:rsid w:val="385E3707"/>
    <w:rsid w:val="3862574A"/>
    <w:rsid w:val="387854C3"/>
    <w:rsid w:val="3878669D"/>
    <w:rsid w:val="38895E28"/>
    <w:rsid w:val="389150A6"/>
    <w:rsid w:val="38951630"/>
    <w:rsid w:val="38B315BF"/>
    <w:rsid w:val="38D25258"/>
    <w:rsid w:val="38E1587B"/>
    <w:rsid w:val="38F13713"/>
    <w:rsid w:val="391E739E"/>
    <w:rsid w:val="3928301B"/>
    <w:rsid w:val="39317DFF"/>
    <w:rsid w:val="39353801"/>
    <w:rsid w:val="39433B79"/>
    <w:rsid w:val="39492760"/>
    <w:rsid w:val="394F6CC8"/>
    <w:rsid w:val="3950297B"/>
    <w:rsid w:val="39603B6C"/>
    <w:rsid w:val="396634AE"/>
    <w:rsid w:val="396C0E37"/>
    <w:rsid w:val="39764EBE"/>
    <w:rsid w:val="397E1CCA"/>
    <w:rsid w:val="397F4D22"/>
    <w:rsid w:val="397F7631"/>
    <w:rsid w:val="398530F0"/>
    <w:rsid w:val="39877A1A"/>
    <w:rsid w:val="398829F5"/>
    <w:rsid w:val="399A329E"/>
    <w:rsid w:val="39A62B51"/>
    <w:rsid w:val="39AF3AC0"/>
    <w:rsid w:val="39B62628"/>
    <w:rsid w:val="39C1060E"/>
    <w:rsid w:val="39D762C9"/>
    <w:rsid w:val="39E2260D"/>
    <w:rsid w:val="39E30815"/>
    <w:rsid w:val="39E44E71"/>
    <w:rsid w:val="39E91607"/>
    <w:rsid w:val="39EA5174"/>
    <w:rsid w:val="39EF640F"/>
    <w:rsid w:val="3A0638E6"/>
    <w:rsid w:val="3A1369F2"/>
    <w:rsid w:val="3A231AEF"/>
    <w:rsid w:val="3A2A4F7A"/>
    <w:rsid w:val="3A32258F"/>
    <w:rsid w:val="3A583458"/>
    <w:rsid w:val="3A6A0F0A"/>
    <w:rsid w:val="3A813F16"/>
    <w:rsid w:val="3A8665E2"/>
    <w:rsid w:val="3AA67D93"/>
    <w:rsid w:val="3AA845F1"/>
    <w:rsid w:val="3AAF2FEE"/>
    <w:rsid w:val="3AB125C3"/>
    <w:rsid w:val="3AC44E67"/>
    <w:rsid w:val="3ACC79F3"/>
    <w:rsid w:val="3ACE5330"/>
    <w:rsid w:val="3AD13648"/>
    <w:rsid w:val="3ADE7B13"/>
    <w:rsid w:val="3ADF0ED3"/>
    <w:rsid w:val="3AFB1D5C"/>
    <w:rsid w:val="3B0B424E"/>
    <w:rsid w:val="3B0C026A"/>
    <w:rsid w:val="3B0E0682"/>
    <w:rsid w:val="3B1A11F4"/>
    <w:rsid w:val="3B215CDF"/>
    <w:rsid w:val="3B273E6A"/>
    <w:rsid w:val="3B321C47"/>
    <w:rsid w:val="3B425DB8"/>
    <w:rsid w:val="3B494E57"/>
    <w:rsid w:val="3B4F1F0F"/>
    <w:rsid w:val="3B767657"/>
    <w:rsid w:val="3B950B65"/>
    <w:rsid w:val="3BA44FC2"/>
    <w:rsid w:val="3BB12574"/>
    <w:rsid w:val="3BB2469D"/>
    <w:rsid w:val="3BBD566F"/>
    <w:rsid w:val="3BCA1809"/>
    <w:rsid w:val="3BDA1EE7"/>
    <w:rsid w:val="3BE80ADB"/>
    <w:rsid w:val="3BFA143C"/>
    <w:rsid w:val="3C057626"/>
    <w:rsid w:val="3C061A7C"/>
    <w:rsid w:val="3C0A094F"/>
    <w:rsid w:val="3C131A3E"/>
    <w:rsid w:val="3C262F52"/>
    <w:rsid w:val="3C2D63D8"/>
    <w:rsid w:val="3C442F8E"/>
    <w:rsid w:val="3C495460"/>
    <w:rsid w:val="3C5149F9"/>
    <w:rsid w:val="3C5750B5"/>
    <w:rsid w:val="3C690C92"/>
    <w:rsid w:val="3C7901A4"/>
    <w:rsid w:val="3CC568B4"/>
    <w:rsid w:val="3CCA6761"/>
    <w:rsid w:val="3CD6128E"/>
    <w:rsid w:val="3CD65957"/>
    <w:rsid w:val="3CD846B3"/>
    <w:rsid w:val="3CE04047"/>
    <w:rsid w:val="3CE523A1"/>
    <w:rsid w:val="3CEE6020"/>
    <w:rsid w:val="3CFD6976"/>
    <w:rsid w:val="3D136366"/>
    <w:rsid w:val="3D1A25B6"/>
    <w:rsid w:val="3D376C7F"/>
    <w:rsid w:val="3D521369"/>
    <w:rsid w:val="3D5D372D"/>
    <w:rsid w:val="3D720EF5"/>
    <w:rsid w:val="3D7F56A6"/>
    <w:rsid w:val="3D88367F"/>
    <w:rsid w:val="3D8A2DC9"/>
    <w:rsid w:val="3DA16195"/>
    <w:rsid w:val="3DA52FB7"/>
    <w:rsid w:val="3DAB4096"/>
    <w:rsid w:val="3DAF5410"/>
    <w:rsid w:val="3DAF70CD"/>
    <w:rsid w:val="3DBF446D"/>
    <w:rsid w:val="3DC61CE4"/>
    <w:rsid w:val="3DC709EB"/>
    <w:rsid w:val="3DC92742"/>
    <w:rsid w:val="3DD07BE6"/>
    <w:rsid w:val="3DD26014"/>
    <w:rsid w:val="3DED67CF"/>
    <w:rsid w:val="3DF52265"/>
    <w:rsid w:val="3DFE0BF8"/>
    <w:rsid w:val="3E094BF9"/>
    <w:rsid w:val="3E0D5AD6"/>
    <w:rsid w:val="3E100936"/>
    <w:rsid w:val="3E191220"/>
    <w:rsid w:val="3E1D5AC8"/>
    <w:rsid w:val="3E3B511F"/>
    <w:rsid w:val="3E3D0FF4"/>
    <w:rsid w:val="3E42107F"/>
    <w:rsid w:val="3E43484D"/>
    <w:rsid w:val="3E51404F"/>
    <w:rsid w:val="3E544AF0"/>
    <w:rsid w:val="3E605693"/>
    <w:rsid w:val="3E667DFB"/>
    <w:rsid w:val="3E6B5AC2"/>
    <w:rsid w:val="3E732D5B"/>
    <w:rsid w:val="3E7418BF"/>
    <w:rsid w:val="3E7837F9"/>
    <w:rsid w:val="3E7C0FFB"/>
    <w:rsid w:val="3E884F4E"/>
    <w:rsid w:val="3E8A31F3"/>
    <w:rsid w:val="3E8B2577"/>
    <w:rsid w:val="3E963E94"/>
    <w:rsid w:val="3E966C33"/>
    <w:rsid w:val="3E9926CE"/>
    <w:rsid w:val="3EA20D83"/>
    <w:rsid w:val="3EAE1278"/>
    <w:rsid w:val="3EAE2D34"/>
    <w:rsid w:val="3EB33EBE"/>
    <w:rsid w:val="3EB873CF"/>
    <w:rsid w:val="3EB92D70"/>
    <w:rsid w:val="3EBC65AE"/>
    <w:rsid w:val="3EBE2F37"/>
    <w:rsid w:val="3EE366CD"/>
    <w:rsid w:val="3EEB04B3"/>
    <w:rsid w:val="3EEF6414"/>
    <w:rsid w:val="3EF23B8C"/>
    <w:rsid w:val="3F055E23"/>
    <w:rsid w:val="3F0C7E0A"/>
    <w:rsid w:val="3F0E4D2D"/>
    <w:rsid w:val="3F202A46"/>
    <w:rsid w:val="3F5C1AB8"/>
    <w:rsid w:val="3F5F4CAB"/>
    <w:rsid w:val="3F6F1560"/>
    <w:rsid w:val="3F717B2F"/>
    <w:rsid w:val="3F746C97"/>
    <w:rsid w:val="3F786A70"/>
    <w:rsid w:val="3F85008D"/>
    <w:rsid w:val="3F8E1B07"/>
    <w:rsid w:val="3F8F06E2"/>
    <w:rsid w:val="3F9F377D"/>
    <w:rsid w:val="3FA70E43"/>
    <w:rsid w:val="3FAC33E1"/>
    <w:rsid w:val="3FB25D75"/>
    <w:rsid w:val="3FB26D38"/>
    <w:rsid w:val="3FC948FA"/>
    <w:rsid w:val="3FD6724E"/>
    <w:rsid w:val="3FDE41B7"/>
    <w:rsid w:val="3FE41932"/>
    <w:rsid w:val="3FE47979"/>
    <w:rsid w:val="3FE57D3A"/>
    <w:rsid w:val="3FFE4E7A"/>
    <w:rsid w:val="400B3158"/>
    <w:rsid w:val="401C681A"/>
    <w:rsid w:val="402974E0"/>
    <w:rsid w:val="403B1563"/>
    <w:rsid w:val="40474BA6"/>
    <w:rsid w:val="40543588"/>
    <w:rsid w:val="40545C2A"/>
    <w:rsid w:val="405A4EDB"/>
    <w:rsid w:val="406035D2"/>
    <w:rsid w:val="406D1E7C"/>
    <w:rsid w:val="407C053A"/>
    <w:rsid w:val="407E06BC"/>
    <w:rsid w:val="407F58F4"/>
    <w:rsid w:val="408321D4"/>
    <w:rsid w:val="408829FA"/>
    <w:rsid w:val="408D5355"/>
    <w:rsid w:val="40907423"/>
    <w:rsid w:val="40AB6100"/>
    <w:rsid w:val="40B72616"/>
    <w:rsid w:val="40BC30D8"/>
    <w:rsid w:val="40BD2AC1"/>
    <w:rsid w:val="40BE053B"/>
    <w:rsid w:val="40C91A8A"/>
    <w:rsid w:val="40CB58AB"/>
    <w:rsid w:val="40CC12A3"/>
    <w:rsid w:val="40CC51F1"/>
    <w:rsid w:val="40D5033B"/>
    <w:rsid w:val="40FE6EE1"/>
    <w:rsid w:val="41032FCF"/>
    <w:rsid w:val="410F6745"/>
    <w:rsid w:val="4111199C"/>
    <w:rsid w:val="412D35A2"/>
    <w:rsid w:val="413146CD"/>
    <w:rsid w:val="41460056"/>
    <w:rsid w:val="41493300"/>
    <w:rsid w:val="4157534D"/>
    <w:rsid w:val="415E070C"/>
    <w:rsid w:val="41753387"/>
    <w:rsid w:val="418053DC"/>
    <w:rsid w:val="418C33BF"/>
    <w:rsid w:val="418E0A56"/>
    <w:rsid w:val="41C0655C"/>
    <w:rsid w:val="41C46C7C"/>
    <w:rsid w:val="41CD7A5B"/>
    <w:rsid w:val="41D07B5D"/>
    <w:rsid w:val="41E51A59"/>
    <w:rsid w:val="41EA1EDC"/>
    <w:rsid w:val="41EE05A4"/>
    <w:rsid w:val="41EF77FB"/>
    <w:rsid w:val="41FD103C"/>
    <w:rsid w:val="42183522"/>
    <w:rsid w:val="421B32A3"/>
    <w:rsid w:val="421B34ED"/>
    <w:rsid w:val="421B3675"/>
    <w:rsid w:val="421D7172"/>
    <w:rsid w:val="42237453"/>
    <w:rsid w:val="42375ADB"/>
    <w:rsid w:val="424564EB"/>
    <w:rsid w:val="424949D7"/>
    <w:rsid w:val="426657CE"/>
    <w:rsid w:val="426F4CD2"/>
    <w:rsid w:val="427B6504"/>
    <w:rsid w:val="427B6B9C"/>
    <w:rsid w:val="42867B1E"/>
    <w:rsid w:val="428932FE"/>
    <w:rsid w:val="42935821"/>
    <w:rsid w:val="42953EBC"/>
    <w:rsid w:val="42AF7530"/>
    <w:rsid w:val="42B9348E"/>
    <w:rsid w:val="42C549BC"/>
    <w:rsid w:val="42CC3723"/>
    <w:rsid w:val="42D73893"/>
    <w:rsid w:val="42E81409"/>
    <w:rsid w:val="42F9614E"/>
    <w:rsid w:val="42F96635"/>
    <w:rsid w:val="430F6B94"/>
    <w:rsid w:val="43161F1D"/>
    <w:rsid w:val="432E2E6C"/>
    <w:rsid w:val="43353C2D"/>
    <w:rsid w:val="433752C7"/>
    <w:rsid w:val="433D581C"/>
    <w:rsid w:val="4359067E"/>
    <w:rsid w:val="435B4A5D"/>
    <w:rsid w:val="43616FCB"/>
    <w:rsid w:val="436465E9"/>
    <w:rsid w:val="438503D7"/>
    <w:rsid w:val="438A0604"/>
    <w:rsid w:val="438E48E5"/>
    <w:rsid w:val="43AF223A"/>
    <w:rsid w:val="43B002FC"/>
    <w:rsid w:val="43B47842"/>
    <w:rsid w:val="43B50425"/>
    <w:rsid w:val="43CD6F7A"/>
    <w:rsid w:val="43CF745E"/>
    <w:rsid w:val="43DC161E"/>
    <w:rsid w:val="43DE3CB0"/>
    <w:rsid w:val="43EA0C30"/>
    <w:rsid w:val="440C13D1"/>
    <w:rsid w:val="440D30CA"/>
    <w:rsid w:val="440F7DE0"/>
    <w:rsid w:val="442962A2"/>
    <w:rsid w:val="442A5B77"/>
    <w:rsid w:val="443133A9"/>
    <w:rsid w:val="443D5C41"/>
    <w:rsid w:val="4447263F"/>
    <w:rsid w:val="444F09C2"/>
    <w:rsid w:val="44555A51"/>
    <w:rsid w:val="445571EF"/>
    <w:rsid w:val="445B44D7"/>
    <w:rsid w:val="445C4662"/>
    <w:rsid w:val="446077EA"/>
    <w:rsid w:val="44675773"/>
    <w:rsid w:val="446A5253"/>
    <w:rsid w:val="44763D1F"/>
    <w:rsid w:val="447C3D35"/>
    <w:rsid w:val="448B6116"/>
    <w:rsid w:val="44931444"/>
    <w:rsid w:val="4497145E"/>
    <w:rsid w:val="44996A7E"/>
    <w:rsid w:val="449E1C63"/>
    <w:rsid w:val="44A27142"/>
    <w:rsid w:val="44A30F4E"/>
    <w:rsid w:val="44A771C7"/>
    <w:rsid w:val="44D83825"/>
    <w:rsid w:val="44E11919"/>
    <w:rsid w:val="44E41090"/>
    <w:rsid w:val="450D3EDC"/>
    <w:rsid w:val="45157E92"/>
    <w:rsid w:val="45374E63"/>
    <w:rsid w:val="453D7F79"/>
    <w:rsid w:val="45472AC1"/>
    <w:rsid w:val="455C64A1"/>
    <w:rsid w:val="456E6FC3"/>
    <w:rsid w:val="459E0363"/>
    <w:rsid w:val="45A86E2A"/>
    <w:rsid w:val="45AD7B91"/>
    <w:rsid w:val="45B47879"/>
    <w:rsid w:val="45B864CA"/>
    <w:rsid w:val="45C601FF"/>
    <w:rsid w:val="45C9248A"/>
    <w:rsid w:val="45D66FB6"/>
    <w:rsid w:val="45DF2192"/>
    <w:rsid w:val="45EA7E1C"/>
    <w:rsid w:val="45EB254C"/>
    <w:rsid w:val="45F8284A"/>
    <w:rsid w:val="460A3EE6"/>
    <w:rsid w:val="4621329C"/>
    <w:rsid w:val="4622744D"/>
    <w:rsid w:val="462279D3"/>
    <w:rsid w:val="46291D45"/>
    <w:rsid w:val="46325A3D"/>
    <w:rsid w:val="46562576"/>
    <w:rsid w:val="4658503F"/>
    <w:rsid w:val="466113DE"/>
    <w:rsid w:val="466B2A8D"/>
    <w:rsid w:val="46763B6A"/>
    <w:rsid w:val="469251A2"/>
    <w:rsid w:val="46935C55"/>
    <w:rsid w:val="46BC33FE"/>
    <w:rsid w:val="46D72B83"/>
    <w:rsid w:val="46E227D0"/>
    <w:rsid w:val="46EB1C5D"/>
    <w:rsid w:val="46F143A1"/>
    <w:rsid w:val="4703679E"/>
    <w:rsid w:val="470C43D4"/>
    <w:rsid w:val="4713021A"/>
    <w:rsid w:val="47147537"/>
    <w:rsid w:val="47154045"/>
    <w:rsid w:val="47195792"/>
    <w:rsid w:val="472C0D64"/>
    <w:rsid w:val="473218EA"/>
    <w:rsid w:val="47411100"/>
    <w:rsid w:val="474471B8"/>
    <w:rsid w:val="47452E44"/>
    <w:rsid w:val="474C1127"/>
    <w:rsid w:val="47515948"/>
    <w:rsid w:val="47562393"/>
    <w:rsid w:val="47574470"/>
    <w:rsid w:val="475E7382"/>
    <w:rsid w:val="47654540"/>
    <w:rsid w:val="476A2E5A"/>
    <w:rsid w:val="477D41D6"/>
    <w:rsid w:val="477F6395"/>
    <w:rsid w:val="47806830"/>
    <w:rsid w:val="478E6340"/>
    <w:rsid w:val="47947F7C"/>
    <w:rsid w:val="47BD18B3"/>
    <w:rsid w:val="47C1369B"/>
    <w:rsid w:val="47C51177"/>
    <w:rsid w:val="47D262F3"/>
    <w:rsid w:val="47DA118A"/>
    <w:rsid w:val="47F06BE5"/>
    <w:rsid w:val="47F52F06"/>
    <w:rsid w:val="48067D42"/>
    <w:rsid w:val="480B0C6C"/>
    <w:rsid w:val="481D2E42"/>
    <w:rsid w:val="481E33AC"/>
    <w:rsid w:val="48236D93"/>
    <w:rsid w:val="482D306C"/>
    <w:rsid w:val="48316668"/>
    <w:rsid w:val="48462DD8"/>
    <w:rsid w:val="484C4701"/>
    <w:rsid w:val="48734D77"/>
    <w:rsid w:val="48786CF2"/>
    <w:rsid w:val="488E1228"/>
    <w:rsid w:val="48913C0E"/>
    <w:rsid w:val="48920A89"/>
    <w:rsid w:val="48923829"/>
    <w:rsid w:val="489F0E83"/>
    <w:rsid w:val="48A9795B"/>
    <w:rsid w:val="48AB45BC"/>
    <w:rsid w:val="48C32A1D"/>
    <w:rsid w:val="48D64DE8"/>
    <w:rsid w:val="48DA45C1"/>
    <w:rsid w:val="48E629B4"/>
    <w:rsid w:val="48E647BA"/>
    <w:rsid w:val="48E97E31"/>
    <w:rsid w:val="491130B3"/>
    <w:rsid w:val="49185036"/>
    <w:rsid w:val="49192007"/>
    <w:rsid w:val="491F4DD6"/>
    <w:rsid w:val="493354CD"/>
    <w:rsid w:val="493A685C"/>
    <w:rsid w:val="493D11E1"/>
    <w:rsid w:val="49403AEC"/>
    <w:rsid w:val="49445C63"/>
    <w:rsid w:val="49531996"/>
    <w:rsid w:val="4954605D"/>
    <w:rsid w:val="49635DB3"/>
    <w:rsid w:val="496C6CF0"/>
    <w:rsid w:val="497D516A"/>
    <w:rsid w:val="4981612C"/>
    <w:rsid w:val="498D64FF"/>
    <w:rsid w:val="49A128E4"/>
    <w:rsid w:val="49A379DE"/>
    <w:rsid w:val="49A564DC"/>
    <w:rsid w:val="49B44860"/>
    <w:rsid w:val="49BF1711"/>
    <w:rsid w:val="49BF278C"/>
    <w:rsid w:val="4A0D7650"/>
    <w:rsid w:val="4A161469"/>
    <w:rsid w:val="4A1A435D"/>
    <w:rsid w:val="4A2622AD"/>
    <w:rsid w:val="4A3E28AB"/>
    <w:rsid w:val="4A5D729E"/>
    <w:rsid w:val="4A6C020B"/>
    <w:rsid w:val="4A6D6931"/>
    <w:rsid w:val="4A9119B8"/>
    <w:rsid w:val="4AA1262D"/>
    <w:rsid w:val="4AB6040A"/>
    <w:rsid w:val="4ABC313C"/>
    <w:rsid w:val="4ABF367B"/>
    <w:rsid w:val="4AC63A6E"/>
    <w:rsid w:val="4AC84583"/>
    <w:rsid w:val="4ACD25A1"/>
    <w:rsid w:val="4AE12A20"/>
    <w:rsid w:val="4AF063EA"/>
    <w:rsid w:val="4AF94C50"/>
    <w:rsid w:val="4B132AE5"/>
    <w:rsid w:val="4B161C30"/>
    <w:rsid w:val="4B18520B"/>
    <w:rsid w:val="4B3D22EB"/>
    <w:rsid w:val="4B4009C2"/>
    <w:rsid w:val="4B4C6E59"/>
    <w:rsid w:val="4B5A4AD2"/>
    <w:rsid w:val="4B5B2631"/>
    <w:rsid w:val="4B8B1F8D"/>
    <w:rsid w:val="4BB37802"/>
    <w:rsid w:val="4BCA02A6"/>
    <w:rsid w:val="4BDD19FE"/>
    <w:rsid w:val="4BE462FF"/>
    <w:rsid w:val="4BE70352"/>
    <w:rsid w:val="4BEF18B1"/>
    <w:rsid w:val="4BF076A6"/>
    <w:rsid w:val="4C01471F"/>
    <w:rsid w:val="4C0A6DDE"/>
    <w:rsid w:val="4C194549"/>
    <w:rsid w:val="4C2223E3"/>
    <w:rsid w:val="4C2E39F1"/>
    <w:rsid w:val="4C311C24"/>
    <w:rsid w:val="4C363834"/>
    <w:rsid w:val="4C3A0C89"/>
    <w:rsid w:val="4C3F4E20"/>
    <w:rsid w:val="4C511060"/>
    <w:rsid w:val="4C5B5253"/>
    <w:rsid w:val="4C5B68DE"/>
    <w:rsid w:val="4C5D0FAC"/>
    <w:rsid w:val="4C65252E"/>
    <w:rsid w:val="4C6E0C1E"/>
    <w:rsid w:val="4C7542BD"/>
    <w:rsid w:val="4C7D4A1C"/>
    <w:rsid w:val="4C835240"/>
    <w:rsid w:val="4C8449BE"/>
    <w:rsid w:val="4C8D5AEC"/>
    <w:rsid w:val="4C8E2AB4"/>
    <w:rsid w:val="4CA94B1A"/>
    <w:rsid w:val="4CB90A2D"/>
    <w:rsid w:val="4CC5119E"/>
    <w:rsid w:val="4CD03AF2"/>
    <w:rsid w:val="4CE14C7C"/>
    <w:rsid w:val="4CE565A2"/>
    <w:rsid w:val="4CED1721"/>
    <w:rsid w:val="4CF40B17"/>
    <w:rsid w:val="4CF70192"/>
    <w:rsid w:val="4D071304"/>
    <w:rsid w:val="4D1A23A1"/>
    <w:rsid w:val="4D334D81"/>
    <w:rsid w:val="4D3F652D"/>
    <w:rsid w:val="4D443AFA"/>
    <w:rsid w:val="4D482FE6"/>
    <w:rsid w:val="4D4A1AC5"/>
    <w:rsid w:val="4D5C25ED"/>
    <w:rsid w:val="4D6C7A3C"/>
    <w:rsid w:val="4D742B9F"/>
    <w:rsid w:val="4D846910"/>
    <w:rsid w:val="4D891435"/>
    <w:rsid w:val="4D900A5B"/>
    <w:rsid w:val="4D9822D9"/>
    <w:rsid w:val="4D9A441F"/>
    <w:rsid w:val="4D9B7294"/>
    <w:rsid w:val="4D9C09EE"/>
    <w:rsid w:val="4DA8648A"/>
    <w:rsid w:val="4DA94A8A"/>
    <w:rsid w:val="4DAF596C"/>
    <w:rsid w:val="4DB27309"/>
    <w:rsid w:val="4DBA7F6B"/>
    <w:rsid w:val="4DCF6F75"/>
    <w:rsid w:val="4DE621A4"/>
    <w:rsid w:val="4DEF6A37"/>
    <w:rsid w:val="4DFA480C"/>
    <w:rsid w:val="4E0104A7"/>
    <w:rsid w:val="4E03003A"/>
    <w:rsid w:val="4E121B55"/>
    <w:rsid w:val="4E2A1C47"/>
    <w:rsid w:val="4E363FB8"/>
    <w:rsid w:val="4E3D40BD"/>
    <w:rsid w:val="4E3D5A51"/>
    <w:rsid w:val="4E6A6D87"/>
    <w:rsid w:val="4E6E48EC"/>
    <w:rsid w:val="4E7009E7"/>
    <w:rsid w:val="4E751FE9"/>
    <w:rsid w:val="4E7C12AC"/>
    <w:rsid w:val="4E7D395A"/>
    <w:rsid w:val="4E983272"/>
    <w:rsid w:val="4E9E1594"/>
    <w:rsid w:val="4EA3326A"/>
    <w:rsid w:val="4EAA3EBA"/>
    <w:rsid w:val="4EC254B1"/>
    <w:rsid w:val="4ECB51C2"/>
    <w:rsid w:val="4ED675DB"/>
    <w:rsid w:val="4EDC4157"/>
    <w:rsid w:val="4EE744F2"/>
    <w:rsid w:val="4EE80E12"/>
    <w:rsid w:val="4EF42669"/>
    <w:rsid w:val="4F016CE5"/>
    <w:rsid w:val="4F0C4097"/>
    <w:rsid w:val="4F1765EB"/>
    <w:rsid w:val="4F1C1189"/>
    <w:rsid w:val="4F2012C4"/>
    <w:rsid w:val="4F4B0DF8"/>
    <w:rsid w:val="4F537942"/>
    <w:rsid w:val="4F56037F"/>
    <w:rsid w:val="4F571F9A"/>
    <w:rsid w:val="4F6A3E7B"/>
    <w:rsid w:val="4F790AED"/>
    <w:rsid w:val="4F833F9C"/>
    <w:rsid w:val="4F89277A"/>
    <w:rsid w:val="4F8D236E"/>
    <w:rsid w:val="4F944DCE"/>
    <w:rsid w:val="4F9653EB"/>
    <w:rsid w:val="4F970904"/>
    <w:rsid w:val="4F9F2A07"/>
    <w:rsid w:val="4FA5084E"/>
    <w:rsid w:val="4FA66049"/>
    <w:rsid w:val="4FAB367E"/>
    <w:rsid w:val="4FAF2492"/>
    <w:rsid w:val="4FBB7FCB"/>
    <w:rsid w:val="4FBF0AF1"/>
    <w:rsid w:val="4FCB5A27"/>
    <w:rsid w:val="4FD273A1"/>
    <w:rsid w:val="4FDF4190"/>
    <w:rsid w:val="4FF129FB"/>
    <w:rsid w:val="500548FA"/>
    <w:rsid w:val="500E12F6"/>
    <w:rsid w:val="50116F4F"/>
    <w:rsid w:val="50154362"/>
    <w:rsid w:val="501D1600"/>
    <w:rsid w:val="5022425F"/>
    <w:rsid w:val="5031748D"/>
    <w:rsid w:val="50367539"/>
    <w:rsid w:val="50435C1C"/>
    <w:rsid w:val="504440AB"/>
    <w:rsid w:val="505F0963"/>
    <w:rsid w:val="507E2780"/>
    <w:rsid w:val="5091122C"/>
    <w:rsid w:val="509661B5"/>
    <w:rsid w:val="50A078EC"/>
    <w:rsid w:val="50A30E74"/>
    <w:rsid w:val="50B82E88"/>
    <w:rsid w:val="50C60288"/>
    <w:rsid w:val="50CB06CD"/>
    <w:rsid w:val="50CD0092"/>
    <w:rsid w:val="50D629D4"/>
    <w:rsid w:val="50E75601"/>
    <w:rsid w:val="510F4D23"/>
    <w:rsid w:val="51156C32"/>
    <w:rsid w:val="51183D3D"/>
    <w:rsid w:val="512414BE"/>
    <w:rsid w:val="51377D81"/>
    <w:rsid w:val="51525785"/>
    <w:rsid w:val="515661FD"/>
    <w:rsid w:val="5160082D"/>
    <w:rsid w:val="51744626"/>
    <w:rsid w:val="51744830"/>
    <w:rsid w:val="51830E08"/>
    <w:rsid w:val="518C7579"/>
    <w:rsid w:val="51982A5C"/>
    <w:rsid w:val="519D40CC"/>
    <w:rsid w:val="51A73940"/>
    <w:rsid w:val="51B47B51"/>
    <w:rsid w:val="51C51F9F"/>
    <w:rsid w:val="51D25A57"/>
    <w:rsid w:val="51E9167E"/>
    <w:rsid w:val="51F61677"/>
    <w:rsid w:val="51FA472B"/>
    <w:rsid w:val="52211207"/>
    <w:rsid w:val="522F0079"/>
    <w:rsid w:val="523E24F2"/>
    <w:rsid w:val="524C2578"/>
    <w:rsid w:val="525D6E55"/>
    <w:rsid w:val="5261670D"/>
    <w:rsid w:val="52657548"/>
    <w:rsid w:val="526828D5"/>
    <w:rsid w:val="526A01B2"/>
    <w:rsid w:val="5271578A"/>
    <w:rsid w:val="52796647"/>
    <w:rsid w:val="5282796A"/>
    <w:rsid w:val="52840EB2"/>
    <w:rsid w:val="528C45CC"/>
    <w:rsid w:val="5297061D"/>
    <w:rsid w:val="529C6205"/>
    <w:rsid w:val="529D50BA"/>
    <w:rsid w:val="52A01A97"/>
    <w:rsid w:val="52B44541"/>
    <w:rsid w:val="52B46ED7"/>
    <w:rsid w:val="52CA29FF"/>
    <w:rsid w:val="52CA7969"/>
    <w:rsid w:val="52D25D57"/>
    <w:rsid w:val="52D63944"/>
    <w:rsid w:val="52E64A50"/>
    <w:rsid w:val="52EC7D0F"/>
    <w:rsid w:val="52F95D6A"/>
    <w:rsid w:val="53165B1C"/>
    <w:rsid w:val="531E7E1B"/>
    <w:rsid w:val="53206490"/>
    <w:rsid w:val="5327701D"/>
    <w:rsid w:val="53361AFB"/>
    <w:rsid w:val="533E5DCD"/>
    <w:rsid w:val="534C3055"/>
    <w:rsid w:val="535E75EB"/>
    <w:rsid w:val="535F60F1"/>
    <w:rsid w:val="536207E7"/>
    <w:rsid w:val="536C05EF"/>
    <w:rsid w:val="53834220"/>
    <w:rsid w:val="538D2B2E"/>
    <w:rsid w:val="53D012CF"/>
    <w:rsid w:val="53E55A55"/>
    <w:rsid w:val="53E61C68"/>
    <w:rsid w:val="53FC678F"/>
    <w:rsid w:val="53FF492A"/>
    <w:rsid w:val="54062E76"/>
    <w:rsid w:val="54201A0C"/>
    <w:rsid w:val="542C7500"/>
    <w:rsid w:val="543A0058"/>
    <w:rsid w:val="543A3BB4"/>
    <w:rsid w:val="543B229B"/>
    <w:rsid w:val="54436F28"/>
    <w:rsid w:val="54451898"/>
    <w:rsid w:val="5449261D"/>
    <w:rsid w:val="544F2A05"/>
    <w:rsid w:val="54531F6E"/>
    <w:rsid w:val="546409C1"/>
    <w:rsid w:val="54686F70"/>
    <w:rsid w:val="54725245"/>
    <w:rsid w:val="547E55C5"/>
    <w:rsid w:val="54853F2E"/>
    <w:rsid w:val="549755F6"/>
    <w:rsid w:val="54984970"/>
    <w:rsid w:val="54A0419A"/>
    <w:rsid w:val="54AA7248"/>
    <w:rsid w:val="54B17837"/>
    <w:rsid w:val="54CC1294"/>
    <w:rsid w:val="54CD1325"/>
    <w:rsid w:val="54EA3EAA"/>
    <w:rsid w:val="54EC5ACC"/>
    <w:rsid w:val="54F240E7"/>
    <w:rsid w:val="54FE2D06"/>
    <w:rsid w:val="55334DE5"/>
    <w:rsid w:val="55384597"/>
    <w:rsid w:val="553B453F"/>
    <w:rsid w:val="55485F95"/>
    <w:rsid w:val="554B46D3"/>
    <w:rsid w:val="554B6223"/>
    <w:rsid w:val="554D56E7"/>
    <w:rsid w:val="555D4E25"/>
    <w:rsid w:val="555F24C5"/>
    <w:rsid w:val="556E264F"/>
    <w:rsid w:val="5572242D"/>
    <w:rsid w:val="55796786"/>
    <w:rsid w:val="55904FC6"/>
    <w:rsid w:val="55970CFE"/>
    <w:rsid w:val="559713AD"/>
    <w:rsid w:val="559A1453"/>
    <w:rsid w:val="55A031DE"/>
    <w:rsid w:val="55A3302F"/>
    <w:rsid w:val="55B41744"/>
    <w:rsid w:val="55B527AA"/>
    <w:rsid w:val="55BD37EE"/>
    <w:rsid w:val="55C015A5"/>
    <w:rsid w:val="55D9770E"/>
    <w:rsid w:val="55DE6AD5"/>
    <w:rsid w:val="55F5759B"/>
    <w:rsid w:val="55FA0C9F"/>
    <w:rsid w:val="56013C9F"/>
    <w:rsid w:val="56102E1E"/>
    <w:rsid w:val="56243A3E"/>
    <w:rsid w:val="56293929"/>
    <w:rsid w:val="563F72EA"/>
    <w:rsid w:val="564A30ED"/>
    <w:rsid w:val="564B48EC"/>
    <w:rsid w:val="564B6470"/>
    <w:rsid w:val="564C2D5F"/>
    <w:rsid w:val="5656242E"/>
    <w:rsid w:val="565C6063"/>
    <w:rsid w:val="566106E9"/>
    <w:rsid w:val="56727FDA"/>
    <w:rsid w:val="567C3D7E"/>
    <w:rsid w:val="56837AFF"/>
    <w:rsid w:val="56891365"/>
    <w:rsid w:val="568D3650"/>
    <w:rsid w:val="569C04C1"/>
    <w:rsid w:val="569D0ADB"/>
    <w:rsid w:val="569E667C"/>
    <w:rsid w:val="56A05D24"/>
    <w:rsid w:val="56A30136"/>
    <w:rsid w:val="56AB5CB9"/>
    <w:rsid w:val="56AB5D86"/>
    <w:rsid w:val="56B04601"/>
    <w:rsid w:val="56B45E9F"/>
    <w:rsid w:val="56C75215"/>
    <w:rsid w:val="56D27FC0"/>
    <w:rsid w:val="56F323FA"/>
    <w:rsid w:val="56F8059A"/>
    <w:rsid w:val="57067D47"/>
    <w:rsid w:val="571B2E5A"/>
    <w:rsid w:val="572841C2"/>
    <w:rsid w:val="57301886"/>
    <w:rsid w:val="57450A36"/>
    <w:rsid w:val="57653942"/>
    <w:rsid w:val="576E6F29"/>
    <w:rsid w:val="576F3BC2"/>
    <w:rsid w:val="577E2E25"/>
    <w:rsid w:val="577F4132"/>
    <w:rsid w:val="577F4757"/>
    <w:rsid w:val="578A472D"/>
    <w:rsid w:val="57A85186"/>
    <w:rsid w:val="57AB1B02"/>
    <w:rsid w:val="57AB58C5"/>
    <w:rsid w:val="57AD28EF"/>
    <w:rsid w:val="57B77521"/>
    <w:rsid w:val="57BC2B32"/>
    <w:rsid w:val="57C4713C"/>
    <w:rsid w:val="57CA29E5"/>
    <w:rsid w:val="57DA4DB6"/>
    <w:rsid w:val="57DD3C30"/>
    <w:rsid w:val="57EA6759"/>
    <w:rsid w:val="57EE64B8"/>
    <w:rsid w:val="57F20DF2"/>
    <w:rsid w:val="57F95B34"/>
    <w:rsid w:val="57FA428E"/>
    <w:rsid w:val="58170941"/>
    <w:rsid w:val="58231729"/>
    <w:rsid w:val="58371936"/>
    <w:rsid w:val="58450CC9"/>
    <w:rsid w:val="58473523"/>
    <w:rsid w:val="584C430B"/>
    <w:rsid w:val="58783412"/>
    <w:rsid w:val="587E2AC6"/>
    <w:rsid w:val="58906333"/>
    <w:rsid w:val="5896586F"/>
    <w:rsid w:val="58977827"/>
    <w:rsid w:val="589C04A7"/>
    <w:rsid w:val="58A04FDA"/>
    <w:rsid w:val="58B13716"/>
    <w:rsid w:val="58B45CB6"/>
    <w:rsid w:val="58B65D9D"/>
    <w:rsid w:val="58D235CF"/>
    <w:rsid w:val="58D51935"/>
    <w:rsid w:val="58DA5965"/>
    <w:rsid w:val="58E41798"/>
    <w:rsid w:val="58E660B8"/>
    <w:rsid w:val="58EA01E5"/>
    <w:rsid w:val="58EE60A9"/>
    <w:rsid w:val="58FA272E"/>
    <w:rsid w:val="58FF3A8D"/>
    <w:rsid w:val="590930F7"/>
    <w:rsid w:val="590B1DDD"/>
    <w:rsid w:val="5910513D"/>
    <w:rsid w:val="59155B23"/>
    <w:rsid w:val="591A1096"/>
    <w:rsid w:val="59234F60"/>
    <w:rsid w:val="592B669B"/>
    <w:rsid w:val="59434CC5"/>
    <w:rsid w:val="59454C5E"/>
    <w:rsid w:val="594977CA"/>
    <w:rsid w:val="594B0F6F"/>
    <w:rsid w:val="596A78FB"/>
    <w:rsid w:val="597472D4"/>
    <w:rsid w:val="598D4239"/>
    <w:rsid w:val="59A059E3"/>
    <w:rsid w:val="59A16D11"/>
    <w:rsid w:val="59A26150"/>
    <w:rsid w:val="59A34E57"/>
    <w:rsid w:val="59AD4B57"/>
    <w:rsid w:val="59B01FB1"/>
    <w:rsid w:val="59B241EC"/>
    <w:rsid w:val="59D40BCF"/>
    <w:rsid w:val="59D4646E"/>
    <w:rsid w:val="59D93E6F"/>
    <w:rsid w:val="59DD0131"/>
    <w:rsid w:val="59E47E60"/>
    <w:rsid w:val="59F47461"/>
    <w:rsid w:val="59FB7775"/>
    <w:rsid w:val="5A051196"/>
    <w:rsid w:val="5A0869D5"/>
    <w:rsid w:val="5A0E58C7"/>
    <w:rsid w:val="5A102B54"/>
    <w:rsid w:val="5A1D141E"/>
    <w:rsid w:val="5A272E2C"/>
    <w:rsid w:val="5A2E6356"/>
    <w:rsid w:val="5A40385D"/>
    <w:rsid w:val="5A536C2C"/>
    <w:rsid w:val="5A5658DE"/>
    <w:rsid w:val="5A697D6E"/>
    <w:rsid w:val="5A790B9E"/>
    <w:rsid w:val="5A7F0F90"/>
    <w:rsid w:val="5A8347AA"/>
    <w:rsid w:val="5A8B4F87"/>
    <w:rsid w:val="5A8E0EFB"/>
    <w:rsid w:val="5A994325"/>
    <w:rsid w:val="5A9B7E02"/>
    <w:rsid w:val="5AA35D6C"/>
    <w:rsid w:val="5ADC276D"/>
    <w:rsid w:val="5ADD66DC"/>
    <w:rsid w:val="5AE16B43"/>
    <w:rsid w:val="5B0D3DD0"/>
    <w:rsid w:val="5B164CD5"/>
    <w:rsid w:val="5B236648"/>
    <w:rsid w:val="5B3736E0"/>
    <w:rsid w:val="5B3D4781"/>
    <w:rsid w:val="5B4A153A"/>
    <w:rsid w:val="5B4F4DB3"/>
    <w:rsid w:val="5B6836FC"/>
    <w:rsid w:val="5B6E02D0"/>
    <w:rsid w:val="5B71549F"/>
    <w:rsid w:val="5B7C78E1"/>
    <w:rsid w:val="5B884FA5"/>
    <w:rsid w:val="5B8D6CBF"/>
    <w:rsid w:val="5BA53918"/>
    <w:rsid w:val="5BA85F9A"/>
    <w:rsid w:val="5BAB20EF"/>
    <w:rsid w:val="5BBD1F96"/>
    <w:rsid w:val="5BC112B9"/>
    <w:rsid w:val="5BC87418"/>
    <w:rsid w:val="5BC95E21"/>
    <w:rsid w:val="5BD26DC8"/>
    <w:rsid w:val="5BDF7F2C"/>
    <w:rsid w:val="5C002AFB"/>
    <w:rsid w:val="5C053300"/>
    <w:rsid w:val="5C1861E1"/>
    <w:rsid w:val="5C284794"/>
    <w:rsid w:val="5C387F7D"/>
    <w:rsid w:val="5C3D2493"/>
    <w:rsid w:val="5C3E0503"/>
    <w:rsid w:val="5C446315"/>
    <w:rsid w:val="5C4750F9"/>
    <w:rsid w:val="5C4C76C2"/>
    <w:rsid w:val="5C584715"/>
    <w:rsid w:val="5C5C0CB6"/>
    <w:rsid w:val="5C6608BC"/>
    <w:rsid w:val="5C693288"/>
    <w:rsid w:val="5C6D1F64"/>
    <w:rsid w:val="5C7516D6"/>
    <w:rsid w:val="5C7849DF"/>
    <w:rsid w:val="5C8046A2"/>
    <w:rsid w:val="5C830F12"/>
    <w:rsid w:val="5C906B0A"/>
    <w:rsid w:val="5C992529"/>
    <w:rsid w:val="5C993044"/>
    <w:rsid w:val="5C9A692F"/>
    <w:rsid w:val="5CA02DCB"/>
    <w:rsid w:val="5CA73DB1"/>
    <w:rsid w:val="5CAE513F"/>
    <w:rsid w:val="5CB47725"/>
    <w:rsid w:val="5CBA2039"/>
    <w:rsid w:val="5CC04E72"/>
    <w:rsid w:val="5CD57281"/>
    <w:rsid w:val="5CDA3A7E"/>
    <w:rsid w:val="5CDA6FCD"/>
    <w:rsid w:val="5CDA7BA2"/>
    <w:rsid w:val="5CE37592"/>
    <w:rsid w:val="5CE70EEF"/>
    <w:rsid w:val="5CF25176"/>
    <w:rsid w:val="5CFA0384"/>
    <w:rsid w:val="5CFC5073"/>
    <w:rsid w:val="5CFC53D6"/>
    <w:rsid w:val="5CFD5029"/>
    <w:rsid w:val="5D027239"/>
    <w:rsid w:val="5D136FF7"/>
    <w:rsid w:val="5D190B0B"/>
    <w:rsid w:val="5D354AE4"/>
    <w:rsid w:val="5D383FE7"/>
    <w:rsid w:val="5D3903C3"/>
    <w:rsid w:val="5D3A69D6"/>
    <w:rsid w:val="5D3E5BCD"/>
    <w:rsid w:val="5D4B6E32"/>
    <w:rsid w:val="5D4B7047"/>
    <w:rsid w:val="5D4E595E"/>
    <w:rsid w:val="5D535CE6"/>
    <w:rsid w:val="5D560934"/>
    <w:rsid w:val="5D566449"/>
    <w:rsid w:val="5D58115F"/>
    <w:rsid w:val="5D7C67D5"/>
    <w:rsid w:val="5D8D11F8"/>
    <w:rsid w:val="5D9A16F6"/>
    <w:rsid w:val="5D9F2954"/>
    <w:rsid w:val="5DA94318"/>
    <w:rsid w:val="5DAC2F76"/>
    <w:rsid w:val="5DAC70AE"/>
    <w:rsid w:val="5DB61F3C"/>
    <w:rsid w:val="5DBC688F"/>
    <w:rsid w:val="5DBD37D4"/>
    <w:rsid w:val="5DC60280"/>
    <w:rsid w:val="5DC811E4"/>
    <w:rsid w:val="5DCA1C9F"/>
    <w:rsid w:val="5DCA6E00"/>
    <w:rsid w:val="5DCC7F63"/>
    <w:rsid w:val="5DD61F5B"/>
    <w:rsid w:val="5DD946A5"/>
    <w:rsid w:val="5DDC6B39"/>
    <w:rsid w:val="5DE96282"/>
    <w:rsid w:val="5DEB7180"/>
    <w:rsid w:val="5DFF6BFA"/>
    <w:rsid w:val="5E013198"/>
    <w:rsid w:val="5E036193"/>
    <w:rsid w:val="5E217A29"/>
    <w:rsid w:val="5E241A5A"/>
    <w:rsid w:val="5E311BD0"/>
    <w:rsid w:val="5E362D9F"/>
    <w:rsid w:val="5E451908"/>
    <w:rsid w:val="5E473A9D"/>
    <w:rsid w:val="5E8943BF"/>
    <w:rsid w:val="5E8A621E"/>
    <w:rsid w:val="5E931FE9"/>
    <w:rsid w:val="5EA605EE"/>
    <w:rsid w:val="5ECE0893"/>
    <w:rsid w:val="5EF57055"/>
    <w:rsid w:val="5F187E62"/>
    <w:rsid w:val="5F3F404D"/>
    <w:rsid w:val="5F4458F9"/>
    <w:rsid w:val="5F474A56"/>
    <w:rsid w:val="5F4B5EBA"/>
    <w:rsid w:val="5F4C4541"/>
    <w:rsid w:val="5F671865"/>
    <w:rsid w:val="5F7272D4"/>
    <w:rsid w:val="5F801C2D"/>
    <w:rsid w:val="5F8220B1"/>
    <w:rsid w:val="5F8F5AAA"/>
    <w:rsid w:val="5F9428FF"/>
    <w:rsid w:val="5F985CA7"/>
    <w:rsid w:val="5FA578DF"/>
    <w:rsid w:val="5FB635BB"/>
    <w:rsid w:val="5FC37153"/>
    <w:rsid w:val="5FCE3DCA"/>
    <w:rsid w:val="5FCF0ABD"/>
    <w:rsid w:val="5FD23E28"/>
    <w:rsid w:val="5FDC5E8E"/>
    <w:rsid w:val="5FDE2EB6"/>
    <w:rsid w:val="5FF8588E"/>
    <w:rsid w:val="60002155"/>
    <w:rsid w:val="601E7E08"/>
    <w:rsid w:val="601F4358"/>
    <w:rsid w:val="601F4FB1"/>
    <w:rsid w:val="60334F8A"/>
    <w:rsid w:val="60346381"/>
    <w:rsid w:val="604F197C"/>
    <w:rsid w:val="604F453E"/>
    <w:rsid w:val="60502F6D"/>
    <w:rsid w:val="605A3373"/>
    <w:rsid w:val="605C63C1"/>
    <w:rsid w:val="606F7B16"/>
    <w:rsid w:val="6070010A"/>
    <w:rsid w:val="608A6F7B"/>
    <w:rsid w:val="6096352F"/>
    <w:rsid w:val="609A7DAA"/>
    <w:rsid w:val="60AC7BE7"/>
    <w:rsid w:val="60B2125B"/>
    <w:rsid w:val="60B53DDA"/>
    <w:rsid w:val="60BE5E4F"/>
    <w:rsid w:val="60C651F3"/>
    <w:rsid w:val="60CA230B"/>
    <w:rsid w:val="60E46A6D"/>
    <w:rsid w:val="60F24F84"/>
    <w:rsid w:val="60F4480E"/>
    <w:rsid w:val="61002958"/>
    <w:rsid w:val="610C01E4"/>
    <w:rsid w:val="61106A14"/>
    <w:rsid w:val="61137383"/>
    <w:rsid w:val="612A179E"/>
    <w:rsid w:val="612A4470"/>
    <w:rsid w:val="6133224F"/>
    <w:rsid w:val="614118F9"/>
    <w:rsid w:val="614B511D"/>
    <w:rsid w:val="61552E84"/>
    <w:rsid w:val="615C6A2D"/>
    <w:rsid w:val="616C13B3"/>
    <w:rsid w:val="616D2853"/>
    <w:rsid w:val="61735209"/>
    <w:rsid w:val="619123D6"/>
    <w:rsid w:val="61951FAA"/>
    <w:rsid w:val="61996AEF"/>
    <w:rsid w:val="61A227C4"/>
    <w:rsid w:val="61A50B71"/>
    <w:rsid w:val="61B15CCB"/>
    <w:rsid w:val="61B4248A"/>
    <w:rsid w:val="61B615F1"/>
    <w:rsid w:val="61C418D8"/>
    <w:rsid w:val="61D76B4B"/>
    <w:rsid w:val="61DC6F4B"/>
    <w:rsid w:val="61E63590"/>
    <w:rsid w:val="61F4254E"/>
    <w:rsid w:val="621958C5"/>
    <w:rsid w:val="622611F1"/>
    <w:rsid w:val="62271414"/>
    <w:rsid w:val="62345D2E"/>
    <w:rsid w:val="62377985"/>
    <w:rsid w:val="624D2B46"/>
    <w:rsid w:val="62597971"/>
    <w:rsid w:val="627365B0"/>
    <w:rsid w:val="62743997"/>
    <w:rsid w:val="62802D5F"/>
    <w:rsid w:val="62810284"/>
    <w:rsid w:val="62926EDE"/>
    <w:rsid w:val="62A12C05"/>
    <w:rsid w:val="62A23B43"/>
    <w:rsid w:val="62A67488"/>
    <w:rsid w:val="62B03322"/>
    <w:rsid w:val="62BA15AC"/>
    <w:rsid w:val="62BA29B2"/>
    <w:rsid w:val="62C64D39"/>
    <w:rsid w:val="62CE111C"/>
    <w:rsid w:val="62D76DBA"/>
    <w:rsid w:val="62DE3E02"/>
    <w:rsid w:val="62DE78D4"/>
    <w:rsid w:val="62E11452"/>
    <w:rsid w:val="62E1750C"/>
    <w:rsid w:val="62E94FC7"/>
    <w:rsid w:val="62FA6557"/>
    <w:rsid w:val="62FC49D9"/>
    <w:rsid w:val="62FC713F"/>
    <w:rsid w:val="63180B39"/>
    <w:rsid w:val="634150A3"/>
    <w:rsid w:val="63462B54"/>
    <w:rsid w:val="634E73D9"/>
    <w:rsid w:val="63500C2A"/>
    <w:rsid w:val="635439CE"/>
    <w:rsid w:val="635527B8"/>
    <w:rsid w:val="636F5851"/>
    <w:rsid w:val="63703D03"/>
    <w:rsid w:val="6377595C"/>
    <w:rsid w:val="637E7972"/>
    <w:rsid w:val="638663F6"/>
    <w:rsid w:val="639B27BE"/>
    <w:rsid w:val="639F6646"/>
    <w:rsid w:val="63A81F96"/>
    <w:rsid w:val="63AC59E0"/>
    <w:rsid w:val="63AD7B80"/>
    <w:rsid w:val="63C40175"/>
    <w:rsid w:val="63E31E4F"/>
    <w:rsid w:val="63EE4844"/>
    <w:rsid w:val="63F634ED"/>
    <w:rsid w:val="63FE2AAF"/>
    <w:rsid w:val="640E10EF"/>
    <w:rsid w:val="6419608C"/>
    <w:rsid w:val="641C308B"/>
    <w:rsid w:val="642545C8"/>
    <w:rsid w:val="642D3621"/>
    <w:rsid w:val="643349C9"/>
    <w:rsid w:val="64347125"/>
    <w:rsid w:val="643D7431"/>
    <w:rsid w:val="643E00F6"/>
    <w:rsid w:val="645D6667"/>
    <w:rsid w:val="645F19D8"/>
    <w:rsid w:val="647B0D1C"/>
    <w:rsid w:val="647B372A"/>
    <w:rsid w:val="647D41AF"/>
    <w:rsid w:val="64891A7F"/>
    <w:rsid w:val="6495367C"/>
    <w:rsid w:val="64B573AB"/>
    <w:rsid w:val="64B80661"/>
    <w:rsid w:val="64DB7862"/>
    <w:rsid w:val="64E17F86"/>
    <w:rsid w:val="64EC4291"/>
    <w:rsid w:val="64F112E7"/>
    <w:rsid w:val="650B6608"/>
    <w:rsid w:val="65182641"/>
    <w:rsid w:val="651C687D"/>
    <w:rsid w:val="65282236"/>
    <w:rsid w:val="652A6DE8"/>
    <w:rsid w:val="652B38EB"/>
    <w:rsid w:val="652B697B"/>
    <w:rsid w:val="65364793"/>
    <w:rsid w:val="654A159B"/>
    <w:rsid w:val="654E5657"/>
    <w:rsid w:val="65535823"/>
    <w:rsid w:val="657757E9"/>
    <w:rsid w:val="658E0EDE"/>
    <w:rsid w:val="659108B4"/>
    <w:rsid w:val="659F0757"/>
    <w:rsid w:val="65B25336"/>
    <w:rsid w:val="65BE74B4"/>
    <w:rsid w:val="65C4603F"/>
    <w:rsid w:val="65C91BB9"/>
    <w:rsid w:val="65D52D5C"/>
    <w:rsid w:val="65D668B8"/>
    <w:rsid w:val="65E42621"/>
    <w:rsid w:val="65E47E23"/>
    <w:rsid w:val="65F8742B"/>
    <w:rsid w:val="660C4ACC"/>
    <w:rsid w:val="66191206"/>
    <w:rsid w:val="661D2D93"/>
    <w:rsid w:val="661E6A4C"/>
    <w:rsid w:val="662040DF"/>
    <w:rsid w:val="66230C99"/>
    <w:rsid w:val="66383CCB"/>
    <w:rsid w:val="66504315"/>
    <w:rsid w:val="66586B6E"/>
    <w:rsid w:val="66625F95"/>
    <w:rsid w:val="666D10A2"/>
    <w:rsid w:val="666F593F"/>
    <w:rsid w:val="667C1E0A"/>
    <w:rsid w:val="667C34B7"/>
    <w:rsid w:val="668C5271"/>
    <w:rsid w:val="668E786C"/>
    <w:rsid w:val="66944153"/>
    <w:rsid w:val="669D71E7"/>
    <w:rsid w:val="66BC301D"/>
    <w:rsid w:val="66BD6123"/>
    <w:rsid w:val="66D505E7"/>
    <w:rsid w:val="66D62E3E"/>
    <w:rsid w:val="66D93700"/>
    <w:rsid w:val="67041627"/>
    <w:rsid w:val="67045B58"/>
    <w:rsid w:val="67100CAF"/>
    <w:rsid w:val="67357113"/>
    <w:rsid w:val="67457765"/>
    <w:rsid w:val="67476613"/>
    <w:rsid w:val="675D30DF"/>
    <w:rsid w:val="675F7512"/>
    <w:rsid w:val="67662E83"/>
    <w:rsid w:val="677417BE"/>
    <w:rsid w:val="677E548E"/>
    <w:rsid w:val="677F0E5D"/>
    <w:rsid w:val="6799749C"/>
    <w:rsid w:val="679B2187"/>
    <w:rsid w:val="679B45D9"/>
    <w:rsid w:val="67B80D9C"/>
    <w:rsid w:val="67D43DC8"/>
    <w:rsid w:val="67FC7E5A"/>
    <w:rsid w:val="67FD179B"/>
    <w:rsid w:val="681F2C60"/>
    <w:rsid w:val="681F4ED5"/>
    <w:rsid w:val="68267AD6"/>
    <w:rsid w:val="68302DB0"/>
    <w:rsid w:val="68332C1B"/>
    <w:rsid w:val="683B4966"/>
    <w:rsid w:val="68441227"/>
    <w:rsid w:val="685C435B"/>
    <w:rsid w:val="685E5F89"/>
    <w:rsid w:val="685F1057"/>
    <w:rsid w:val="686300DD"/>
    <w:rsid w:val="686F185F"/>
    <w:rsid w:val="68700A54"/>
    <w:rsid w:val="687F3759"/>
    <w:rsid w:val="68832173"/>
    <w:rsid w:val="6894168D"/>
    <w:rsid w:val="68A8665A"/>
    <w:rsid w:val="68EC0793"/>
    <w:rsid w:val="68ED3F25"/>
    <w:rsid w:val="69000B91"/>
    <w:rsid w:val="690F3DD8"/>
    <w:rsid w:val="691D056C"/>
    <w:rsid w:val="692B408D"/>
    <w:rsid w:val="69453E62"/>
    <w:rsid w:val="69551348"/>
    <w:rsid w:val="69613DD9"/>
    <w:rsid w:val="69673AD6"/>
    <w:rsid w:val="696B3A26"/>
    <w:rsid w:val="69720FBC"/>
    <w:rsid w:val="697B37EA"/>
    <w:rsid w:val="697D6736"/>
    <w:rsid w:val="697E77F4"/>
    <w:rsid w:val="69822A1F"/>
    <w:rsid w:val="69840AD9"/>
    <w:rsid w:val="69905AAB"/>
    <w:rsid w:val="69973015"/>
    <w:rsid w:val="69A31AF7"/>
    <w:rsid w:val="69AC5A88"/>
    <w:rsid w:val="69AF404A"/>
    <w:rsid w:val="69B13850"/>
    <w:rsid w:val="69BA198E"/>
    <w:rsid w:val="69C9186C"/>
    <w:rsid w:val="69CA37EC"/>
    <w:rsid w:val="69D51EF1"/>
    <w:rsid w:val="69E62AA3"/>
    <w:rsid w:val="69EE301F"/>
    <w:rsid w:val="69EF0AB2"/>
    <w:rsid w:val="69FA6B03"/>
    <w:rsid w:val="6A034A39"/>
    <w:rsid w:val="6A075ACF"/>
    <w:rsid w:val="6A2C3B47"/>
    <w:rsid w:val="6A2E6B41"/>
    <w:rsid w:val="6A30645E"/>
    <w:rsid w:val="6A3152DD"/>
    <w:rsid w:val="6A395E68"/>
    <w:rsid w:val="6A420ED2"/>
    <w:rsid w:val="6A554B8C"/>
    <w:rsid w:val="6A6575FC"/>
    <w:rsid w:val="6A6F73E5"/>
    <w:rsid w:val="6A7846AC"/>
    <w:rsid w:val="6A8B0C16"/>
    <w:rsid w:val="6AA54602"/>
    <w:rsid w:val="6AC17EDE"/>
    <w:rsid w:val="6ACD08C4"/>
    <w:rsid w:val="6AD644CB"/>
    <w:rsid w:val="6AE11DC4"/>
    <w:rsid w:val="6AE25EF0"/>
    <w:rsid w:val="6AE733F8"/>
    <w:rsid w:val="6AEE1D42"/>
    <w:rsid w:val="6B003128"/>
    <w:rsid w:val="6B0077DE"/>
    <w:rsid w:val="6B0D3DD2"/>
    <w:rsid w:val="6B15612B"/>
    <w:rsid w:val="6B1E5A98"/>
    <w:rsid w:val="6B1F59EC"/>
    <w:rsid w:val="6B242C68"/>
    <w:rsid w:val="6B397FBC"/>
    <w:rsid w:val="6B481316"/>
    <w:rsid w:val="6B4A09BE"/>
    <w:rsid w:val="6B560E7C"/>
    <w:rsid w:val="6B66235C"/>
    <w:rsid w:val="6B71361B"/>
    <w:rsid w:val="6B7844C6"/>
    <w:rsid w:val="6B860892"/>
    <w:rsid w:val="6B8A4A09"/>
    <w:rsid w:val="6B916BDB"/>
    <w:rsid w:val="6BA25EF2"/>
    <w:rsid w:val="6BBB0404"/>
    <w:rsid w:val="6BE97D67"/>
    <w:rsid w:val="6BEB274F"/>
    <w:rsid w:val="6C171667"/>
    <w:rsid w:val="6C1D5354"/>
    <w:rsid w:val="6C34725A"/>
    <w:rsid w:val="6C434BB9"/>
    <w:rsid w:val="6C630A84"/>
    <w:rsid w:val="6C646003"/>
    <w:rsid w:val="6C814C6F"/>
    <w:rsid w:val="6C8545E4"/>
    <w:rsid w:val="6C8F1007"/>
    <w:rsid w:val="6C9169F1"/>
    <w:rsid w:val="6C925890"/>
    <w:rsid w:val="6C936CF5"/>
    <w:rsid w:val="6CA136DA"/>
    <w:rsid w:val="6CA45A54"/>
    <w:rsid w:val="6CA7480E"/>
    <w:rsid w:val="6CBF649B"/>
    <w:rsid w:val="6CC510FA"/>
    <w:rsid w:val="6CCD320B"/>
    <w:rsid w:val="6CCE6C7B"/>
    <w:rsid w:val="6CE12D8E"/>
    <w:rsid w:val="6CE95D1F"/>
    <w:rsid w:val="6CF46B9E"/>
    <w:rsid w:val="6CF6087F"/>
    <w:rsid w:val="6D0404A5"/>
    <w:rsid w:val="6D120B3D"/>
    <w:rsid w:val="6D244B24"/>
    <w:rsid w:val="6D2822E9"/>
    <w:rsid w:val="6D296EEF"/>
    <w:rsid w:val="6D317350"/>
    <w:rsid w:val="6D370ADF"/>
    <w:rsid w:val="6D37588C"/>
    <w:rsid w:val="6D423148"/>
    <w:rsid w:val="6D462701"/>
    <w:rsid w:val="6D4C03C3"/>
    <w:rsid w:val="6D4D4500"/>
    <w:rsid w:val="6D547D6E"/>
    <w:rsid w:val="6D59211D"/>
    <w:rsid w:val="6D5C16E6"/>
    <w:rsid w:val="6D5C1DAF"/>
    <w:rsid w:val="6D5C77F8"/>
    <w:rsid w:val="6D5D1F1E"/>
    <w:rsid w:val="6D5E5682"/>
    <w:rsid w:val="6D6F435C"/>
    <w:rsid w:val="6D7B352C"/>
    <w:rsid w:val="6D8D26CE"/>
    <w:rsid w:val="6D9518E0"/>
    <w:rsid w:val="6DA51277"/>
    <w:rsid w:val="6DBA6E5E"/>
    <w:rsid w:val="6DE63268"/>
    <w:rsid w:val="6DF42964"/>
    <w:rsid w:val="6DFB7949"/>
    <w:rsid w:val="6E0943FE"/>
    <w:rsid w:val="6E0A3845"/>
    <w:rsid w:val="6E0A3E9B"/>
    <w:rsid w:val="6E0E6EE6"/>
    <w:rsid w:val="6E126C20"/>
    <w:rsid w:val="6E182D60"/>
    <w:rsid w:val="6E2039B3"/>
    <w:rsid w:val="6E215BBF"/>
    <w:rsid w:val="6E246912"/>
    <w:rsid w:val="6E301962"/>
    <w:rsid w:val="6E337B9A"/>
    <w:rsid w:val="6E405C0D"/>
    <w:rsid w:val="6E44349C"/>
    <w:rsid w:val="6E752222"/>
    <w:rsid w:val="6E7D7A72"/>
    <w:rsid w:val="6E7F748A"/>
    <w:rsid w:val="6E900B48"/>
    <w:rsid w:val="6E977F88"/>
    <w:rsid w:val="6E9A5773"/>
    <w:rsid w:val="6ECB0C5A"/>
    <w:rsid w:val="6EE11150"/>
    <w:rsid w:val="6EE51402"/>
    <w:rsid w:val="6EF708E1"/>
    <w:rsid w:val="6F085C2F"/>
    <w:rsid w:val="6F1C2DBE"/>
    <w:rsid w:val="6F1C46D2"/>
    <w:rsid w:val="6F1C7972"/>
    <w:rsid w:val="6F2855F4"/>
    <w:rsid w:val="6F2C7C41"/>
    <w:rsid w:val="6F3866D3"/>
    <w:rsid w:val="6F39400C"/>
    <w:rsid w:val="6F3E380A"/>
    <w:rsid w:val="6F441C71"/>
    <w:rsid w:val="6F4A47AC"/>
    <w:rsid w:val="6F4D4193"/>
    <w:rsid w:val="6F516303"/>
    <w:rsid w:val="6F7B5613"/>
    <w:rsid w:val="6F813711"/>
    <w:rsid w:val="6FA6218C"/>
    <w:rsid w:val="6FAC23D1"/>
    <w:rsid w:val="6FB17DDB"/>
    <w:rsid w:val="6FBD5B97"/>
    <w:rsid w:val="6FC80D36"/>
    <w:rsid w:val="6FD56828"/>
    <w:rsid w:val="6FEA1E61"/>
    <w:rsid w:val="6FF770CB"/>
    <w:rsid w:val="6FFB1C01"/>
    <w:rsid w:val="70063513"/>
    <w:rsid w:val="700C2F09"/>
    <w:rsid w:val="700F2B97"/>
    <w:rsid w:val="701469E8"/>
    <w:rsid w:val="70297E02"/>
    <w:rsid w:val="703B6F4D"/>
    <w:rsid w:val="703E6382"/>
    <w:rsid w:val="70501772"/>
    <w:rsid w:val="7055288A"/>
    <w:rsid w:val="7056482E"/>
    <w:rsid w:val="708D04A7"/>
    <w:rsid w:val="708D0B88"/>
    <w:rsid w:val="709471DB"/>
    <w:rsid w:val="709E5C44"/>
    <w:rsid w:val="70A205CE"/>
    <w:rsid w:val="70A47310"/>
    <w:rsid w:val="70A94143"/>
    <w:rsid w:val="70D85D05"/>
    <w:rsid w:val="70DF5449"/>
    <w:rsid w:val="70EB3E74"/>
    <w:rsid w:val="70F30803"/>
    <w:rsid w:val="70FD7775"/>
    <w:rsid w:val="710B1055"/>
    <w:rsid w:val="712C5486"/>
    <w:rsid w:val="713103F2"/>
    <w:rsid w:val="71365673"/>
    <w:rsid w:val="71382C4E"/>
    <w:rsid w:val="71511AB5"/>
    <w:rsid w:val="716C7843"/>
    <w:rsid w:val="71997D14"/>
    <w:rsid w:val="71BD46BB"/>
    <w:rsid w:val="71D755E9"/>
    <w:rsid w:val="71DC416E"/>
    <w:rsid w:val="71EA3503"/>
    <w:rsid w:val="71FB452B"/>
    <w:rsid w:val="72035FC2"/>
    <w:rsid w:val="720C3BBD"/>
    <w:rsid w:val="7220760D"/>
    <w:rsid w:val="722657BC"/>
    <w:rsid w:val="72312642"/>
    <w:rsid w:val="7232313F"/>
    <w:rsid w:val="723F7F0A"/>
    <w:rsid w:val="724C4D86"/>
    <w:rsid w:val="725A09B9"/>
    <w:rsid w:val="725B0B64"/>
    <w:rsid w:val="725D19D9"/>
    <w:rsid w:val="72602C6E"/>
    <w:rsid w:val="726330B4"/>
    <w:rsid w:val="727122F4"/>
    <w:rsid w:val="72742C0B"/>
    <w:rsid w:val="728B1D53"/>
    <w:rsid w:val="729D379D"/>
    <w:rsid w:val="72A26E6C"/>
    <w:rsid w:val="72A60677"/>
    <w:rsid w:val="72A70073"/>
    <w:rsid w:val="72C05F14"/>
    <w:rsid w:val="72C2661C"/>
    <w:rsid w:val="72C53F15"/>
    <w:rsid w:val="72C869F1"/>
    <w:rsid w:val="72E268FC"/>
    <w:rsid w:val="73005DBA"/>
    <w:rsid w:val="730202CC"/>
    <w:rsid w:val="73041E71"/>
    <w:rsid w:val="73061B59"/>
    <w:rsid w:val="731025A3"/>
    <w:rsid w:val="73142339"/>
    <w:rsid w:val="73445962"/>
    <w:rsid w:val="734C116E"/>
    <w:rsid w:val="7355215A"/>
    <w:rsid w:val="735A7977"/>
    <w:rsid w:val="736C7090"/>
    <w:rsid w:val="7370719A"/>
    <w:rsid w:val="737D3550"/>
    <w:rsid w:val="73876610"/>
    <w:rsid w:val="738A233F"/>
    <w:rsid w:val="738D77B9"/>
    <w:rsid w:val="739119A0"/>
    <w:rsid w:val="739C2F98"/>
    <w:rsid w:val="739C3CB1"/>
    <w:rsid w:val="739E0902"/>
    <w:rsid w:val="73A0784F"/>
    <w:rsid w:val="73A429A0"/>
    <w:rsid w:val="73AF7CC3"/>
    <w:rsid w:val="73B139AC"/>
    <w:rsid w:val="73BD0359"/>
    <w:rsid w:val="73C17817"/>
    <w:rsid w:val="73D20772"/>
    <w:rsid w:val="741028A9"/>
    <w:rsid w:val="74377D16"/>
    <w:rsid w:val="74387131"/>
    <w:rsid w:val="744549D7"/>
    <w:rsid w:val="745232E4"/>
    <w:rsid w:val="746F14A3"/>
    <w:rsid w:val="747A598A"/>
    <w:rsid w:val="749F0AA0"/>
    <w:rsid w:val="74D252C9"/>
    <w:rsid w:val="74D767E0"/>
    <w:rsid w:val="74E16FAE"/>
    <w:rsid w:val="74E175D9"/>
    <w:rsid w:val="74E97204"/>
    <w:rsid w:val="74F45B1B"/>
    <w:rsid w:val="74F67CA0"/>
    <w:rsid w:val="74FF0444"/>
    <w:rsid w:val="751056FA"/>
    <w:rsid w:val="751E1698"/>
    <w:rsid w:val="75277DA4"/>
    <w:rsid w:val="7535244A"/>
    <w:rsid w:val="753F29A8"/>
    <w:rsid w:val="75431211"/>
    <w:rsid w:val="75575A99"/>
    <w:rsid w:val="759D349C"/>
    <w:rsid w:val="759D5E3A"/>
    <w:rsid w:val="75AC2512"/>
    <w:rsid w:val="75B5239A"/>
    <w:rsid w:val="75B67C45"/>
    <w:rsid w:val="75D35869"/>
    <w:rsid w:val="75D7612E"/>
    <w:rsid w:val="75DE3513"/>
    <w:rsid w:val="75E06D73"/>
    <w:rsid w:val="75EA0542"/>
    <w:rsid w:val="75F149C3"/>
    <w:rsid w:val="75F419BD"/>
    <w:rsid w:val="75F840B5"/>
    <w:rsid w:val="75F85E33"/>
    <w:rsid w:val="75FE45EA"/>
    <w:rsid w:val="760207E3"/>
    <w:rsid w:val="760D6A16"/>
    <w:rsid w:val="76182AF1"/>
    <w:rsid w:val="76272B42"/>
    <w:rsid w:val="762F3D46"/>
    <w:rsid w:val="764861AD"/>
    <w:rsid w:val="764C6082"/>
    <w:rsid w:val="764E2DA2"/>
    <w:rsid w:val="765C247F"/>
    <w:rsid w:val="76727145"/>
    <w:rsid w:val="76754BD0"/>
    <w:rsid w:val="76940FAA"/>
    <w:rsid w:val="769A747B"/>
    <w:rsid w:val="769B54F1"/>
    <w:rsid w:val="76A708F6"/>
    <w:rsid w:val="76B852BC"/>
    <w:rsid w:val="76BB072D"/>
    <w:rsid w:val="76BC09B1"/>
    <w:rsid w:val="76BD0F40"/>
    <w:rsid w:val="76BD7900"/>
    <w:rsid w:val="76C90ABC"/>
    <w:rsid w:val="76D565AA"/>
    <w:rsid w:val="76DA16F7"/>
    <w:rsid w:val="76DE4B61"/>
    <w:rsid w:val="76DE4EC2"/>
    <w:rsid w:val="76EA3F55"/>
    <w:rsid w:val="76F37A19"/>
    <w:rsid w:val="77000665"/>
    <w:rsid w:val="770664AD"/>
    <w:rsid w:val="771627E6"/>
    <w:rsid w:val="771F0561"/>
    <w:rsid w:val="772B66BE"/>
    <w:rsid w:val="77393BCA"/>
    <w:rsid w:val="77543BFD"/>
    <w:rsid w:val="776003E3"/>
    <w:rsid w:val="776E338A"/>
    <w:rsid w:val="777431D7"/>
    <w:rsid w:val="77884AB3"/>
    <w:rsid w:val="7789612D"/>
    <w:rsid w:val="778A44AC"/>
    <w:rsid w:val="779618EA"/>
    <w:rsid w:val="77BE6726"/>
    <w:rsid w:val="77C27B9B"/>
    <w:rsid w:val="77C44113"/>
    <w:rsid w:val="77D34DF2"/>
    <w:rsid w:val="77D72483"/>
    <w:rsid w:val="77DD35E2"/>
    <w:rsid w:val="77E602DA"/>
    <w:rsid w:val="77EC3F98"/>
    <w:rsid w:val="77F36536"/>
    <w:rsid w:val="77F7360D"/>
    <w:rsid w:val="77FF7A30"/>
    <w:rsid w:val="78094583"/>
    <w:rsid w:val="781574B2"/>
    <w:rsid w:val="78340796"/>
    <w:rsid w:val="78476709"/>
    <w:rsid w:val="784D3606"/>
    <w:rsid w:val="785B2EA5"/>
    <w:rsid w:val="78696220"/>
    <w:rsid w:val="786E665E"/>
    <w:rsid w:val="78701AA5"/>
    <w:rsid w:val="78703550"/>
    <w:rsid w:val="78740768"/>
    <w:rsid w:val="78920DB3"/>
    <w:rsid w:val="78BD731D"/>
    <w:rsid w:val="78BF4422"/>
    <w:rsid w:val="78F349EA"/>
    <w:rsid w:val="79015477"/>
    <w:rsid w:val="790658F6"/>
    <w:rsid w:val="79093A0D"/>
    <w:rsid w:val="790D5E89"/>
    <w:rsid w:val="79303108"/>
    <w:rsid w:val="794A0C3F"/>
    <w:rsid w:val="795015B5"/>
    <w:rsid w:val="79505F1E"/>
    <w:rsid w:val="795A5205"/>
    <w:rsid w:val="79655BDA"/>
    <w:rsid w:val="79671BCB"/>
    <w:rsid w:val="797572B9"/>
    <w:rsid w:val="79920042"/>
    <w:rsid w:val="799E0E43"/>
    <w:rsid w:val="79AA2AE9"/>
    <w:rsid w:val="79B80C4B"/>
    <w:rsid w:val="79BA5E3E"/>
    <w:rsid w:val="79C144AC"/>
    <w:rsid w:val="79D11E06"/>
    <w:rsid w:val="79E015E4"/>
    <w:rsid w:val="79E65AC0"/>
    <w:rsid w:val="79EC6900"/>
    <w:rsid w:val="79F67C63"/>
    <w:rsid w:val="79F95A91"/>
    <w:rsid w:val="7A06511F"/>
    <w:rsid w:val="7A136002"/>
    <w:rsid w:val="7A1554BA"/>
    <w:rsid w:val="7A2C315E"/>
    <w:rsid w:val="7A431178"/>
    <w:rsid w:val="7A4416CF"/>
    <w:rsid w:val="7A616662"/>
    <w:rsid w:val="7A6E1602"/>
    <w:rsid w:val="7A7275FB"/>
    <w:rsid w:val="7A7E219D"/>
    <w:rsid w:val="7A9E22DB"/>
    <w:rsid w:val="7AAC09E3"/>
    <w:rsid w:val="7AD26464"/>
    <w:rsid w:val="7AE70104"/>
    <w:rsid w:val="7AF272FC"/>
    <w:rsid w:val="7B0502FF"/>
    <w:rsid w:val="7B0569C4"/>
    <w:rsid w:val="7B0F75E8"/>
    <w:rsid w:val="7B124622"/>
    <w:rsid w:val="7B12588D"/>
    <w:rsid w:val="7B237109"/>
    <w:rsid w:val="7B4A3786"/>
    <w:rsid w:val="7B521CC6"/>
    <w:rsid w:val="7B7544A2"/>
    <w:rsid w:val="7B8001D6"/>
    <w:rsid w:val="7B8070F4"/>
    <w:rsid w:val="7BAD6B23"/>
    <w:rsid w:val="7BAE0860"/>
    <w:rsid w:val="7BC14D2E"/>
    <w:rsid w:val="7BC741C6"/>
    <w:rsid w:val="7BCC6F38"/>
    <w:rsid w:val="7BEF2E9E"/>
    <w:rsid w:val="7BEF69D6"/>
    <w:rsid w:val="7BF13C43"/>
    <w:rsid w:val="7BF30348"/>
    <w:rsid w:val="7BF6564D"/>
    <w:rsid w:val="7BF8505B"/>
    <w:rsid w:val="7BFC4E34"/>
    <w:rsid w:val="7BFD63DA"/>
    <w:rsid w:val="7C013D37"/>
    <w:rsid w:val="7C136333"/>
    <w:rsid w:val="7C1B798C"/>
    <w:rsid w:val="7C1C1C6D"/>
    <w:rsid w:val="7C2864DA"/>
    <w:rsid w:val="7C2E15A1"/>
    <w:rsid w:val="7C3E42DC"/>
    <w:rsid w:val="7C4F7ABD"/>
    <w:rsid w:val="7C690630"/>
    <w:rsid w:val="7C720417"/>
    <w:rsid w:val="7C8C4DBE"/>
    <w:rsid w:val="7C981A39"/>
    <w:rsid w:val="7CA55B83"/>
    <w:rsid w:val="7CAE48C3"/>
    <w:rsid w:val="7CC739B6"/>
    <w:rsid w:val="7CC7428E"/>
    <w:rsid w:val="7CD23D73"/>
    <w:rsid w:val="7CD63A53"/>
    <w:rsid w:val="7CE16D92"/>
    <w:rsid w:val="7CEB44A7"/>
    <w:rsid w:val="7CF075A0"/>
    <w:rsid w:val="7CFB3CC4"/>
    <w:rsid w:val="7D052B08"/>
    <w:rsid w:val="7D0A5BAE"/>
    <w:rsid w:val="7D1512B7"/>
    <w:rsid w:val="7D151F06"/>
    <w:rsid w:val="7D161FFA"/>
    <w:rsid w:val="7D334C08"/>
    <w:rsid w:val="7D3D41E5"/>
    <w:rsid w:val="7D3E79C1"/>
    <w:rsid w:val="7D3F7862"/>
    <w:rsid w:val="7D4D5268"/>
    <w:rsid w:val="7D4F57C4"/>
    <w:rsid w:val="7D535A13"/>
    <w:rsid w:val="7D5E3250"/>
    <w:rsid w:val="7D6C1AB9"/>
    <w:rsid w:val="7D6E4811"/>
    <w:rsid w:val="7D921763"/>
    <w:rsid w:val="7D967D7B"/>
    <w:rsid w:val="7DA54AD4"/>
    <w:rsid w:val="7DA77C5D"/>
    <w:rsid w:val="7DB4025A"/>
    <w:rsid w:val="7DC03E24"/>
    <w:rsid w:val="7DCA2769"/>
    <w:rsid w:val="7DCE3B15"/>
    <w:rsid w:val="7DCF6030"/>
    <w:rsid w:val="7DFE2FEB"/>
    <w:rsid w:val="7E0E3838"/>
    <w:rsid w:val="7E0E5678"/>
    <w:rsid w:val="7E0E5853"/>
    <w:rsid w:val="7E142D9B"/>
    <w:rsid w:val="7E183A8E"/>
    <w:rsid w:val="7E1B3BC5"/>
    <w:rsid w:val="7E1D343C"/>
    <w:rsid w:val="7E2C1CA1"/>
    <w:rsid w:val="7E2E7E7A"/>
    <w:rsid w:val="7E327182"/>
    <w:rsid w:val="7E3C393D"/>
    <w:rsid w:val="7E3D4C0C"/>
    <w:rsid w:val="7E3D6204"/>
    <w:rsid w:val="7E411020"/>
    <w:rsid w:val="7E464D80"/>
    <w:rsid w:val="7E484F9C"/>
    <w:rsid w:val="7E490784"/>
    <w:rsid w:val="7E51224C"/>
    <w:rsid w:val="7E5408AC"/>
    <w:rsid w:val="7E5E0378"/>
    <w:rsid w:val="7E6C1EDB"/>
    <w:rsid w:val="7E6C743B"/>
    <w:rsid w:val="7E6D526B"/>
    <w:rsid w:val="7E6E40C6"/>
    <w:rsid w:val="7E775F10"/>
    <w:rsid w:val="7E8048ED"/>
    <w:rsid w:val="7E820D50"/>
    <w:rsid w:val="7E8325DC"/>
    <w:rsid w:val="7E83495D"/>
    <w:rsid w:val="7E862B22"/>
    <w:rsid w:val="7E8A0C95"/>
    <w:rsid w:val="7E8A620A"/>
    <w:rsid w:val="7E9D01E9"/>
    <w:rsid w:val="7EA47804"/>
    <w:rsid w:val="7EAC12F2"/>
    <w:rsid w:val="7EB63033"/>
    <w:rsid w:val="7EC27F8E"/>
    <w:rsid w:val="7ECB273C"/>
    <w:rsid w:val="7ECF746B"/>
    <w:rsid w:val="7EE72E99"/>
    <w:rsid w:val="7EFE60E0"/>
    <w:rsid w:val="7F0967DB"/>
    <w:rsid w:val="7F0A6322"/>
    <w:rsid w:val="7F0D6D3C"/>
    <w:rsid w:val="7F1026D7"/>
    <w:rsid w:val="7F121E56"/>
    <w:rsid w:val="7F1B620C"/>
    <w:rsid w:val="7F1F0B88"/>
    <w:rsid w:val="7F2A396D"/>
    <w:rsid w:val="7F2C21C7"/>
    <w:rsid w:val="7F3E1EFB"/>
    <w:rsid w:val="7F4243C8"/>
    <w:rsid w:val="7F482764"/>
    <w:rsid w:val="7F612A08"/>
    <w:rsid w:val="7F725157"/>
    <w:rsid w:val="7F783F3A"/>
    <w:rsid w:val="7F7955B7"/>
    <w:rsid w:val="7F926F51"/>
    <w:rsid w:val="7FAA2E33"/>
    <w:rsid w:val="7FAB3A34"/>
    <w:rsid w:val="7FB62F0E"/>
    <w:rsid w:val="7FC00729"/>
    <w:rsid w:val="7FC568E9"/>
    <w:rsid w:val="7FC74008"/>
    <w:rsid w:val="7FDF334B"/>
    <w:rsid w:val="7FE23DC8"/>
    <w:rsid w:val="7FF519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99" w:semiHidden="0" w:name="caption"/>
    <w:lsdException w:unhideWhenUsed="0" w:uiPriority="0" w:semiHidden="0" w:name="table of figures"/>
    <w:lsdException w:qFormat="1" w:unhideWhenUsed="0" w:uiPriority="99" w:name="envelope address"/>
    <w:lsdException w:qFormat="1" w:unhideWhenUsed="0" w:uiPriority="99" w:name="envelope return"/>
    <w:lsdException w:unhideWhenUsed="0" w:uiPriority="0" w:semiHidden="0" w:name="footnote reference"/>
    <w:lsdException w:qFormat="1" w:unhideWhenUsed="0" w:uiPriority="99" w:semiHidden="0" w:name="annotation reference"/>
    <w:lsdException w:qFormat="1" w:unhideWhenUsed="0" w:uiPriority="99"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qFormat="1" w:unhideWhenUsed="0" w:uiPriority="99" w:name="table of authorities"/>
    <w:lsdException w:unhideWhenUsed="0" w:uiPriority="0" w:semiHidden="0" w:name="macro"/>
    <w:lsdException w:qFormat="1" w:unhideWhenUsed="0" w:uiPriority="99" w:name="toa heading"/>
    <w:lsdException w:qFormat="1" w:unhideWhenUsed="0" w:uiPriority="99" w:semiHidden="0" w:name="List"/>
    <w:lsdException w:qFormat="1" w:unhideWhenUsed="0" w:uiPriority="99" w:name="List Bullet"/>
    <w:lsdException w:qFormat="1" w:unhideWhenUsed="0" w:uiPriority="99"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name="List Bullet 2"/>
    <w:lsdException w:qFormat="1" w:unhideWhenUsed="0" w:uiPriority="99" w:name="List Bullet 3"/>
    <w:lsdException w:qFormat="1" w:unhideWhenUsed="0" w:uiPriority="99" w:name="List Bullet 4"/>
    <w:lsdException w:qFormat="1" w:unhideWhenUsed="0" w:uiPriority="99" w:name="List Bullet 5"/>
    <w:lsdException w:qFormat="1" w:unhideWhenUsed="0" w:uiPriority="99" w:name="List Number 2"/>
    <w:lsdException w:qFormat="1" w:unhideWhenUsed="0" w:uiPriority="99" w:name="List Number 3"/>
    <w:lsdException w:qFormat="1" w:unhideWhenUsed="0" w:uiPriority="99" w:name="List Number 4"/>
    <w:lsdException w:qFormat="1" w:unhideWhenUsed="0" w:uiPriority="99" w:name="List Number 5"/>
    <w:lsdException w:qFormat="1" w:unhideWhenUsed="0" w:uiPriority="10" w:semiHidden="0" w:name="Title"/>
    <w:lsdException w:qFormat="1" w:unhideWhenUsed="0" w:uiPriority="99" w:name="Closing"/>
    <w:lsdException w:qFormat="1" w:unhideWhenUsed="0" w:uiPriority="99"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name="List Continue 5"/>
    <w:lsdException w:qFormat="1" w:unhideWhenUsed="0" w:uiPriority="99" w:name="Message Header"/>
    <w:lsdException w:qFormat="1" w:unhideWhenUsed="0" w:uiPriority="11" w:semiHidden="0" w:name="Subtitle"/>
    <w:lsdException w:qFormat="1" w:unhideWhenUsed="0" w:uiPriority="99" w:name="Salutation"/>
    <w:lsdException w:qFormat="1" w:unhideWhenUsed="0" w:uiPriority="99" w:semiHidden="0" w:name="Date"/>
    <w:lsdException w:qFormat="1" w:unhideWhenUsed="0" w:uiPriority="99" w:semiHidden="0" w:name="Body Text First Indent"/>
    <w:lsdException w:qFormat="1" w:unhideWhenUsed="0" w:uiPriority="99" w:name="Body Text First Indent 2"/>
    <w:lsdException w:qFormat="1" w:unhideWhenUsed="0"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name="Block Text"/>
    <w:lsdException w:qFormat="1" w:unhideWhenUsed="0" w:uiPriority="99" w:semiHidden="0" w:name="Hyperlink"/>
    <w:lsdException w:qFormat="1" w:unhideWhenUsed="0" w:uiPriority="99"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0" w:semiHidden="0" w:name="Plain Text"/>
    <w:lsdException w:qFormat="1" w:unhideWhenUsed="0" w:uiPriority="99" w:name="E-mail Signature"/>
    <w:lsdException w:qFormat="1" w:unhideWhenUsed="0" w:uiPriority="0" w:semiHidden="0" w:name="Normal (Web)"/>
    <w:lsdException w:qFormat="1" w:unhideWhenUsed="0" w:uiPriority="99" w:name="HTML Acronym"/>
    <w:lsdException w:qFormat="1" w:unhideWhenUsed="0" w:uiPriority="99" w:name="HTML Address"/>
    <w:lsdException w:qFormat="1" w:unhideWhenUsed="0" w:uiPriority="99" w:name="HTML Cite"/>
    <w:lsdException w:qFormat="1" w:unhideWhenUsed="0" w:uiPriority="99" w:name="HTML Code"/>
    <w:lsdException w:qFormat="1" w:unhideWhenUsed="0" w:uiPriority="99" w:name="HTML Definition"/>
    <w:lsdException w:qFormat="1" w:unhideWhenUsed="0" w:uiPriority="99" w:name="HTML Keyboard"/>
    <w:lsdException w:qFormat="1" w:unhideWhenUsed="0" w:uiPriority="99" w:name="HTML Preformatted"/>
    <w:lsdException w:qFormat="1" w:unhideWhenUsed="0" w:uiPriority="99" w:name="HTML Sample"/>
    <w:lsdException w:qFormat="1" w:unhideWhenUsed="0" w:uiPriority="99" w:name="HTML Typewriter"/>
    <w:lsdException w:qFormat="1" w:unhideWhenUsed="0" w:uiPriority="99" w:name="HTML Variable"/>
    <w:lsdException w:qFormat="1" w:uiPriority="99" w:name="Normal Table"/>
    <w:lsdException w:qFormat="1" w:unhideWhenUsed="0" w:uiPriority="99" w:name="annotation subject"/>
    <w:lsdException w:qFormat="1" w:unhideWhenUsed="0" w:uiPriority="99" w:name="Table Simple 1"/>
    <w:lsdException w:qFormat="1" w:unhideWhenUsed="0" w:uiPriority="99" w:name="Table Simple 2"/>
    <w:lsdException w:qFormat="1" w:unhideWhenUsed="0" w:uiPriority="99" w:name="Table Simple 3"/>
    <w:lsdException w:qFormat="1" w:unhideWhenUsed="0" w:uiPriority="99" w:name="Table Classic 1"/>
    <w:lsdException w:qFormat="1" w:unhideWhenUsed="0" w:uiPriority="99" w:name="Table Classic 2"/>
    <w:lsdException w:qFormat="1" w:unhideWhenUsed="0" w:uiPriority="99" w:name="Table Classic 3"/>
    <w:lsdException w:qFormat="1" w:unhideWhenUsed="0" w:uiPriority="99" w:name="Table Classic 4"/>
    <w:lsdException w:qFormat="1" w:unhideWhenUsed="0" w:uiPriority="99" w:name="Table Colorful 1"/>
    <w:lsdException w:qFormat="1" w:unhideWhenUsed="0" w:uiPriority="99" w:name="Table Colorful 2"/>
    <w:lsdException w:qFormat="1" w:unhideWhenUsed="0" w:uiPriority="99" w:name="Table Colorful 3"/>
    <w:lsdException w:qFormat="1" w:unhideWhenUsed="0" w:uiPriority="99" w:name="Table Columns 1"/>
    <w:lsdException w:qFormat="1" w:unhideWhenUsed="0" w:uiPriority="99" w:name="Table Columns 2"/>
    <w:lsdException w:qFormat="1" w:unhideWhenUsed="0" w:uiPriority="99" w:name="Table Columns 3"/>
    <w:lsdException w:qFormat="1" w:unhideWhenUsed="0" w:uiPriority="99" w:name="Table Columns 4"/>
    <w:lsdException w:qFormat="1" w:unhideWhenUsed="0" w:uiPriority="99" w:name="Table Columns 5"/>
    <w:lsdException w:qFormat="1" w:unhideWhenUsed="0" w:uiPriority="99" w:name="Table Grid 1"/>
    <w:lsdException w:qFormat="1" w:unhideWhenUsed="0" w:uiPriority="99" w:name="Table Grid 2"/>
    <w:lsdException w:qFormat="1" w:unhideWhenUsed="0" w:uiPriority="99" w:name="Table Grid 3"/>
    <w:lsdException w:qFormat="1" w:unhideWhenUsed="0" w:uiPriority="99" w:name="Table Grid 4"/>
    <w:lsdException w:qFormat="1" w:unhideWhenUsed="0" w:uiPriority="99" w:name="Table Grid 5"/>
    <w:lsdException w:qFormat="1" w:unhideWhenUsed="0" w:uiPriority="99" w:name="Table Grid 6"/>
    <w:lsdException w:qFormat="1" w:unhideWhenUsed="0" w:uiPriority="99" w:name="Table Grid 7"/>
    <w:lsdException w:qFormat="1" w:unhideWhenUsed="0" w:uiPriority="99" w:name="Table Grid 8"/>
    <w:lsdException w:qFormat="1" w:unhideWhenUsed="0" w:uiPriority="99" w:name="Table List 1"/>
    <w:lsdException w:qFormat="1" w:unhideWhenUsed="0" w:uiPriority="99" w:name="Table List 2"/>
    <w:lsdException w:qFormat="1" w:unhideWhenUsed="0" w:uiPriority="99" w:name="Table List 3"/>
    <w:lsdException w:qFormat="1" w:unhideWhenUsed="0" w:uiPriority="99" w:name="Table List 4"/>
    <w:lsdException w:qFormat="1" w:unhideWhenUsed="0" w:uiPriority="99" w:name="Table List 5"/>
    <w:lsdException w:qFormat="1" w:unhideWhenUsed="0" w:uiPriority="99" w:name="Table List 6"/>
    <w:lsdException w:qFormat="1" w:unhideWhenUsed="0" w:uiPriority="99" w:name="Table List 7"/>
    <w:lsdException w:qFormat="1" w:unhideWhenUsed="0" w:uiPriority="99" w:name="Table List 8"/>
    <w:lsdException w:qFormat="1" w:unhideWhenUsed="0" w:uiPriority="99" w:name="Table 3D effects 1"/>
    <w:lsdException w:qFormat="1" w:unhideWhenUsed="0" w:uiPriority="99" w:name="Table 3D effects 2"/>
    <w:lsdException w:qFormat="1" w:unhideWhenUsed="0" w:uiPriority="99" w:name="Table 3D effects 3"/>
    <w:lsdException w:qFormat="1" w:unhideWhenUsed="0" w:uiPriority="99" w:name="Table Contemporary"/>
    <w:lsdException w:qFormat="1" w:unhideWhenUsed="0" w:uiPriority="99" w:name="Table Elegant"/>
    <w:lsdException w:qFormat="1" w:unhideWhenUsed="0" w:uiPriority="99" w:name="Table Professional"/>
    <w:lsdException w:qFormat="1" w:unhideWhenUsed="0" w:uiPriority="99" w:name="Table Subtle 1"/>
    <w:lsdException w:qFormat="1" w:unhideWhenUsed="0" w:uiPriority="99" w:name="Table Subtle 2"/>
    <w:lsdException w:qFormat="1" w:unhideWhenUsed="0" w:uiPriority="99" w:name="Table Web 1"/>
    <w:lsdException w:qFormat="1" w:unhideWhenUsed="0" w:uiPriority="99" w:name="Table Web 2"/>
    <w:lsdException w:qFormat="1" w:unhideWhenUsed="0" w:uiPriority="99" w:name="Table Web 3"/>
    <w:lsdException w:qFormat="1" w:unhideWhenUsed="0" w:uiPriority="99" w:semiHidden="0" w:name="Balloon Text"/>
    <w:lsdException w:qFormat="1" w:unhideWhenUsed="0" w:uiPriority="99" w:name="Table Grid"/>
    <w:lsdException w:qFormat="1" w:unhideWhenUsed="0"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43"/>
    <w:autoRedefine/>
    <w:qFormat/>
    <w:uiPriority w:val="99"/>
    <w:pPr>
      <w:spacing w:before="340" w:after="330" w:line="578" w:lineRule="auto"/>
      <w:outlineLvl w:val="0"/>
    </w:pPr>
    <w:rPr>
      <w:b/>
      <w:bCs/>
      <w:kern w:val="44"/>
      <w:sz w:val="44"/>
      <w:szCs w:val="44"/>
    </w:rPr>
  </w:style>
  <w:style w:type="paragraph" w:styleId="3">
    <w:name w:val="heading 2"/>
    <w:basedOn w:val="1"/>
    <w:next w:val="1"/>
    <w:link w:val="194"/>
    <w:autoRedefine/>
    <w:qFormat/>
    <w:uiPriority w:val="99"/>
    <w:pPr>
      <w:spacing w:before="260" w:after="260" w:line="416" w:lineRule="auto"/>
      <w:outlineLvl w:val="1"/>
    </w:pPr>
    <w:rPr>
      <w:rFonts w:ascii="Arial" w:hAnsi="Arial" w:eastAsia="黑体"/>
      <w:b/>
      <w:bCs/>
      <w:kern w:val="0"/>
      <w:sz w:val="32"/>
      <w:szCs w:val="32"/>
    </w:rPr>
  </w:style>
  <w:style w:type="paragraph" w:styleId="4">
    <w:name w:val="heading 3"/>
    <w:basedOn w:val="1"/>
    <w:link w:val="145"/>
    <w:autoRedefine/>
    <w:qFormat/>
    <w:uiPriority w:val="99"/>
    <w:pPr>
      <w:spacing w:before="260" w:after="260" w:line="416" w:lineRule="auto"/>
      <w:outlineLvl w:val="2"/>
    </w:pPr>
    <w:rPr>
      <w:b/>
      <w:bCs/>
      <w:kern w:val="0"/>
      <w:sz w:val="32"/>
      <w:szCs w:val="32"/>
    </w:rPr>
  </w:style>
  <w:style w:type="paragraph" w:styleId="5">
    <w:name w:val="heading 4"/>
    <w:basedOn w:val="1"/>
    <w:link w:val="146"/>
    <w:autoRedefine/>
    <w:qFormat/>
    <w:uiPriority w:val="99"/>
    <w:pPr>
      <w:spacing w:before="280" w:after="290" w:line="376" w:lineRule="auto"/>
      <w:outlineLvl w:val="3"/>
    </w:pPr>
    <w:rPr>
      <w:rFonts w:ascii="Arial" w:hAnsi="Arial" w:eastAsia="黑体"/>
      <w:b/>
      <w:bCs/>
      <w:kern w:val="0"/>
      <w:sz w:val="28"/>
      <w:szCs w:val="28"/>
    </w:rPr>
  </w:style>
  <w:style w:type="paragraph" w:styleId="6">
    <w:name w:val="heading 5"/>
    <w:basedOn w:val="1"/>
    <w:link w:val="147"/>
    <w:autoRedefine/>
    <w:qFormat/>
    <w:uiPriority w:val="99"/>
    <w:pPr>
      <w:spacing w:before="280" w:after="290" w:line="376" w:lineRule="auto"/>
      <w:outlineLvl w:val="4"/>
    </w:pPr>
    <w:rPr>
      <w:b/>
      <w:bCs/>
      <w:kern w:val="0"/>
      <w:sz w:val="28"/>
      <w:szCs w:val="28"/>
    </w:rPr>
  </w:style>
  <w:style w:type="paragraph" w:styleId="7">
    <w:name w:val="heading 6"/>
    <w:basedOn w:val="1"/>
    <w:link w:val="148"/>
    <w:autoRedefine/>
    <w:qFormat/>
    <w:uiPriority w:val="99"/>
    <w:pPr>
      <w:spacing w:before="240" w:after="64" w:line="320" w:lineRule="auto"/>
      <w:outlineLvl w:val="5"/>
    </w:pPr>
    <w:rPr>
      <w:rFonts w:ascii="Arial" w:hAnsi="Arial" w:eastAsia="黑体"/>
      <w:b/>
      <w:bCs/>
      <w:kern w:val="0"/>
      <w:sz w:val="20"/>
      <w:szCs w:val="20"/>
    </w:rPr>
  </w:style>
  <w:style w:type="paragraph" w:styleId="8">
    <w:name w:val="heading 7"/>
    <w:basedOn w:val="1"/>
    <w:link w:val="149"/>
    <w:autoRedefine/>
    <w:qFormat/>
    <w:uiPriority w:val="9"/>
    <w:pPr>
      <w:spacing w:before="240" w:after="64" w:line="320" w:lineRule="auto"/>
      <w:jc w:val="left"/>
      <w:outlineLvl w:val="6"/>
    </w:pPr>
    <w:rPr>
      <w:b/>
      <w:bCs/>
      <w:kern w:val="0"/>
      <w:sz w:val="24"/>
    </w:rPr>
  </w:style>
  <w:style w:type="paragraph" w:styleId="9">
    <w:name w:val="heading 8"/>
    <w:basedOn w:val="1"/>
    <w:link w:val="150"/>
    <w:autoRedefine/>
    <w:qFormat/>
    <w:uiPriority w:val="9"/>
    <w:pPr>
      <w:tabs>
        <w:tab w:val="left" w:pos="1440"/>
      </w:tabs>
      <w:adjustRightInd w:val="0"/>
      <w:spacing w:line="360" w:lineRule="atLeast"/>
      <w:ind w:left="1440" w:hanging="1440"/>
      <w:outlineLvl w:val="7"/>
    </w:pPr>
    <w:rPr>
      <w:rFonts w:ascii="Cambria" w:hAnsi="Cambria"/>
      <w:kern w:val="0"/>
      <w:sz w:val="24"/>
    </w:rPr>
  </w:style>
  <w:style w:type="paragraph" w:styleId="10">
    <w:name w:val="heading 9"/>
    <w:basedOn w:val="1"/>
    <w:link w:val="151"/>
    <w:autoRedefine/>
    <w:qFormat/>
    <w:uiPriority w:val="9"/>
    <w:pPr>
      <w:tabs>
        <w:tab w:val="left" w:pos="1584"/>
      </w:tabs>
      <w:adjustRightInd w:val="0"/>
      <w:spacing w:line="360" w:lineRule="atLeast"/>
      <w:ind w:left="1584" w:hanging="1584"/>
      <w:outlineLvl w:val="8"/>
    </w:pPr>
    <w:rPr>
      <w:rFonts w:ascii="Cambria" w:hAnsi="Cambria"/>
      <w:kern w:val="0"/>
      <w:sz w:val="20"/>
      <w:szCs w:val="21"/>
    </w:rPr>
  </w:style>
  <w:style w:type="character" w:default="1" w:styleId="119">
    <w:name w:val="Default Paragraph Font"/>
    <w:semiHidden/>
    <w:unhideWhenUsed/>
    <w:qFormat/>
    <w:uiPriority w:val="1"/>
  </w:style>
  <w:style w:type="table" w:default="1" w:styleId="74">
    <w:name w:val="Normal Tabl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99"/>
    <w:pPr>
      <w:ind w:left="100" w:leftChars="400" w:hanging="200" w:hangingChars="200"/>
    </w:pPr>
  </w:style>
  <w:style w:type="paragraph" w:styleId="12">
    <w:name w:val="toc 7"/>
    <w:basedOn w:val="1"/>
    <w:autoRedefine/>
    <w:semiHidden/>
    <w:qFormat/>
    <w:uiPriority w:val="99"/>
    <w:pPr>
      <w:ind w:left="1260"/>
      <w:jc w:val="left"/>
    </w:pPr>
    <w:rPr>
      <w:sz w:val="18"/>
      <w:szCs w:val="18"/>
    </w:rPr>
  </w:style>
  <w:style w:type="paragraph" w:styleId="13">
    <w:name w:val="List Number 2"/>
    <w:basedOn w:val="1"/>
    <w:autoRedefine/>
    <w:semiHidden/>
    <w:qFormat/>
    <w:uiPriority w:val="99"/>
    <w:pPr>
      <w:tabs>
        <w:tab w:val="left" w:pos="780"/>
      </w:tabs>
      <w:spacing w:after="200" w:line="276" w:lineRule="auto"/>
      <w:ind w:left="780" w:leftChars="200" w:hanging="360" w:hangingChars="200"/>
      <w:jc w:val="left"/>
    </w:pPr>
    <w:rPr>
      <w:rFonts w:ascii="Calibri" w:hAnsi="Calibri"/>
      <w:kern w:val="0"/>
      <w:sz w:val="22"/>
      <w:szCs w:val="22"/>
      <w:lang w:eastAsia="en-US"/>
    </w:rPr>
  </w:style>
  <w:style w:type="paragraph" w:styleId="14">
    <w:name w:val="table of authorities"/>
    <w:basedOn w:val="1"/>
    <w:autoRedefine/>
    <w:semiHidden/>
    <w:qFormat/>
    <w:uiPriority w:val="99"/>
    <w:pPr>
      <w:spacing w:after="200" w:line="276" w:lineRule="auto"/>
      <w:ind w:left="420" w:leftChars="200"/>
      <w:jc w:val="left"/>
    </w:pPr>
    <w:rPr>
      <w:rFonts w:ascii="Calibri" w:hAnsi="Calibri"/>
      <w:kern w:val="0"/>
      <w:sz w:val="22"/>
      <w:szCs w:val="22"/>
      <w:lang w:eastAsia="en-US"/>
    </w:rPr>
  </w:style>
  <w:style w:type="paragraph" w:styleId="15">
    <w:name w:val="Note Heading"/>
    <w:basedOn w:val="1"/>
    <w:link w:val="152"/>
    <w:autoRedefine/>
    <w:semiHidden/>
    <w:qFormat/>
    <w:uiPriority w:val="99"/>
    <w:pPr>
      <w:spacing w:after="200" w:line="276" w:lineRule="auto"/>
      <w:jc w:val="center"/>
    </w:pPr>
    <w:rPr>
      <w:kern w:val="0"/>
      <w:sz w:val="20"/>
    </w:rPr>
  </w:style>
  <w:style w:type="paragraph" w:styleId="16">
    <w:name w:val="List Bullet 4"/>
    <w:basedOn w:val="1"/>
    <w:autoRedefine/>
    <w:semiHidden/>
    <w:qFormat/>
    <w:uiPriority w:val="99"/>
    <w:pPr>
      <w:tabs>
        <w:tab w:val="left" w:pos="360"/>
      </w:tabs>
      <w:spacing w:after="200" w:line="276" w:lineRule="auto"/>
      <w:ind w:left="360" w:hanging="360"/>
      <w:jc w:val="left"/>
    </w:pPr>
    <w:rPr>
      <w:rFonts w:ascii="Calibri" w:hAnsi="Calibri"/>
      <w:kern w:val="0"/>
      <w:sz w:val="22"/>
      <w:szCs w:val="22"/>
      <w:lang w:eastAsia="en-US"/>
    </w:rPr>
  </w:style>
  <w:style w:type="paragraph" w:styleId="17">
    <w:name w:val="E-mail Signature"/>
    <w:basedOn w:val="1"/>
    <w:link w:val="153"/>
    <w:autoRedefine/>
    <w:semiHidden/>
    <w:qFormat/>
    <w:uiPriority w:val="99"/>
    <w:pPr>
      <w:spacing w:after="200" w:line="276" w:lineRule="auto"/>
      <w:jc w:val="left"/>
    </w:pPr>
    <w:rPr>
      <w:kern w:val="0"/>
      <w:sz w:val="20"/>
    </w:rPr>
  </w:style>
  <w:style w:type="paragraph" w:styleId="18">
    <w:name w:val="List Number"/>
    <w:basedOn w:val="1"/>
    <w:autoRedefine/>
    <w:semiHidden/>
    <w:qFormat/>
    <w:uiPriority w:val="99"/>
    <w:pPr>
      <w:tabs>
        <w:tab w:val="left" w:pos="360"/>
      </w:tabs>
      <w:spacing w:after="200" w:line="276" w:lineRule="auto"/>
      <w:ind w:left="360" w:hanging="360" w:hangingChars="200"/>
      <w:jc w:val="left"/>
    </w:pPr>
    <w:rPr>
      <w:rFonts w:ascii="Calibri" w:hAnsi="Calibri"/>
      <w:kern w:val="0"/>
      <w:sz w:val="22"/>
      <w:szCs w:val="22"/>
      <w:lang w:eastAsia="en-US"/>
    </w:rPr>
  </w:style>
  <w:style w:type="paragraph" w:styleId="19">
    <w:name w:val="Normal Indent"/>
    <w:basedOn w:val="1"/>
    <w:link w:val="154"/>
    <w:autoRedefine/>
    <w:qFormat/>
    <w:uiPriority w:val="99"/>
    <w:pPr>
      <w:ind w:firstLine="420" w:firstLineChars="200"/>
    </w:pPr>
    <w:rPr>
      <w:kern w:val="0"/>
      <w:szCs w:val="20"/>
    </w:rPr>
  </w:style>
  <w:style w:type="paragraph" w:styleId="20">
    <w:name w:val="caption"/>
    <w:basedOn w:val="1"/>
    <w:autoRedefine/>
    <w:qFormat/>
    <w:uiPriority w:val="99"/>
    <w:pPr>
      <w:spacing w:before="152" w:after="160"/>
    </w:pPr>
    <w:rPr>
      <w:rFonts w:ascii="Arial" w:hAnsi="Arial" w:eastAsia="黑体" w:cs="Arial"/>
      <w:sz w:val="20"/>
      <w:szCs w:val="20"/>
    </w:rPr>
  </w:style>
  <w:style w:type="paragraph" w:styleId="21">
    <w:name w:val="List Bullet"/>
    <w:basedOn w:val="1"/>
    <w:autoRedefine/>
    <w:semiHidden/>
    <w:qFormat/>
    <w:uiPriority w:val="99"/>
    <w:pPr>
      <w:tabs>
        <w:tab w:val="left" w:pos="360"/>
      </w:tabs>
      <w:spacing w:after="200" w:line="276" w:lineRule="auto"/>
      <w:ind w:left="360" w:hanging="360"/>
      <w:jc w:val="left"/>
    </w:pPr>
    <w:rPr>
      <w:rFonts w:ascii="Calibri" w:hAnsi="Calibri"/>
      <w:kern w:val="0"/>
      <w:sz w:val="22"/>
      <w:szCs w:val="22"/>
      <w:lang w:eastAsia="en-US"/>
    </w:rPr>
  </w:style>
  <w:style w:type="paragraph" w:styleId="22">
    <w:name w:val="envelope address"/>
    <w:basedOn w:val="1"/>
    <w:autoRedefine/>
    <w:semiHidden/>
    <w:qFormat/>
    <w:uiPriority w:val="99"/>
    <w:pPr>
      <w:framePr w:w="7920" w:h="1980" w:hRule="exact" w:hSpace="180" w:wrap="around" w:vAnchor="margin" w:hAnchor="page" w:xAlign="center" w:yAlign="bottom"/>
      <w:snapToGrid w:val="0"/>
      <w:spacing w:after="200" w:line="276" w:lineRule="auto"/>
      <w:ind w:left="100" w:leftChars="1400"/>
      <w:jc w:val="left"/>
    </w:pPr>
    <w:rPr>
      <w:rFonts w:ascii="Arial" w:hAnsi="Arial" w:cs="Arial"/>
      <w:kern w:val="0"/>
      <w:sz w:val="24"/>
      <w:lang w:eastAsia="en-US"/>
    </w:rPr>
  </w:style>
  <w:style w:type="paragraph" w:styleId="23">
    <w:name w:val="Document Map"/>
    <w:basedOn w:val="1"/>
    <w:link w:val="155"/>
    <w:autoRedefine/>
    <w:semiHidden/>
    <w:qFormat/>
    <w:uiPriority w:val="99"/>
    <w:pPr>
      <w:shd w:val="clear" w:color="auto" w:fill="000080"/>
    </w:pPr>
    <w:rPr>
      <w:kern w:val="0"/>
      <w:sz w:val="16"/>
      <w:szCs w:val="16"/>
    </w:rPr>
  </w:style>
  <w:style w:type="paragraph" w:styleId="24">
    <w:name w:val="toa heading"/>
    <w:basedOn w:val="1"/>
    <w:autoRedefine/>
    <w:semiHidden/>
    <w:qFormat/>
    <w:uiPriority w:val="99"/>
    <w:pPr>
      <w:spacing w:before="120"/>
    </w:pPr>
    <w:rPr>
      <w:rFonts w:ascii="Arial" w:hAnsi="Arial"/>
      <w:sz w:val="24"/>
      <w:szCs w:val="20"/>
    </w:rPr>
  </w:style>
  <w:style w:type="paragraph" w:styleId="25">
    <w:name w:val="annotation text"/>
    <w:basedOn w:val="1"/>
    <w:link w:val="156"/>
    <w:autoRedefine/>
    <w:qFormat/>
    <w:uiPriority w:val="99"/>
    <w:pPr>
      <w:spacing w:after="200" w:line="276" w:lineRule="auto"/>
      <w:jc w:val="left"/>
    </w:pPr>
    <w:rPr>
      <w:kern w:val="0"/>
      <w:sz w:val="20"/>
    </w:rPr>
  </w:style>
  <w:style w:type="paragraph" w:styleId="26">
    <w:name w:val="Salutation"/>
    <w:basedOn w:val="1"/>
    <w:link w:val="157"/>
    <w:autoRedefine/>
    <w:semiHidden/>
    <w:qFormat/>
    <w:uiPriority w:val="99"/>
    <w:pPr>
      <w:spacing w:after="200" w:line="276" w:lineRule="auto"/>
      <w:jc w:val="left"/>
    </w:pPr>
    <w:rPr>
      <w:kern w:val="0"/>
      <w:sz w:val="20"/>
    </w:rPr>
  </w:style>
  <w:style w:type="paragraph" w:styleId="27">
    <w:name w:val="Body Text 3"/>
    <w:basedOn w:val="1"/>
    <w:next w:val="1"/>
    <w:link w:val="158"/>
    <w:autoRedefine/>
    <w:qFormat/>
    <w:uiPriority w:val="99"/>
    <w:rPr>
      <w:kern w:val="0"/>
      <w:sz w:val="16"/>
      <w:szCs w:val="16"/>
    </w:rPr>
  </w:style>
  <w:style w:type="paragraph" w:styleId="28">
    <w:name w:val="Closing"/>
    <w:basedOn w:val="1"/>
    <w:link w:val="159"/>
    <w:autoRedefine/>
    <w:semiHidden/>
    <w:qFormat/>
    <w:uiPriority w:val="99"/>
    <w:pPr>
      <w:spacing w:after="200" w:line="276" w:lineRule="auto"/>
      <w:ind w:left="100" w:leftChars="2100"/>
      <w:jc w:val="left"/>
    </w:pPr>
    <w:rPr>
      <w:kern w:val="0"/>
      <w:sz w:val="20"/>
    </w:rPr>
  </w:style>
  <w:style w:type="paragraph" w:styleId="29">
    <w:name w:val="List Bullet 3"/>
    <w:basedOn w:val="1"/>
    <w:autoRedefine/>
    <w:semiHidden/>
    <w:qFormat/>
    <w:uiPriority w:val="99"/>
    <w:pPr>
      <w:tabs>
        <w:tab w:val="left" w:pos="360"/>
      </w:tabs>
      <w:spacing w:after="200" w:line="276" w:lineRule="auto"/>
      <w:ind w:left="360" w:hanging="360"/>
      <w:jc w:val="left"/>
    </w:pPr>
    <w:rPr>
      <w:rFonts w:ascii="Calibri" w:hAnsi="Calibri"/>
      <w:kern w:val="0"/>
      <w:sz w:val="22"/>
      <w:szCs w:val="22"/>
      <w:lang w:eastAsia="en-US"/>
    </w:rPr>
  </w:style>
  <w:style w:type="paragraph" w:styleId="30">
    <w:name w:val="Body Text"/>
    <w:basedOn w:val="1"/>
    <w:link w:val="160"/>
    <w:autoRedefine/>
    <w:qFormat/>
    <w:uiPriority w:val="99"/>
    <w:pPr>
      <w:spacing w:after="120"/>
    </w:pPr>
    <w:rPr>
      <w:kern w:val="0"/>
      <w:sz w:val="20"/>
    </w:rPr>
  </w:style>
  <w:style w:type="paragraph" w:styleId="31">
    <w:name w:val="Body Text Indent"/>
    <w:basedOn w:val="1"/>
    <w:link w:val="161"/>
    <w:autoRedefine/>
    <w:qFormat/>
    <w:uiPriority w:val="99"/>
    <w:pPr>
      <w:spacing w:line="500" w:lineRule="exact"/>
      <w:ind w:left="1588" w:leftChars="832" w:firstLine="433" w:firstLineChars="196"/>
    </w:pPr>
    <w:rPr>
      <w:kern w:val="0"/>
      <w:sz w:val="20"/>
    </w:rPr>
  </w:style>
  <w:style w:type="paragraph" w:styleId="32">
    <w:name w:val="List Number 3"/>
    <w:basedOn w:val="1"/>
    <w:autoRedefine/>
    <w:semiHidden/>
    <w:qFormat/>
    <w:uiPriority w:val="99"/>
    <w:pPr>
      <w:tabs>
        <w:tab w:val="left" w:pos="360"/>
      </w:tabs>
      <w:spacing w:after="200" w:line="276" w:lineRule="auto"/>
      <w:ind w:left="360" w:hanging="360"/>
      <w:jc w:val="left"/>
    </w:pPr>
    <w:rPr>
      <w:rFonts w:ascii="Calibri" w:hAnsi="Calibri"/>
      <w:kern w:val="0"/>
      <w:sz w:val="22"/>
      <w:szCs w:val="22"/>
      <w:lang w:eastAsia="en-US"/>
    </w:rPr>
  </w:style>
  <w:style w:type="paragraph" w:styleId="33">
    <w:name w:val="List 2"/>
    <w:basedOn w:val="1"/>
    <w:autoRedefine/>
    <w:qFormat/>
    <w:uiPriority w:val="99"/>
    <w:pPr>
      <w:ind w:left="100" w:leftChars="200" w:hanging="200" w:hangingChars="200"/>
    </w:pPr>
  </w:style>
  <w:style w:type="paragraph" w:styleId="34">
    <w:name w:val="List Continue"/>
    <w:basedOn w:val="1"/>
    <w:autoRedefine/>
    <w:qFormat/>
    <w:uiPriority w:val="99"/>
    <w:pPr>
      <w:spacing w:after="120"/>
      <w:ind w:left="420" w:leftChars="200"/>
    </w:pPr>
  </w:style>
  <w:style w:type="paragraph" w:styleId="35">
    <w:name w:val="Block Text"/>
    <w:basedOn w:val="1"/>
    <w:autoRedefine/>
    <w:semiHidden/>
    <w:qFormat/>
    <w:uiPriority w:val="99"/>
    <w:pPr>
      <w:spacing w:after="120" w:line="276" w:lineRule="auto"/>
      <w:ind w:left="1440" w:leftChars="700" w:right="1440" w:rightChars="700"/>
      <w:jc w:val="left"/>
    </w:pPr>
    <w:rPr>
      <w:rFonts w:ascii="Calibri" w:hAnsi="Calibri"/>
      <w:kern w:val="0"/>
      <w:sz w:val="22"/>
      <w:szCs w:val="22"/>
      <w:lang w:eastAsia="en-US"/>
    </w:rPr>
  </w:style>
  <w:style w:type="paragraph" w:styleId="36">
    <w:name w:val="List Bullet 2"/>
    <w:basedOn w:val="1"/>
    <w:autoRedefine/>
    <w:semiHidden/>
    <w:qFormat/>
    <w:uiPriority w:val="99"/>
    <w:pPr>
      <w:tabs>
        <w:tab w:val="left" w:pos="360"/>
      </w:tabs>
      <w:spacing w:after="200" w:line="276" w:lineRule="auto"/>
      <w:ind w:left="360" w:hanging="360"/>
      <w:jc w:val="left"/>
    </w:pPr>
    <w:rPr>
      <w:rFonts w:ascii="Calibri" w:hAnsi="Calibri"/>
      <w:kern w:val="0"/>
      <w:sz w:val="22"/>
      <w:szCs w:val="22"/>
      <w:lang w:eastAsia="en-US"/>
    </w:rPr>
  </w:style>
  <w:style w:type="paragraph" w:styleId="37">
    <w:name w:val="HTML Address"/>
    <w:basedOn w:val="1"/>
    <w:link w:val="162"/>
    <w:autoRedefine/>
    <w:semiHidden/>
    <w:qFormat/>
    <w:uiPriority w:val="99"/>
    <w:pPr>
      <w:spacing w:after="200" w:line="276" w:lineRule="auto"/>
      <w:jc w:val="left"/>
    </w:pPr>
    <w:rPr>
      <w:i/>
      <w:iCs/>
      <w:kern w:val="0"/>
      <w:sz w:val="20"/>
    </w:rPr>
  </w:style>
  <w:style w:type="paragraph" w:styleId="38">
    <w:name w:val="toc 5"/>
    <w:basedOn w:val="1"/>
    <w:autoRedefine/>
    <w:semiHidden/>
    <w:qFormat/>
    <w:uiPriority w:val="99"/>
    <w:pPr>
      <w:ind w:left="840"/>
      <w:jc w:val="left"/>
    </w:pPr>
    <w:rPr>
      <w:sz w:val="18"/>
      <w:szCs w:val="18"/>
    </w:rPr>
  </w:style>
  <w:style w:type="paragraph" w:styleId="39">
    <w:name w:val="toc 3"/>
    <w:basedOn w:val="1"/>
    <w:autoRedefine/>
    <w:qFormat/>
    <w:uiPriority w:val="39"/>
    <w:pPr>
      <w:ind w:left="420"/>
      <w:jc w:val="left"/>
    </w:pPr>
    <w:rPr>
      <w:i/>
      <w:iCs/>
      <w:sz w:val="20"/>
      <w:szCs w:val="20"/>
    </w:rPr>
  </w:style>
  <w:style w:type="paragraph" w:styleId="40">
    <w:name w:val="Plain Text"/>
    <w:basedOn w:val="1"/>
    <w:link w:val="142"/>
    <w:autoRedefine/>
    <w:qFormat/>
    <w:uiPriority w:val="0"/>
    <w:rPr>
      <w:rFonts w:ascii="宋体" w:hAnsi="Courier New"/>
      <w:kern w:val="0"/>
      <w:sz w:val="20"/>
      <w:szCs w:val="21"/>
    </w:rPr>
  </w:style>
  <w:style w:type="paragraph" w:styleId="41">
    <w:name w:val="List Bullet 5"/>
    <w:basedOn w:val="1"/>
    <w:autoRedefine/>
    <w:semiHidden/>
    <w:qFormat/>
    <w:uiPriority w:val="99"/>
    <w:pPr>
      <w:tabs>
        <w:tab w:val="left" w:pos="360"/>
      </w:tabs>
      <w:spacing w:after="200" w:line="276" w:lineRule="auto"/>
      <w:ind w:left="360" w:hanging="360"/>
      <w:jc w:val="left"/>
    </w:pPr>
    <w:rPr>
      <w:rFonts w:ascii="Calibri" w:hAnsi="Calibri"/>
      <w:kern w:val="0"/>
      <w:sz w:val="22"/>
      <w:szCs w:val="22"/>
      <w:lang w:eastAsia="en-US"/>
    </w:rPr>
  </w:style>
  <w:style w:type="paragraph" w:styleId="42">
    <w:name w:val="List Number 4"/>
    <w:basedOn w:val="1"/>
    <w:autoRedefine/>
    <w:semiHidden/>
    <w:qFormat/>
    <w:uiPriority w:val="99"/>
    <w:pPr>
      <w:numPr>
        <w:ilvl w:val="0"/>
        <w:numId w:val="1"/>
      </w:numPr>
      <w:spacing w:after="200" w:line="276" w:lineRule="auto"/>
      <w:jc w:val="left"/>
    </w:pPr>
    <w:rPr>
      <w:rFonts w:ascii="Calibri" w:hAnsi="Calibri"/>
      <w:kern w:val="0"/>
      <w:sz w:val="22"/>
      <w:szCs w:val="22"/>
      <w:lang w:eastAsia="en-US"/>
    </w:rPr>
  </w:style>
  <w:style w:type="paragraph" w:styleId="43">
    <w:name w:val="toc 8"/>
    <w:basedOn w:val="1"/>
    <w:autoRedefine/>
    <w:semiHidden/>
    <w:qFormat/>
    <w:uiPriority w:val="99"/>
    <w:pPr>
      <w:ind w:left="1470"/>
      <w:jc w:val="left"/>
    </w:pPr>
    <w:rPr>
      <w:sz w:val="18"/>
      <w:szCs w:val="18"/>
    </w:rPr>
  </w:style>
  <w:style w:type="paragraph" w:styleId="44">
    <w:name w:val="Date"/>
    <w:basedOn w:val="1"/>
    <w:link w:val="163"/>
    <w:autoRedefine/>
    <w:qFormat/>
    <w:uiPriority w:val="99"/>
    <w:pPr>
      <w:ind w:left="100" w:leftChars="2500"/>
    </w:pPr>
    <w:rPr>
      <w:kern w:val="0"/>
      <w:sz w:val="20"/>
    </w:rPr>
  </w:style>
  <w:style w:type="paragraph" w:styleId="45">
    <w:name w:val="Body Text Indent 2"/>
    <w:basedOn w:val="1"/>
    <w:link w:val="164"/>
    <w:autoRedefine/>
    <w:qFormat/>
    <w:uiPriority w:val="99"/>
    <w:pPr>
      <w:spacing w:line="500" w:lineRule="exact"/>
      <w:ind w:firstLine="442" w:firstLineChars="200"/>
    </w:pPr>
    <w:rPr>
      <w:kern w:val="0"/>
      <w:sz w:val="20"/>
    </w:rPr>
  </w:style>
  <w:style w:type="paragraph" w:styleId="46">
    <w:name w:val="List Continue 5"/>
    <w:basedOn w:val="1"/>
    <w:autoRedefine/>
    <w:semiHidden/>
    <w:qFormat/>
    <w:uiPriority w:val="99"/>
    <w:pPr>
      <w:spacing w:after="120" w:line="276" w:lineRule="auto"/>
      <w:ind w:left="2100" w:leftChars="1000"/>
      <w:jc w:val="left"/>
    </w:pPr>
    <w:rPr>
      <w:rFonts w:ascii="Calibri" w:hAnsi="Calibri"/>
      <w:kern w:val="0"/>
      <w:sz w:val="22"/>
      <w:szCs w:val="22"/>
      <w:lang w:eastAsia="en-US"/>
    </w:rPr>
  </w:style>
  <w:style w:type="paragraph" w:styleId="47">
    <w:name w:val="Balloon Text"/>
    <w:basedOn w:val="1"/>
    <w:link w:val="165"/>
    <w:autoRedefine/>
    <w:qFormat/>
    <w:uiPriority w:val="99"/>
    <w:rPr>
      <w:kern w:val="0"/>
      <w:sz w:val="16"/>
      <w:szCs w:val="16"/>
    </w:rPr>
  </w:style>
  <w:style w:type="paragraph" w:styleId="48">
    <w:name w:val="footer"/>
    <w:basedOn w:val="1"/>
    <w:link w:val="166"/>
    <w:autoRedefine/>
    <w:qFormat/>
    <w:uiPriority w:val="0"/>
    <w:pPr>
      <w:tabs>
        <w:tab w:val="center" w:pos="4153"/>
        <w:tab w:val="right" w:pos="8306"/>
      </w:tabs>
      <w:snapToGrid w:val="0"/>
      <w:jc w:val="left"/>
    </w:pPr>
    <w:rPr>
      <w:kern w:val="0"/>
      <w:sz w:val="18"/>
      <w:szCs w:val="18"/>
    </w:rPr>
  </w:style>
  <w:style w:type="paragraph" w:styleId="49">
    <w:name w:val="envelope return"/>
    <w:basedOn w:val="1"/>
    <w:autoRedefine/>
    <w:semiHidden/>
    <w:qFormat/>
    <w:uiPriority w:val="99"/>
    <w:pPr>
      <w:snapToGrid w:val="0"/>
      <w:spacing w:after="200" w:line="276" w:lineRule="auto"/>
      <w:jc w:val="left"/>
    </w:pPr>
    <w:rPr>
      <w:rFonts w:ascii="Arial" w:hAnsi="Arial" w:cs="Arial"/>
      <w:kern w:val="0"/>
      <w:sz w:val="22"/>
      <w:szCs w:val="22"/>
      <w:lang w:eastAsia="en-US"/>
    </w:rPr>
  </w:style>
  <w:style w:type="paragraph" w:styleId="50">
    <w:name w:val="header"/>
    <w:basedOn w:val="1"/>
    <w:link w:val="167"/>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51">
    <w:name w:val="Signature"/>
    <w:basedOn w:val="1"/>
    <w:link w:val="168"/>
    <w:autoRedefine/>
    <w:qFormat/>
    <w:uiPriority w:val="99"/>
    <w:pPr>
      <w:ind w:left="100" w:leftChars="2100"/>
    </w:pPr>
    <w:rPr>
      <w:kern w:val="0"/>
      <w:sz w:val="20"/>
    </w:rPr>
  </w:style>
  <w:style w:type="paragraph" w:styleId="52">
    <w:name w:val="toc 1"/>
    <w:basedOn w:val="1"/>
    <w:next w:val="1"/>
    <w:autoRedefine/>
    <w:qFormat/>
    <w:uiPriority w:val="39"/>
    <w:pPr>
      <w:spacing w:before="120" w:after="120"/>
      <w:jc w:val="left"/>
    </w:pPr>
    <w:rPr>
      <w:b/>
      <w:bCs/>
      <w:caps/>
      <w:sz w:val="20"/>
      <w:szCs w:val="20"/>
    </w:rPr>
  </w:style>
  <w:style w:type="paragraph" w:styleId="53">
    <w:name w:val="List Continue 4"/>
    <w:basedOn w:val="1"/>
    <w:autoRedefine/>
    <w:qFormat/>
    <w:uiPriority w:val="99"/>
    <w:pPr>
      <w:spacing w:after="120"/>
      <w:ind w:left="1680" w:leftChars="800"/>
    </w:pPr>
  </w:style>
  <w:style w:type="paragraph" w:styleId="54">
    <w:name w:val="toc 4"/>
    <w:basedOn w:val="1"/>
    <w:autoRedefine/>
    <w:semiHidden/>
    <w:qFormat/>
    <w:uiPriority w:val="99"/>
    <w:pPr>
      <w:ind w:left="630"/>
      <w:jc w:val="left"/>
    </w:pPr>
    <w:rPr>
      <w:sz w:val="18"/>
      <w:szCs w:val="18"/>
    </w:rPr>
  </w:style>
  <w:style w:type="paragraph" w:styleId="55">
    <w:name w:val="Subtitle"/>
    <w:basedOn w:val="1"/>
    <w:link w:val="169"/>
    <w:autoRedefine/>
    <w:qFormat/>
    <w:uiPriority w:val="11"/>
    <w:pPr>
      <w:spacing w:before="240" w:after="60" w:line="312" w:lineRule="auto"/>
      <w:jc w:val="center"/>
      <w:outlineLvl w:val="1"/>
    </w:pPr>
    <w:rPr>
      <w:rFonts w:ascii="Cambria" w:hAnsi="Cambria"/>
      <w:b/>
      <w:bCs/>
      <w:kern w:val="28"/>
      <w:sz w:val="32"/>
      <w:szCs w:val="32"/>
    </w:rPr>
  </w:style>
  <w:style w:type="paragraph" w:styleId="56">
    <w:name w:val="List Number 5"/>
    <w:basedOn w:val="1"/>
    <w:autoRedefine/>
    <w:semiHidden/>
    <w:qFormat/>
    <w:uiPriority w:val="99"/>
    <w:pPr>
      <w:tabs>
        <w:tab w:val="left" w:pos="360"/>
      </w:tabs>
      <w:spacing w:after="200" w:line="276" w:lineRule="auto"/>
      <w:ind w:left="360" w:hanging="360"/>
      <w:jc w:val="left"/>
    </w:pPr>
    <w:rPr>
      <w:rFonts w:ascii="Calibri" w:hAnsi="Calibri"/>
      <w:kern w:val="0"/>
      <w:sz w:val="22"/>
      <w:szCs w:val="22"/>
      <w:lang w:eastAsia="en-US"/>
    </w:rPr>
  </w:style>
  <w:style w:type="paragraph" w:styleId="57">
    <w:name w:val="List"/>
    <w:basedOn w:val="1"/>
    <w:autoRedefine/>
    <w:qFormat/>
    <w:uiPriority w:val="99"/>
    <w:pPr>
      <w:ind w:left="200" w:hanging="200" w:hangingChars="200"/>
    </w:pPr>
  </w:style>
  <w:style w:type="paragraph" w:styleId="58">
    <w:name w:val="toc 6"/>
    <w:basedOn w:val="1"/>
    <w:autoRedefine/>
    <w:semiHidden/>
    <w:qFormat/>
    <w:uiPriority w:val="99"/>
    <w:pPr>
      <w:ind w:left="1050"/>
      <w:jc w:val="left"/>
    </w:pPr>
    <w:rPr>
      <w:sz w:val="18"/>
      <w:szCs w:val="18"/>
    </w:rPr>
  </w:style>
  <w:style w:type="paragraph" w:styleId="59">
    <w:name w:val="List 5"/>
    <w:basedOn w:val="1"/>
    <w:autoRedefine/>
    <w:qFormat/>
    <w:uiPriority w:val="99"/>
    <w:pPr>
      <w:ind w:left="100" w:leftChars="800" w:hanging="200" w:hangingChars="200"/>
    </w:pPr>
  </w:style>
  <w:style w:type="paragraph" w:styleId="60">
    <w:name w:val="Body Text Indent 3"/>
    <w:basedOn w:val="1"/>
    <w:link w:val="170"/>
    <w:autoRedefine/>
    <w:qFormat/>
    <w:uiPriority w:val="99"/>
    <w:pPr>
      <w:tabs>
        <w:tab w:val="left" w:pos="1134"/>
        <w:tab w:val="left" w:pos="5481"/>
        <w:tab w:val="left" w:pos="5859"/>
      </w:tabs>
      <w:spacing w:line="500" w:lineRule="exact"/>
      <w:ind w:firstLine="8275" w:firstLineChars="1200"/>
    </w:pPr>
    <w:rPr>
      <w:kern w:val="0"/>
      <w:sz w:val="16"/>
      <w:szCs w:val="16"/>
    </w:rPr>
  </w:style>
  <w:style w:type="paragraph" w:styleId="61">
    <w:name w:val="toc 2"/>
    <w:basedOn w:val="1"/>
    <w:autoRedefine/>
    <w:qFormat/>
    <w:uiPriority w:val="39"/>
    <w:pPr>
      <w:tabs>
        <w:tab w:val="right" w:leader="dot" w:pos="8597"/>
      </w:tabs>
      <w:spacing w:line="360" w:lineRule="auto"/>
      <w:ind w:left="210"/>
      <w:jc w:val="left"/>
    </w:pPr>
    <w:rPr>
      <w:smallCaps/>
      <w:sz w:val="20"/>
      <w:szCs w:val="20"/>
    </w:rPr>
  </w:style>
  <w:style w:type="paragraph" w:styleId="62">
    <w:name w:val="toc 9"/>
    <w:basedOn w:val="1"/>
    <w:autoRedefine/>
    <w:semiHidden/>
    <w:qFormat/>
    <w:uiPriority w:val="99"/>
    <w:pPr>
      <w:ind w:left="1680"/>
      <w:jc w:val="left"/>
    </w:pPr>
    <w:rPr>
      <w:sz w:val="18"/>
      <w:szCs w:val="18"/>
    </w:rPr>
  </w:style>
  <w:style w:type="paragraph" w:styleId="63">
    <w:name w:val="Body Text 2"/>
    <w:basedOn w:val="1"/>
    <w:link w:val="171"/>
    <w:autoRedefine/>
    <w:qFormat/>
    <w:uiPriority w:val="99"/>
    <w:rPr>
      <w:kern w:val="0"/>
      <w:sz w:val="20"/>
    </w:rPr>
  </w:style>
  <w:style w:type="paragraph" w:styleId="64">
    <w:name w:val="List 4"/>
    <w:basedOn w:val="1"/>
    <w:autoRedefine/>
    <w:qFormat/>
    <w:uiPriority w:val="99"/>
    <w:pPr>
      <w:ind w:left="100" w:leftChars="600" w:hanging="200" w:hangingChars="200"/>
    </w:pPr>
  </w:style>
  <w:style w:type="paragraph" w:styleId="65">
    <w:name w:val="List Continue 2"/>
    <w:basedOn w:val="1"/>
    <w:autoRedefine/>
    <w:qFormat/>
    <w:uiPriority w:val="99"/>
    <w:pPr>
      <w:spacing w:after="120"/>
      <w:ind w:left="840" w:leftChars="400"/>
    </w:pPr>
  </w:style>
  <w:style w:type="paragraph" w:styleId="66">
    <w:name w:val="Message Header"/>
    <w:basedOn w:val="1"/>
    <w:link w:val="172"/>
    <w:autoRedefine/>
    <w:semiHidden/>
    <w:qFormat/>
    <w:uiPriority w:val="99"/>
    <w:pPr>
      <w:pBdr>
        <w:top w:val="single" w:color="auto" w:sz="6" w:space="1"/>
        <w:left w:val="single" w:color="auto" w:sz="6" w:space="1"/>
        <w:bottom w:val="single" w:color="auto" w:sz="6" w:space="1"/>
        <w:right w:val="single" w:color="auto" w:sz="6" w:space="1"/>
      </w:pBdr>
      <w:shd w:val="pct20" w:color="auto" w:fill="auto"/>
      <w:spacing w:after="200" w:line="276" w:lineRule="auto"/>
      <w:ind w:left="1080" w:leftChars="500" w:hanging="1080" w:hangingChars="500"/>
      <w:jc w:val="left"/>
    </w:pPr>
    <w:rPr>
      <w:rFonts w:ascii="Cambria" w:hAnsi="Cambria"/>
      <w:kern w:val="0"/>
      <w:sz w:val="24"/>
    </w:rPr>
  </w:style>
  <w:style w:type="paragraph" w:styleId="67">
    <w:name w:val="HTML Preformatted"/>
    <w:basedOn w:val="1"/>
    <w:link w:val="173"/>
    <w:autoRedefine/>
    <w:semiHidden/>
    <w:qFormat/>
    <w:uiPriority w:val="99"/>
    <w:pPr>
      <w:spacing w:after="200" w:line="276" w:lineRule="auto"/>
      <w:jc w:val="left"/>
    </w:pPr>
    <w:rPr>
      <w:rFonts w:ascii="Courier New" w:hAnsi="Courier New"/>
      <w:kern w:val="0"/>
      <w:sz w:val="20"/>
      <w:szCs w:val="20"/>
    </w:rPr>
  </w:style>
  <w:style w:type="paragraph" w:styleId="68">
    <w:name w:val="Normal (Web)"/>
    <w:basedOn w:val="1"/>
    <w:autoRedefine/>
    <w:qFormat/>
    <w:uiPriority w:val="0"/>
    <w:pPr>
      <w:spacing w:before="100" w:beforeAutospacing="1" w:after="100" w:afterAutospacing="1"/>
      <w:jc w:val="left"/>
    </w:pPr>
    <w:rPr>
      <w:rFonts w:ascii="宋体" w:hAnsi="宋体" w:cs="宋体"/>
      <w:kern w:val="0"/>
      <w:sz w:val="24"/>
    </w:rPr>
  </w:style>
  <w:style w:type="paragraph" w:styleId="69">
    <w:name w:val="List Continue 3"/>
    <w:basedOn w:val="1"/>
    <w:autoRedefine/>
    <w:qFormat/>
    <w:uiPriority w:val="99"/>
    <w:pPr>
      <w:spacing w:after="120"/>
      <w:ind w:left="1260" w:leftChars="600"/>
    </w:pPr>
  </w:style>
  <w:style w:type="paragraph" w:styleId="70">
    <w:name w:val="Title"/>
    <w:basedOn w:val="1"/>
    <w:link w:val="174"/>
    <w:autoRedefine/>
    <w:qFormat/>
    <w:uiPriority w:val="10"/>
    <w:pPr>
      <w:spacing w:before="240" w:after="60" w:line="276" w:lineRule="auto"/>
      <w:jc w:val="center"/>
      <w:outlineLvl w:val="0"/>
    </w:pPr>
    <w:rPr>
      <w:rFonts w:ascii="Cambria" w:hAnsi="Cambria"/>
      <w:b/>
      <w:bCs/>
      <w:kern w:val="0"/>
      <w:sz w:val="32"/>
      <w:szCs w:val="32"/>
    </w:rPr>
  </w:style>
  <w:style w:type="paragraph" w:styleId="71">
    <w:name w:val="annotation subject"/>
    <w:basedOn w:val="25"/>
    <w:link w:val="175"/>
    <w:autoRedefine/>
    <w:semiHidden/>
    <w:qFormat/>
    <w:uiPriority w:val="99"/>
    <w:pPr>
      <w:spacing w:after="0" w:line="240" w:lineRule="auto"/>
    </w:pPr>
    <w:rPr>
      <w:rFonts w:ascii="Calibri" w:hAnsi="Calibri"/>
      <w:b/>
      <w:bCs/>
      <w:sz w:val="22"/>
      <w:lang w:eastAsia="en-US"/>
    </w:rPr>
  </w:style>
  <w:style w:type="paragraph" w:styleId="72">
    <w:name w:val="Body Text First Indent"/>
    <w:basedOn w:val="30"/>
    <w:link w:val="176"/>
    <w:autoRedefine/>
    <w:qFormat/>
    <w:uiPriority w:val="99"/>
    <w:pPr>
      <w:spacing w:line="400" w:lineRule="exact"/>
      <w:ind w:firstLine="200" w:firstLineChars="200"/>
    </w:pPr>
    <w:rPr>
      <w:sz w:val="21"/>
    </w:rPr>
  </w:style>
  <w:style w:type="paragraph" w:styleId="73">
    <w:name w:val="Body Text First Indent 2"/>
    <w:basedOn w:val="31"/>
    <w:link w:val="177"/>
    <w:autoRedefine/>
    <w:semiHidden/>
    <w:qFormat/>
    <w:uiPriority w:val="99"/>
    <w:pPr>
      <w:spacing w:after="120" w:line="276" w:lineRule="auto"/>
      <w:ind w:left="420" w:leftChars="200" w:firstLine="420" w:firstLineChars="200"/>
      <w:jc w:val="left"/>
    </w:pPr>
    <w:rPr>
      <w:rFonts w:ascii="Calibri" w:hAnsi="Calibri"/>
      <w:sz w:val="22"/>
      <w:szCs w:val="22"/>
      <w:lang w:eastAsia="en-US"/>
    </w:rPr>
  </w:style>
  <w:style w:type="table" w:styleId="75">
    <w:name w:val="Table Grid"/>
    <w:basedOn w:val="74"/>
    <w:autoRedefine/>
    <w:semiHidden/>
    <w:qFormat/>
    <w:uiPriority w:val="99"/>
    <w:pPr>
      <w:widowControl w:val="0"/>
      <w:spacing w:after="200" w:line="276" w:lineRule="auto"/>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6">
    <w:name w:val="Table Theme"/>
    <w:basedOn w:val="74"/>
    <w:autoRedefine/>
    <w:semiHidden/>
    <w:qFormat/>
    <w:uiPriority w:val="99"/>
    <w:pPr>
      <w:widowControl w:val="0"/>
      <w:spacing w:after="200" w:line="276" w:lineRule="auto"/>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7">
    <w:name w:val="Table Colorful 1"/>
    <w:basedOn w:val="74"/>
    <w:autoRedefine/>
    <w:semiHidden/>
    <w:qFormat/>
    <w:uiPriority w:val="99"/>
    <w:pPr>
      <w:widowControl w:val="0"/>
      <w:spacing w:after="200" w:line="276" w:lineRule="auto"/>
    </w:pPr>
    <w:rPr>
      <w:rFonts w:ascii="Calibri" w:hAnsi="Calibri"/>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78">
    <w:name w:val="Table Colorful 2"/>
    <w:basedOn w:val="74"/>
    <w:autoRedefine/>
    <w:semiHidden/>
    <w:qFormat/>
    <w:uiPriority w:val="99"/>
    <w:pPr>
      <w:widowControl w:val="0"/>
      <w:spacing w:after="200" w:line="276" w:lineRule="auto"/>
    </w:pPr>
    <w:rPr>
      <w:rFonts w:ascii="Calibri" w:hAnsi="Calibri"/>
    </w:rPr>
    <w:tblPr>
      <w:tblBorders>
        <w:bottom w:val="single" w:color="000000" w:sz="12" w:space="0"/>
      </w:tblBorders>
    </w:tbl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79">
    <w:name w:val="Table Colorful 3"/>
    <w:basedOn w:val="74"/>
    <w:autoRedefine/>
    <w:semiHidden/>
    <w:qFormat/>
    <w:uiPriority w:val="99"/>
    <w:pPr>
      <w:widowControl w:val="0"/>
      <w:spacing w:after="200" w:line="276" w:lineRule="auto"/>
    </w:pPr>
    <w:rPr>
      <w:rFonts w:ascii="Calibri" w:hAnsi="Calibri"/>
    </w:rPr>
    <w:tblPr>
      <w:tblBorders>
        <w:top w:val="single" w:color="000000" w:sz="18" w:space="0"/>
        <w:left w:val="single" w:color="000000" w:sz="18" w:space="0"/>
        <w:bottom w:val="single" w:color="000000" w:sz="18" w:space="0"/>
        <w:right w:val="single" w:color="000000" w:sz="18" w:space="0"/>
        <w:insideH w:val="single" w:color="C0C0C0" w:sz="6" w:space="0"/>
      </w:tblBorders>
    </w:tbl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80">
    <w:name w:val="Table Elegant"/>
    <w:basedOn w:val="74"/>
    <w:autoRedefine/>
    <w:semiHidden/>
    <w:qFormat/>
    <w:uiPriority w:val="99"/>
    <w:pPr>
      <w:widowControl w:val="0"/>
      <w:spacing w:after="200" w:line="276" w:lineRule="auto"/>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blStylePr w:type="firstRow">
      <w:rPr>
        <w:caps/>
        <w:color w:val="auto"/>
      </w:rPr>
      <w:tblPr/>
      <w:tcPr>
        <w:tcBorders>
          <w:tl2br w:val="nil"/>
          <w:tr2bl w:val="nil"/>
        </w:tcBorders>
      </w:tcPr>
    </w:tblStylePr>
  </w:style>
  <w:style w:type="table" w:styleId="81">
    <w:name w:val="Table Classic 1"/>
    <w:basedOn w:val="74"/>
    <w:autoRedefine/>
    <w:semiHidden/>
    <w:qFormat/>
    <w:uiPriority w:val="99"/>
    <w:pPr>
      <w:widowControl w:val="0"/>
      <w:spacing w:after="200" w:line="276" w:lineRule="auto"/>
    </w:pPr>
    <w:rPr>
      <w:rFonts w:ascii="Calibri" w:hAnsi="Calibri"/>
    </w:rPr>
    <w:tblPr>
      <w:tblBorders>
        <w:top w:val="single" w:color="000000" w:sz="12" w:space="0"/>
        <w:bottom w:val="single" w:color="000000" w:sz="12" w:space="0"/>
      </w:tblBorders>
    </w:tbl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82">
    <w:name w:val="Table Classic 2"/>
    <w:basedOn w:val="74"/>
    <w:autoRedefine/>
    <w:semiHidden/>
    <w:qFormat/>
    <w:uiPriority w:val="99"/>
    <w:pPr>
      <w:widowControl w:val="0"/>
      <w:spacing w:after="200" w:line="276" w:lineRule="auto"/>
    </w:pPr>
    <w:rPr>
      <w:rFonts w:ascii="Calibri" w:hAnsi="Calibri"/>
    </w:rPr>
    <w:tblPr>
      <w:tblBorders>
        <w:top w:val="single" w:color="000000" w:sz="12" w:space="0"/>
        <w:bottom w:val="single" w:color="000000" w:sz="12" w:space="0"/>
      </w:tblBorders>
    </w:tbl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83">
    <w:name w:val="Table Classic 3"/>
    <w:basedOn w:val="74"/>
    <w:autoRedefine/>
    <w:semiHidden/>
    <w:qFormat/>
    <w:uiPriority w:val="99"/>
    <w:pPr>
      <w:widowControl w:val="0"/>
      <w:spacing w:after="200" w:line="276" w:lineRule="auto"/>
    </w:pPr>
    <w:rPr>
      <w:rFonts w:ascii="Calibri" w:hAnsi="Calibri"/>
      <w:color w:val="000080"/>
    </w:rPr>
    <w:tblPr>
      <w:tblBorders>
        <w:top w:val="single" w:color="000000" w:sz="12" w:space="0"/>
        <w:left w:val="single" w:color="000000" w:sz="12" w:space="0"/>
        <w:bottom w:val="single" w:color="000000" w:sz="12" w:space="0"/>
        <w:right w:val="single" w:color="000000" w:sz="12" w:space="0"/>
      </w:tblBorders>
    </w:tbl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84">
    <w:name w:val="Table Classic 4"/>
    <w:basedOn w:val="74"/>
    <w:autoRedefine/>
    <w:semiHidden/>
    <w:qFormat/>
    <w:uiPriority w:val="99"/>
    <w:pPr>
      <w:widowControl w:val="0"/>
      <w:spacing w:after="200" w:line="276" w:lineRule="auto"/>
    </w:pPr>
    <w:rPr>
      <w:rFonts w:ascii="Calibri" w:hAnsi="Calibri"/>
    </w:rPr>
    <w:tblPr>
      <w:tblBorders>
        <w:top w:val="single" w:color="000000" w:sz="12" w:space="0"/>
        <w:left w:val="single" w:color="000000" w:sz="6" w:space="0"/>
        <w:bottom w:val="single" w:color="000000" w:sz="12" w:space="0"/>
        <w:right w:val="single" w:color="000000" w:sz="6" w:space="0"/>
      </w:tblBorders>
    </w:tbl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85">
    <w:name w:val="Table Simple 1"/>
    <w:basedOn w:val="74"/>
    <w:autoRedefine/>
    <w:semiHidden/>
    <w:qFormat/>
    <w:uiPriority w:val="99"/>
    <w:pPr>
      <w:widowControl w:val="0"/>
      <w:spacing w:after="200" w:line="276" w:lineRule="auto"/>
    </w:pPr>
    <w:rPr>
      <w:rFonts w:ascii="Calibri" w:hAnsi="Calibri"/>
    </w:rPr>
    <w:tblPr>
      <w:tblBorders>
        <w:top w:val="single" w:color="008000" w:sz="12" w:space="0"/>
        <w:bottom w:val="single" w:color="008000" w:sz="12" w:space="0"/>
      </w:tblBorders>
    </w:tbl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86">
    <w:name w:val="Table Simple 2"/>
    <w:basedOn w:val="74"/>
    <w:autoRedefine/>
    <w:semiHidden/>
    <w:qFormat/>
    <w:uiPriority w:val="99"/>
    <w:pPr>
      <w:widowControl w:val="0"/>
      <w:spacing w:after="200" w:line="276" w:lineRule="auto"/>
    </w:pPr>
    <w:rPr>
      <w:rFonts w:ascii="Calibri" w:hAnsi="Calibri"/>
    </w:r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87">
    <w:name w:val="Table Simple 3"/>
    <w:basedOn w:val="74"/>
    <w:autoRedefine/>
    <w:semiHidden/>
    <w:qFormat/>
    <w:uiPriority w:val="99"/>
    <w:pPr>
      <w:widowControl w:val="0"/>
      <w:spacing w:after="200" w:line="276" w:lineRule="auto"/>
    </w:pPr>
    <w:rPr>
      <w:rFonts w:ascii="Calibri" w:hAnsi="Calibri"/>
    </w:rPr>
    <w:tblPr>
      <w:tblBorders>
        <w:top w:val="single" w:color="000000" w:sz="12" w:space="0"/>
        <w:left w:val="single" w:color="000000" w:sz="12" w:space="0"/>
        <w:bottom w:val="single" w:color="000000" w:sz="12" w:space="0"/>
        <w:right w:val="single" w:color="000000" w:sz="12" w:space="0"/>
      </w:tblBorders>
    </w:tblPr>
    <w:tblStylePr w:type="firstRow">
      <w:rPr>
        <w:b/>
        <w:bCs/>
        <w:color w:val="FFFFFF"/>
      </w:rPr>
      <w:tblPr/>
      <w:tcPr>
        <w:tcBorders>
          <w:tl2br w:val="nil"/>
          <w:tr2bl w:val="nil"/>
        </w:tcBorders>
        <w:shd w:val="solid" w:color="000000" w:fill="FFFFFF"/>
      </w:tcPr>
    </w:tblStylePr>
  </w:style>
  <w:style w:type="table" w:styleId="88">
    <w:name w:val="Table Subtle 1"/>
    <w:basedOn w:val="74"/>
    <w:autoRedefine/>
    <w:semiHidden/>
    <w:qFormat/>
    <w:uiPriority w:val="99"/>
    <w:pPr>
      <w:widowControl w:val="0"/>
      <w:spacing w:after="200" w:line="276" w:lineRule="auto"/>
    </w:pPr>
    <w:rPr>
      <w:rFonts w:ascii="Calibri" w:hAnsi="Calibri"/>
    </w:r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89">
    <w:name w:val="Table Subtle 2"/>
    <w:basedOn w:val="74"/>
    <w:autoRedefine/>
    <w:semiHidden/>
    <w:qFormat/>
    <w:uiPriority w:val="99"/>
    <w:pPr>
      <w:widowControl w:val="0"/>
      <w:spacing w:after="200" w:line="276" w:lineRule="auto"/>
    </w:pPr>
    <w:rPr>
      <w:rFonts w:ascii="Calibri" w:hAnsi="Calibri"/>
    </w:r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90">
    <w:name w:val="Table 3D effects 1"/>
    <w:basedOn w:val="74"/>
    <w:autoRedefine/>
    <w:semiHidden/>
    <w:qFormat/>
    <w:uiPriority w:val="99"/>
    <w:pPr>
      <w:widowControl w:val="0"/>
      <w:spacing w:after="200" w:line="276" w:lineRule="auto"/>
    </w:pPr>
    <w:rPr>
      <w:rFonts w:ascii="Calibri" w:hAnsi="Calibri"/>
    </w:rPr>
    <w:tbl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1">
    <w:name w:val="Table 3D effects 2"/>
    <w:basedOn w:val="74"/>
    <w:autoRedefine/>
    <w:semiHidden/>
    <w:qFormat/>
    <w:uiPriority w:val="99"/>
    <w:pPr>
      <w:widowControl w:val="0"/>
      <w:spacing w:after="200" w:line="276" w:lineRule="auto"/>
    </w:pPr>
    <w:rPr>
      <w:rFonts w:ascii="Calibri" w:hAnsi="Calibri"/>
    </w:rPr>
    <w:tblPr>
      <w:tblStyleRow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2">
    <w:name w:val="Table 3D effects 3"/>
    <w:basedOn w:val="74"/>
    <w:autoRedefine/>
    <w:semiHidden/>
    <w:qFormat/>
    <w:uiPriority w:val="99"/>
    <w:pPr>
      <w:widowControl w:val="0"/>
      <w:spacing w:after="200" w:line="276" w:lineRule="auto"/>
    </w:pPr>
    <w:rPr>
      <w:rFonts w:ascii="Calibri" w:hAnsi="Calibri"/>
    </w:r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3">
    <w:name w:val="Table List 1"/>
    <w:basedOn w:val="74"/>
    <w:autoRedefine/>
    <w:semiHidden/>
    <w:qFormat/>
    <w:uiPriority w:val="99"/>
    <w:pPr>
      <w:widowControl w:val="0"/>
      <w:spacing w:after="200" w:line="276" w:lineRule="auto"/>
    </w:pPr>
    <w:rPr>
      <w:rFonts w:ascii="Calibri" w:hAnsi="Calibri"/>
    </w:r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94">
    <w:name w:val="Table List 2"/>
    <w:basedOn w:val="74"/>
    <w:autoRedefine/>
    <w:semiHidden/>
    <w:qFormat/>
    <w:uiPriority w:val="99"/>
    <w:pPr>
      <w:widowControl w:val="0"/>
      <w:spacing w:after="200" w:line="276" w:lineRule="auto"/>
    </w:pPr>
    <w:rPr>
      <w:rFonts w:ascii="Calibri" w:hAnsi="Calibri"/>
    </w:r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95">
    <w:name w:val="Table List 3"/>
    <w:basedOn w:val="74"/>
    <w:autoRedefine/>
    <w:semiHidden/>
    <w:qFormat/>
    <w:uiPriority w:val="99"/>
    <w:pPr>
      <w:widowControl w:val="0"/>
      <w:spacing w:after="200" w:line="276" w:lineRule="auto"/>
    </w:pPr>
    <w:rPr>
      <w:rFonts w:ascii="Calibri" w:hAnsi="Calibri"/>
    </w:rPr>
    <w:tblPr>
      <w:tblBorders>
        <w:top w:val="single" w:color="000000" w:sz="12" w:space="0"/>
        <w:bottom w:val="single" w:color="000000" w:sz="12" w:space="0"/>
        <w:insideH w:val="single" w:color="000000" w:sz="6" w:space="0"/>
      </w:tblBorders>
    </w:tbl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96">
    <w:name w:val="Table List 4"/>
    <w:basedOn w:val="74"/>
    <w:autoRedefine/>
    <w:semiHidden/>
    <w:qFormat/>
    <w:uiPriority w:val="99"/>
    <w:pPr>
      <w:widowControl w:val="0"/>
      <w:spacing w:after="200" w:line="276" w:lineRule="auto"/>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tblBorders>
    </w:tblPr>
    <w:tblStylePr w:type="firstRow">
      <w:rPr>
        <w:b/>
        <w:bCs/>
        <w:color w:val="FFFFFF"/>
      </w:rPr>
      <w:tblPr/>
      <w:tcPr>
        <w:tcBorders>
          <w:left w:val="single" w:color="000000" w:sz="12" w:space="0"/>
          <w:tl2br w:val="nil"/>
          <w:tr2bl w:val="nil"/>
        </w:tcBorders>
        <w:shd w:val="solid" w:color="808080" w:fill="FFFFFF"/>
      </w:tcPr>
    </w:tblStylePr>
  </w:style>
  <w:style w:type="table" w:styleId="97">
    <w:name w:val="Table List 5"/>
    <w:basedOn w:val="74"/>
    <w:autoRedefine/>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tblBorders>
    </w:tbl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98">
    <w:name w:val="Table List 6"/>
    <w:basedOn w:val="74"/>
    <w:autoRedefine/>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tblBorders>
    </w:tbl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99">
    <w:name w:val="Table List 7"/>
    <w:basedOn w:val="74"/>
    <w:autoRedefine/>
    <w:semiHidden/>
    <w:qFormat/>
    <w:uiPriority w:val="99"/>
    <w:pPr>
      <w:widowControl w:val="0"/>
      <w:spacing w:after="200" w:line="276" w:lineRule="auto"/>
    </w:pPr>
    <w:rPr>
      <w:rFonts w:ascii="Calibri" w:hAnsi="Calibri"/>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00">
    <w:name w:val="Table List 8"/>
    <w:basedOn w:val="74"/>
    <w:autoRedefine/>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01">
    <w:name w:val="Table Contemporary"/>
    <w:basedOn w:val="74"/>
    <w:autoRedefine/>
    <w:semiHidden/>
    <w:qFormat/>
    <w:uiPriority w:val="99"/>
    <w:pPr>
      <w:widowControl w:val="0"/>
      <w:spacing w:after="200" w:line="276" w:lineRule="auto"/>
    </w:pPr>
    <w:rPr>
      <w:rFonts w:ascii="Calibri" w:hAnsi="Calibri"/>
    </w:r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02">
    <w:name w:val="Table Columns 1"/>
    <w:basedOn w:val="74"/>
    <w:autoRedefine/>
    <w:semiHidden/>
    <w:qFormat/>
    <w:uiPriority w:val="99"/>
    <w:pPr>
      <w:widowControl w:val="0"/>
      <w:spacing w:after="200" w:line="276" w:lineRule="auto"/>
    </w:pPr>
    <w:rPr>
      <w:rFonts w:ascii="Calibri" w:hAnsi="Calibri"/>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Columns 2"/>
    <w:basedOn w:val="74"/>
    <w:autoRedefine/>
    <w:semiHidden/>
    <w:qFormat/>
    <w:uiPriority w:val="99"/>
    <w:pPr>
      <w:widowControl w:val="0"/>
      <w:spacing w:after="200" w:line="276" w:lineRule="auto"/>
    </w:pPr>
    <w:rPr>
      <w:rFonts w:ascii="Calibri" w:hAnsi="Calibri"/>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Columns 3"/>
    <w:basedOn w:val="74"/>
    <w:autoRedefine/>
    <w:semiHidden/>
    <w:qFormat/>
    <w:uiPriority w:val="99"/>
    <w:pPr>
      <w:widowControl w:val="0"/>
      <w:spacing w:after="200" w:line="276" w:lineRule="auto"/>
    </w:pPr>
    <w:rPr>
      <w:rFonts w:ascii="Calibri" w:hAnsi="Calibri"/>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5">
    <w:name w:val="Table Columns 4"/>
    <w:basedOn w:val="74"/>
    <w:autoRedefine/>
    <w:semiHidden/>
    <w:qFormat/>
    <w:uiPriority w:val="99"/>
    <w:pPr>
      <w:widowControl w:val="0"/>
      <w:spacing w:after="200" w:line="276" w:lineRule="auto"/>
    </w:pPr>
    <w:rPr>
      <w:rFonts w:ascii="Calibri" w:hAnsi="Calibri"/>
    </w:r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6">
    <w:name w:val="Table Columns 5"/>
    <w:basedOn w:val="74"/>
    <w:autoRedefine/>
    <w:semiHidden/>
    <w:qFormat/>
    <w:uiPriority w:val="99"/>
    <w:pPr>
      <w:widowControl w:val="0"/>
      <w:spacing w:after="200" w:line="276" w:lineRule="auto"/>
    </w:pPr>
    <w:rPr>
      <w:rFonts w:ascii="Calibri" w:hAnsi="Calibri"/>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7">
    <w:name w:val="Table Grid 1"/>
    <w:basedOn w:val="74"/>
    <w:autoRedefine/>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08">
    <w:name w:val="Table Grid 2"/>
    <w:basedOn w:val="74"/>
    <w:autoRedefine/>
    <w:semiHidden/>
    <w:qFormat/>
    <w:uiPriority w:val="99"/>
    <w:pPr>
      <w:widowControl w:val="0"/>
      <w:spacing w:after="200" w:line="276" w:lineRule="auto"/>
    </w:pPr>
    <w:rPr>
      <w:rFonts w:ascii="Calibri" w:hAnsi="Calibri"/>
    </w:rPr>
    <w:tblPr>
      <w:tblBorders>
        <w:insideH w:val="single" w:color="000000" w:sz="6" w:space="0"/>
        <w:insideV w:val="single" w:color="000000" w:sz="6" w:space="0"/>
      </w:tblBorders>
    </w:tbl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09">
    <w:name w:val="Table Grid 3"/>
    <w:basedOn w:val="74"/>
    <w:autoRedefine/>
    <w:semiHidden/>
    <w:qFormat/>
    <w:uiPriority w:val="99"/>
    <w:pPr>
      <w:widowControl w:val="0"/>
      <w:spacing w:after="200" w:line="276" w:lineRule="auto"/>
    </w:pPr>
    <w:rPr>
      <w:rFonts w:ascii="Calibri" w:hAnsi="Calibri"/>
    </w:rPr>
    <w:tblPr>
      <w:tblBorders>
        <w:top w:val="single" w:color="000000" w:sz="6" w:space="0"/>
        <w:left w:val="single" w:color="000000" w:sz="12" w:space="0"/>
        <w:bottom w:val="single" w:color="000000" w:sz="6" w:space="0"/>
        <w:right w:val="single" w:color="000000" w:sz="12" w:space="0"/>
        <w:insideV w:val="single" w:color="000000" w:sz="6" w:space="0"/>
      </w:tblBorders>
    </w:tbl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0">
    <w:name w:val="Table Grid 4"/>
    <w:basedOn w:val="74"/>
    <w:autoRedefine/>
    <w:semiHidden/>
    <w:qFormat/>
    <w:uiPriority w:val="99"/>
    <w:pPr>
      <w:widowControl w:val="0"/>
      <w:spacing w:after="200" w:line="276" w:lineRule="auto"/>
    </w:pPr>
    <w:rPr>
      <w:rFonts w:ascii="Calibri" w:hAnsi="Calibri"/>
    </w:rPr>
    <w:tblPr>
      <w:tblBorders>
        <w:left w:val="single" w:color="000000" w:sz="12" w:space="0"/>
        <w:right w:val="single" w:color="000000" w:sz="12" w:space="0"/>
        <w:insideH w:val="single" w:color="000000" w:sz="6" w:space="0"/>
        <w:insideV w:val="single" w:color="000000" w:sz="6" w:space="0"/>
      </w:tblBorders>
    </w:tbl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1">
    <w:name w:val="Table Grid 5"/>
    <w:basedOn w:val="74"/>
    <w:autoRedefine/>
    <w:semiHidden/>
    <w:qFormat/>
    <w:uiPriority w:val="99"/>
    <w:pPr>
      <w:widowControl w:val="0"/>
      <w:spacing w:after="200" w:line="276" w:lineRule="auto"/>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2">
    <w:name w:val="Table Grid 6"/>
    <w:basedOn w:val="74"/>
    <w:autoRedefine/>
    <w:semiHidden/>
    <w:qFormat/>
    <w:uiPriority w:val="99"/>
    <w:pPr>
      <w:widowControl w:val="0"/>
      <w:spacing w:after="200" w:line="276" w:lineRule="auto"/>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7"/>
    <w:basedOn w:val="74"/>
    <w:autoRedefine/>
    <w:semiHidden/>
    <w:qFormat/>
    <w:uiPriority w:val="99"/>
    <w:pPr>
      <w:widowControl w:val="0"/>
      <w:spacing w:after="200" w:line="276" w:lineRule="auto"/>
    </w:pPr>
    <w:rPr>
      <w:rFonts w:ascii="Calibri" w:hAnsi="Calibri"/>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4">
    <w:name w:val="Table Grid 8"/>
    <w:basedOn w:val="74"/>
    <w:autoRedefine/>
    <w:semiHidden/>
    <w:qFormat/>
    <w:uiPriority w:val="99"/>
    <w:pPr>
      <w:widowControl w:val="0"/>
      <w:spacing w:after="200" w:line="276" w:lineRule="auto"/>
    </w:pPr>
    <w:rPr>
      <w:rFonts w:ascii="Calibri" w:hAnsi="Calibri"/>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15">
    <w:name w:val="Table Web 1"/>
    <w:basedOn w:val="74"/>
    <w:autoRedefine/>
    <w:semiHidden/>
    <w:qFormat/>
    <w:uiPriority w:val="99"/>
    <w:pPr>
      <w:widowControl w:val="0"/>
      <w:spacing w:after="200" w:line="276" w:lineRule="auto"/>
    </w:pPr>
    <w:rPr>
      <w:rFonts w:ascii="Calibri" w:hAnsi="Calibri"/>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blStylePr w:type="firstRow">
      <w:rPr>
        <w:color w:val="auto"/>
      </w:rPr>
      <w:tblPr/>
      <w:tcPr>
        <w:tcBorders>
          <w:tl2br w:val="nil"/>
          <w:tr2bl w:val="nil"/>
        </w:tcBorders>
      </w:tcPr>
    </w:tblStylePr>
  </w:style>
  <w:style w:type="table" w:styleId="116">
    <w:name w:val="Table Web 2"/>
    <w:basedOn w:val="74"/>
    <w:autoRedefine/>
    <w:semiHidden/>
    <w:qFormat/>
    <w:uiPriority w:val="99"/>
    <w:pPr>
      <w:widowControl w:val="0"/>
      <w:spacing w:after="200" w:line="276" w:lineRule="auto"/>
    </w:pPr>
    <w:rPr>
      <w:rFonts w:ascii="Calibri" w:hAnsi="Calibri"/>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blStylePr w:type="firstRow">
      <w:rPr>
        <w:color w:val="auto"/>
      </w:rPr>
      <w:tblPr/>
      <w:tcPr>
        <w:tcBorders>
          <w:tl2br w:val="nil"/>
          <w:tr2bl w:val="nil"/>
        </w:tcBorders>
      </w:tcPr>
    </w:tblStylePr>
  </w:style>
  <w:style w:type="table" w:styleId="117">
    <w:name w:val="Table Web 3"/>
    <w:basedOn w:val="74"/>
    <w:autoRedefine/>
    <w:semiHidden/>
    <w:qFormat/>
    <w:uiPriority w:val="99"/>
    <w:pPr>
      <w:widowControl w:val="0"/>
      <w:spacing w:after="200" w:line="276" w:lineRule="auto"/>
    </w:pPr>
    <w:rPr>
      <w:rFonts w:ascii="Calibri" w:hAnsi="Calibri"/>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blStylePr w:type="firstRow">
      <w:rPr>
        <w:color w:val="auto"/>
      </w:rPr>
      <w:tblPr/>
      <w:tcPr>
        <w:tcBorders>
          <w:tl2br w:val="nil"/>
          <w:tr2bl w:val="nil"/>
        </w:tcBorders>
      </w:tcPr>
    </w:tblStylePr>
  </w:style>
  <w:style w:type="table" w:styleId="118">
    <w:name w:val="Table Professional"/>
    <w:basedOn w:val="74"/>
    <w:autoRedefine/>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b/>
        <w:bCs/>
        <w:color w:val="auto"/>
      </w:rPr>
      <w:tblPr/>
      <w:tcPr>
        <w:tcBorders>
          <w:tl2br w:val="nil"/>
          <w:tr2bl w:val="nil"/>
        </w:tcBorders>
        <w:shd w:val="solid" w:color="000000" w:fill="FFFFFF"/>
      </w:tcPr>
    </w:tblStylePr>
  </w:style>
  <w:style w:type="character" w:styleId="120">
    <w:name w:val="Strong"/>
    <w:autoRedefine/>
    <w:qFormat/>
    <w:uiPriority w:val="99"/>
    <w:rPr>
      <w:rFonts w:cs="Times New Roman"/>
      <w:b/>
      <w:bCs/>
    </w:rPr>
  </w:style>
  <w:style w:type="character" w:styleId="121">
    <w:name w:val="page number"/>
    <w:basedOn w:val="119"/>
    <w:autoRedefine/>
    <w:qFormat/>
    <w:uiPriority w:val="99"/>
    <w:rPr>
      <w:rFonts w:cs="Times New Roman"/>
    </w:rPr>
  </w:style>
  <w:style w:type="character" w:styleId="122">
    <w:name w:val="FollowedHyperlink"/>
    <w:autoRedefine/>
    <w:semiHidden/>
    <w:qFormat/>
    <w:uiPriority w:val="99"/>
    <w:rPr>
      <w:rFonts w:cs="Times New Roman"/>
      <w:color w:val="1F4F88"/>
      <w:u w:val="none"/>
    </w:rPr>
  </w:style>
  <w:style w:type="character" w:styleId="123">
    <w:name w:val="Emphasis"/>
    <w:autoRedefine/>
    <w:qFormat/>
    <w:uiPriority w:val="99"/>
    <w:rPr>
      <w:rFonts w:cs="Times New Roman"/>
      <w:color w:val="CC0000"/>
    </w:rPr>
  </w:style>
  <w:style w:type="character" w:styleId="124">
    <w:name w:val="line number"/>
    <w:autoRedefine/>
    <w:qFormat/>
    <w:uiPriority w:val="99"/>
    <w:rPr>
      <w:rFonts w:cs="Times New Roman"/>
    </w:rPr>
  </w:style>
  <w:style w:type="character" w:styleId="125">
    <w:name w:val="HTML Definition"/>
    <w:autoRedefine/>
    <w:semiHidden/>
    <w:qFormat/>
    <w:uiPriority w:val="99"/>
    <w:rPr>
      <w:rFonts w:cs="Times New Roman"/>
      <w:i/>
      <w:iCs/>
    </w:rPr>
  </w:style>
  <w:style w:type="character" w:styleId="126">
    <w:name w:val="HTML Typewriter"/>
    <w:autoRedefine/>
    <w:semiHidden/>
    <w:qFormat/>
    <w:uiPriority w:val="99"/>
    <w:rPr>
      <w:rFonts w:ascii="Courier New" w:hAnsi="Courier New" w:cs="Courier New"/>
      <w:sz w:val="20"/>
      <w:szCs w:val="20"/>
    </w:rPr>
  </w:style>
  <w:style w:type="character" w:styleId="127">
    <w:name w:val="HTML Acronym"/>
    <w:autoRedefine/>
    <w:semiHidden/>
    <w:qFormat/>
    <w:uiPriority w:val="99"/>
    <w:rPr>
      <w:rFonts w:cs="Times New Roman"/>
    </w:rPr>
  </w:style>
  <w:style w:type="character" w:styleId="128">
    <w:name w:val="HTML Variable"/>
    <w:autoRedefine/>
    <w:semiHidden/>
    <w:qFormat/>
    <w:uiPriority w:val="99"/>
    <w:rPr>
      <w:rFonts w:cs="Times New Roman"/>
      <w:i/>
      <w:iCs/>
    </w:rPr>
  </w:style>
  <w:style w:type="character" w:styleId="129">
    <w:name w:val="Hyperlink"/>
    <w:basedOn w:val="119"/>
    <w:autoRedefine/>
    <w:qFormat/>
    <w:uiPriority w:val="99"/>
    <w:rPr>
      <w:rFonts w:cs="Times New Roman"/>
      <w:color w:val="1F4F88"/>
      <w:u w:val="none"/>
    </w:rPr>
  </w:style>
  <w:style w:type="character" w:styleId="130">
    <w:name w:val="HTML Code"/>
    <w:autoRedefine/>
    <w:semiHidden/>
    <w:qFormat/>
    <w:uiPriority w:val="99"/>
    <w:rPr>
      <w:rFonts w:ascii="Courier New" w:hAnsi="Courier New" w:cs="Courier New"/>
      <w:sz w:val="20"/>
      <w:szCs w:val="20"/>
    </w:rPr>
  </w:style>
  <w:style w:type="character" w:styleId="131">
    <w:name w:val="annotation reference"/>
    <w:autoRedefine/>
    <w:qFormat/>
    <w:uiPriority w:val="99"/>
    <w:rPr>
      <w:rFonts w:cs="Times New Roman"/>
      <w:sz w:val="21"/>
    </w:rPr>
  </w:style>
  <w:style w:type="character" w:styleId="132">
    <w:name w:val="HTML Cite"/>
    <w:autoRedefine/>
    <w:semiHidden/>
    <w:qFormat/>
    <w:uiPriority w:val="99"/>
    <w:rPr>
      <w:rFonts w:cs="Times New Roman"/>
      <w:i/>
      <w:iCs/>
    </w:rPr>
  </w:style>
  <w:style w:type="character" w:styleId="133">
    <w:name w:val="HTML Keyboard"/>
    <w:autoRedefine/>
    <w:semiHidden/>
    <w:qFormat/>
    <w:uiPriority w:val="99"/>
    <w:rPr>
      <w:rFonts w:ascii="Courier New" w:hAnsi="Courier New" w:cs="Courier New"/>
      <w:sz w:val="20"/>
      <w:szCs w:val="20"/>
    </w:rPr>
  </w:style>
  <w:style w:type="character" w:styleId="134">
    <w:name w:val="HTML Sample"/>
    <w:autoRedefine/>
    <w:semiHidden/>
    <w:qFormat/>
    <w:uiPriority w:val="99"/>
    <w:rPr>
      <w:rFonts w:ascii="Courier New" w:hAnsi="Courier New" w:cs="Courier New"/>
    </w:rPr>
  </w:style>
  <w:style w:type="character" w:customStyle="1" w:styleId="135">
    <w:name w:val="标题 1 Char"/>
    <w:autoRedefine/>
    <w:qFormat/>
    <w:uiPriority w:val="99"/>
    <w:rPr>
      <w:rFonts w:eastAsia="宋体" w:cs="Times New Roman"/>
      <w:b/>
      <w:bCs/>
      <w:kern w:val="44"/>
      <w:sz w:val="44"/>
      <w:szCs w:val="44"/>
      <w:lang w:val="en-US" w:eastAsia="zh-CN" w:bidi="ar-SA"/>
    </w:rPr>
  </w:style>
  <w:style w:type="paragraph" w:styleId="136">
    <w:name w:val="List Paragraph"/>
    <w:basedOn w:val="1"/>
    <w:autoRedefine/>
    <w:qFormat/>
    <w:uiPriority w:val="34"/>
    <w:pPr>
      <w:ind w:firstLine="420" w:firstLineChars="200"/>
    </w:pPr>
    <w:rPr>
      <w:rFonts w:ascii="Calibri" w:hAnsi="Calibri"/>
      <w:szCs w:val="22"/>
    </w:rPr>
  </w:style>
  <w:style w:type="paragraph" w:customStyle="1" w:styleId="137">
    <w:name w:val="列表段落1"/>
    <w:basedOn w:val="1"/>
    <w:autoRedefine/>
    <w:qFormat/>
    <w:uiPriority w:val="34"/>
    <w:pPr>
      <w:ind w:firstLine="420" w:firstLineChars="200"/>
    </w:pPr>
    <w:rPr>
      <w:rFonts w:ascii="Calibri" w:hAnsi="Calibri"/>
      <w:szCs w:val="22"/>
    </w:rPr>
  </w:style>
  <w:style w:type="paragraph" w:customStyle="1" w:styleId="138">
    <w:name w:val="列表段落111"/>
    <w:basedOn w:val="1"/>
    <w:autoRedefine/>
    <w:qFormat/>
    <w:uiPriority w:val="34"/>
    <w:pPr>
      <w:ind w:firstLine="420" w:firstLineChars="200"/>
    </w:pPr>
    <w:rPr>
      <w:rFonts w:ascii="Calibri" w:hAnsi="Calibri"/>
      <w:szCs w:val="22"/>
    </w:rPr>
  </w:style>
  <w:style w:type="paragraph" w:customStyle="1" w:styleId="139">
    <w:name w:val="Normal Indent1"/>
    <w:autoRedefine/>
    <w:qFormat/>
    <w:uiPriority w:val="0"/>
    <w:pPr>
      <w:spacing w:after="160" w:afterLines="50" w:line="360" w:lineRule="auto"/>
      <w:ind w:firstLine="420" w:firstLineChars="200"/>
    </w:pPr>
    <w:rPr>
      <w:rFonts w:asciiTheme="minorHAnsi" w:hAnsiTheme="minorHAnsi" w:eastAsiaTheme="minorEastAsia" w:cstheme="minorBidi"/>
      <w:lang w:val="en-US" w:eastAsia="zh-CN" w:bidi="ar-SA"/>
    </w:rPr>
  </w:style>
  <w:style w:type="paragraph" w:customStyle="1" w:styleId="140">
    <w:name w:val="Default"/>
    <w:autoRedefine/>
    <w:qFormat/>
    <w:uiPriority w:val="99"/>
    <w:pPr>
      <w:widowControl w:val="0"/>
      <w:autoSpaceDE w:val="0"/>
      <w:autoSpaceDN w:val="0"/>
      <w:adjustRightInd w:val="0"/>
    </w:pPr>
    <w:rPr>
      <w:rFonts w:ascii="宋体" w:hAnsi="Calibri" w:cs="宋体" w:eastAsiaTheme="minorEastAsia"/>
      <w:color w:val="000000"/>
      <w:sz w:val="24"/>
      <w:szCs w:val="24"/>
      <w:lang w:val="en-US" w:eastAsia="zh-CN" w:bidi="ar-SA"/>
    </w:rPr>
  </w:style>
  <w:style w:type="paragraph" w:customStyle="1" w:styleId="141">
    <w:name w:val="列出段落1"/>
    <w:basedOn w:val="1"/>
    <w:next w:val="1"/>
    <w:autoRedefine/>
    <w:semiHidden/>
    <w:qFormat/>
    <w:uiPriority w:val="99"/>
    <w:pPr>
      <w:ind w:firstLine="420" w:firstLineChars="200"/>
    </w:pPr>
    <w:rPr>
      <w:szCs w:val="20"/>
    </w:rPr>
  </w:style>
  <w:style w:type="character" w:customStyle="1" w:styleId="142">
    <w:name w:val="纯文本 字符1"/>
    <w:link w:val="40"/>
    <w:autoRedefine/>
    <w:qFormat/>
    <w:uiPriority w:val="0"/>
    <w:rPr>
      <w:rFonts w:ascii="宋体" w:hAnsi="Courier New" w:cs="Courier New"/>
      <w:szCs w:val="21"/>
    </w:rPr>
  </w:style>
  <w:style w:type="character" w:customStyle="1" w:styleId="143">
    <w:name w:val="标题 1 字符1"/>
    <w:link w:val="2"/>
    <w:autoRedefine/>
    <w:qFormat/>
    <w:uiPriority w:val="99"/>
    <w:rPr>
      <w:rFonts w:eastAsia="宋体" w:cs="Times New Roman"/>
      <w:b/>
      <w:bCs/>
      <w:kern w:val="44"/>
      <w:sz w:val="44"/>
      <w:szCs w:val="44"/>
    </w:rPr>
  </w:style>
  <w:style w:type="character" w:customStyle="1" w:styleId="144">
    <w:name w:val="标题 2 字符1"/>
    <w:autoRedefine/>
    <w:qFormat/>
    <w:uiPriority w:val="99"/>
    <w:rPr>
      <w:rFonts w:ascii="Arial" w:hAnsi="Arial" w:eastAsia="黑体" w:cs="Times New Roman"/>
      <w:b/>
      <w:bCs/>
      <w:sz w:val="32"/>
      <w:szCs w:val="32"/>
    </w:rPr>
  </w:style>
  <w:style w:type="character" w:customStyle="1" w:styleId="145">
    <w:name w:val="标题 3 字符1"/>
    <w:link w:val="4"/>
    <w:autoRedefine/>
    <w:qFormat/>
    <w:uiPriority w:val="99"/>
    <w:rPr>
      <w:rFonts w:eastAsia="宋体" w:cs="Times New Roman"/>
      <w:b/>
      <w:bCs/>
      <w:sz w:val="32"/>
      <w:szCs w:val="32"/>
    </w:rPr>
  </w:style>
  <w:style w:type="character" w:customStyle="1" w:styleId="146">
    <w:name w:val="标题 4 字符1"/>
    <w:link w:val="5"/>
    <w:autoRedefine/>
    <w:qFormat/>
    <w:uiPriority w:val="99"/>
    <w:rPr>
      <w:rFonts w:ascii="Arial" w:hAnsi="Arial" w:eastAsia="黑体" w:cs="Times New Roman"/>
      <w:b/>
      <w:bCs/>
      <w:sz w:val="28"/>
      <w:szCs w:val="28"/>
    </w:rPr>
  </w:style>
  <w:style w:type="character" w:customStyle="1" w:styleId="147">
    <w:name w:val="标题 5 字符1"/>
    <w:link w:val="6"/>
    <w:autoRedefine/>
    <w:qFormat/>
    <w:uiPriority w:val="99"/>
    <w:rPr>
      <w:rFonts w:eastAsia="宋体" w:cs="Times New Roman"/>
      <w:b/>
      <w:bCs/>
      <w:sz w:val="28"/>
      <w:szCs w:val="28"/>
    </w:rPr>
  </w:style>
  <w:style w:type="character" w:customStyle="1" w:styleId="148">
    <w:name w:val="标题 6 字符1"/>
    <w:link w:val="7"/>
    <w:autoRedefine/>
    <w:qFormat/>
    <w:uiPriority w:val="99"/>
    <w:rPr>
      <w:rFonts w:ascii="Arial" w:hAnsi="Arial" w:eastAsia="黑体" w:cs="Times New Roman"/>
      <w:b/>
      <w:bCs/>
    </w:rPr>
  </w:style>
  <w:style w:type="character" w:customStyle="1" w:styleId="149">
    <w:name w:val="标题 7 字符1"/>
    <w:link w:val="8"/>
    <w:autoRedefine/>
    <w:semiHidden/>
    <w:qFormat/>
    <w:uiPriority w:val="9"/>
    <w:rPr>
      <w:b/>
      <w:bCs/>
      <w:sz w:val="24"/>
      <w:szCs w:val="24"/>
    </w:rPr>
  </w:style>
  <w:style w:type="character" w:customStyle="1" w:styleId="150">
    <w:name w:val="标题 8 字符1"/>
    <w:link w:val="9"/>
    <w:autoRedefine/>
    <w:semiHidden/>
    <w:qFormat/>
    <w:uiPriority w:val="9"/>
    <w:rPr>
      <w:rFonts w:ascii="Cambria" w:hAnsi="Cambria" w:eastAsia="宋体" w:cs="Times New Roman"/>
      <w:sz w:val="24"/>
      <w:szCs w:val="24"/>
    </w:rPr>
  </w:style>
  <w:style w:type="character" w:customStyle="1" w:styleId="151">
    <w:name w:val="标题 9 字符1"/>
    <w:link w:val="10"/>
    <w:autoRedefine/>
    <w:semiHidden/>
    <w:qFormat/>
    <w:uiPriority w:val="9"/>
    <w:rPr>
      <w:rFonts w:ascii="Cambria" w:hAnsi="Cambria" w:eastAsia="宋体" w:cs="Times New Roman"/>
      <w:szCs w:val="21"/>
    </w:rPr>
  </w:style>
  <w:style w:type="character" w:customStyle="1" w:styleId="152">
    <w:name w:val="注释标题 字符"/>
    <w:link w:val="15"/>
    <w:autoRedefine/>
    <w:semiHidden/>
    <w:qFormat/>
    <w:uiPriority w:val="99"/>
    <w:rPr>
      <w:szCs w:val="24"/>
    </w:rPr>
  </w:style>
  <w:style w:type="character" w:customStyle="1" w:styleId="153">
    <w:name w:val="电子邮件签名 字符"/>
    <w:link w:val="17"/>
    <w:autoRedefine/>
    <w:semiHidden/>
    <w:qFormat/>
    <w:uiPriority w:val="99"/>
    <w:rPr>
      <w:szCs w:val="24"/>
    </w:rPr>
  </w:style>
  <w:style w:type="character" w:customStyle="1" w:styleId="154">
    <w:name w:val="正文缩进 字符"/>
    <w:link w:val="19"/>
    <w:autoRedefine/>
    <w:qFormat/>
    <w:uiPriority w:val="99"/>
    <w:rPr>
      <w:rFonts w:eastAsia="宋体" w:cs="Times New Roman"/>
      <w:sz w:val="21"/>
    </w:rPr>
  </w:style>
  <w:style w:type="character" w:customStyle="1" w:styleId="155">
    <w:name w:val="文档结构图 字符"/>
    <w:link w:val="23"/>
    <w:autoRedefine/>
    <w:semiHidden/>
    <w:qFormat/>
    <w:uiPriority w:val="99"/>
    <w:rPr>
      <w:sz w:val="16"/>
      <w:szCs w:val="0"/>
    </w:rPr>
  </w:style>
  <w:style w:type="character" w:customStyle="1" w:styleId="156">
    <w:name w:val="批注文字 字符1"/>
    <w:link w:val="25"/>
    <w:autoRedefine/>
    <w:semiHidden/>
    <w:qFormat/>
    <w:uiPriority w:val="99"/>
    <w:rPr>
      <w:szCs w:val="24"/>
    </w:rPr>
  </w:style>
  <w:style w:type="character" w:customStyle="1" w:styleId="157">
    <w:name w:val="称呼 字符"/>
    <w:link w:val="26"/>
    <w:autoRedefine/>
    <w:semiHidden/>
    <w:qFormat/>
    <w:uiPriority w:val="99"/>
    <w:rPr>
      <w:szCs w:val="24"/>
    </w:rPr>
  </w:style>
  <w:style w:type="character" w:customStyle="1" w:styleId="158">
    <w:name w:val="正文文本 3 字符"/>
    <w:link w:val="27"/>
    <w:autoRedefine/>
    <w:semiHidden/>
    <w:qFormat/>
    <w:uiPriority w:val="99"/>
    <w:rPr>
      <w:sz w:val="16"/>
      <w:szCs w:val="16"/>
    </w:rPr>
  </w:style>
  <w:style w:type="character" w:customStyle="1" w:styleId="159">
    <w:name w:val="结束语 字符"/>
    <w:link w:val="28"/>
    <w:autoRedefine/>
    <w:semiHidden/>
    <w:qFormat/>
    <w:uiPriority w:val="99"/>
    <w:rPr>
      <w:szCs w:val="24"/>
    </w:rPr>
  </w:style>
  <w:style w:type="character" w:customStyle="1" w:styleId="160">
    <w:name w:val="正文文本 字符1"/>
    <w:link w:val="30"/>
    <w:autoRedefine/>
    <w:semiHidden/>
    <w:qFormat/>
    <w:uiPriority w:val="99"/>
    <w:rPr>
      <w:szCs w:val="24"/>
    </w:rPr>
  </w:style>
  <w:style w:type="character" w:customStyle="1" w:styleId="161">
    <w:name w:val="正文文本缩进 字符"/>
    <w:link w:val="31"/>
    <w:autoRedefine/>
    <w:semiHidden/>
    <w:qFormat/>
    <w:uiPriority w:val="99"/>
    <w:rPr>
      <w:szCs w:val="24"/>
    </w:rPr>
  </w:style>
  <w:style w:type="character" w:customStyle="1" w:styleId="162">
    <w:name w:val="HTML 地址 字符"/>
    <w:link w:val="37"/>
    <w:autoRedefine/>
    <w:semiHidden/>
    <w:qFormat/>
    <w:uiPriority w:val="99"/>
    <w:rPr>
      <w:i/>
      <w:iCs/>
      <w:szCs w:val="24"/>
    </w:rPr>
  </w:style>
  <w:style w:type="character" w:customStyle="1" w:styleId="163">
    <w:name w:val="日期 字符"/>
    <w:link w:val="44"/>
    <w:autoRedefine/>
    <w:semiHidden/>
    <w:qFormat/>
    <w:uiPriority w:val="99"/>
    <w:rPr>
      <w:szCs w:val="24"/>
    </w:rPr>
  </w:style>
  <w:style w:type="character" w:customStyle="1" w:styleId="164">
    <w:name w:val="正文文本缩进 2 字符"/>
    <w:link w:val="45"/>
    <w:autoRedefine/>
    <w:semiHidden/>
    <w:qFormat/>
    <w:uiPriority w:val="99"/>
    <w:rPr>
      <w:szCs w:val="24"/>
    </w:rPr>
  </w:style>
  <w:style w:type="character" w:customStyle="1" w:styleId="165">
    <w:name w:val="批注框文本 字符"/>
    <w:link w:val="47"/>
    <w:autoRedefine/>
    <w:semiHidden/>
    <w:qFormat/>
    <w:uiPriority w:val="99"/>
    <w:rPr>
      <w:sz w:val="16"/>
      <w:szCs w:val="0"/>
    </w:rPr>
  </w:style>
  <w:style w:type="character" w:customStyle="1" w:styleId="166">
    <w:name w:val="页脚 字符1"/>
    <w:link w:val="48"/>
    <w:autoRedefine/>
    <w:qFormat/>
    <w:uiPriority w:val="0"/>
    <w:rPr>
      <w:sz w:val="18"/>
      <w:szCs w:val="18"/>
    </w:rPr>
  </w:style>
  <w:style w:type="character" w:customStyle="1" w:styleId="167">
    <w:name w:val="页眉 字符1"/>
    <w:link w:val="50"/>
    <w:autoRedefine/>
    <w:qFormat/>
    <w:uiPriority w:val="0"/>
    <w:rPr>
      <w:sz w:val="18"/>
      <w:szCs w:val="18"/>
    </w:rPr>
  </w:style>
  <w:style w:type="character" w:customStyle="1" w:styleId="168">
    <w:name w:val="签名 字符"/>
    <w:link w:val="51"/>
    <w:autoRedefine/>
    <w:semiHidden/>
    <w:qFormat/>
    <w:uiPriority w:val="99"/>
    <w:rPr>
      <w:szCs w:val="24"/>
    </w:rPr>
  </w:style>
  <w:style w:type="character" w:customStyle="1" w:styleId="169">
    <w:name w:val="副标题 字符"/>
    <w:link w:val="55"/>
    <w:autoRedefine/>
    <w:qFormat/>
    <w:uiPriority w:val="11"/>
    <w:rPr>
      <w:rFonts w:ascii="Cambria" w:hAnsi="Cambria" w:cs="Times New Roman"/>
      <w:b/>
      <w:bCs/>
      <w:kern w:val="28"/>
      <w:sz w:val="32"/>
      <w:szCs w:val="32"/>
    </w:rPr>
  </w:style>
  <w:style w:type="character" w:customStyle="1" w:styleId="170">
    <w:name w:val="正文文本缩进 3 字符"/>
    <w:link w:val="60"/>
    <w:autoRedefine/>
    <w:semiHidden/>
    <w:qFormat/>
    <w:uiPriority w:val="99"/>
    <w:rPr>
      <w:sz w:val="16"/>
      <w:szCs w:val="16"/>
    </w:rPr>
  </w:style>
  <w:style w:type="character" w:customStyle="1" w:styleId="171">
    <w:name w:val="正文文本 2 字符"/>
    <w:link w:val="63"/>
    <w:autoRedefine/>
    <w:semiHidden/>
    <w:qFormat/>
    <w:uiPriority w:val="99"/>
    <w:rPr>
      <w:szCs w:val="24"/>
    </w:rPr>
  </w:style>
  <w:style w:type="character" w:customStyle="1" w:styleId="172">
    <w:name w:val="信息标题 字符"/>
    <w:link w:val="66"/>
    <w:autoRedefine/>
    <w:semiHidden/>
    <w:qFormat/>
    <w:uiPriority w:val="99"/>
    <w:rPr>
      <w:rFonts w:ascii="Cambria" w:hAnsi="Cambria" w:eastAsia="宋体" w:cs="Times New Roman"/>
      <w:sz w:val="24"/>
      <w:szCs w:val="24"/>
      <w:shd w:val="pct20" w:color="auto" w:fill="auto"/>
    </w:rPr>
  </w:style>
  <w:style w:type="character" w:customStyle="1" w:styleId="173">
    <w:name w:val="HTML 预设格式 字符"/>
    <w:link w:val="67"/>
    <w:autoRedefine/>
    <w:semiHidden/>
    <w:qFormat/>
    <w:uiPriority w:val="99"/>
    <w:rPr>
      <w:rFonts w:ascii="Courier New" w:hAnsi="Courier New" w:cs="Courier New"/>
      <w:sz w:val="20"/>
      <w:szCs w:val="20"/>
    </w:rPr>
  </w:style>
  <w:style w:type="character" w:customStyle="1" w:styleId="174">
    <w:name w:val="标题 字符"/>
    <w:link w:val="70"/>
    <w:autoRedefine/>
    <w:qFormat/>
    <w:uiPriority w:val="10"/>
    <w:rPr>
      <w:rFonts w:ascii="Cambria" w:hAnsi="Cambria" w:cs="Times New Roman"/>
      <w:b/>
      <w:bCs/>
      <w:sz w:val="32"/>
      <w:szCs w:val="32"/>
    </w:rPr>
  </w:style>
  <w:style w:type="character" w:customStyle="1" w:styleId="175">
    <w:name w:val="批注主题 字符"/>
    <w:link w:val="71"/>
    <w:autoRedefine/>
    <w:semiHidden/>
    <w:qFormat/>
    <w:uiPriority w:val="99"/>
    <w:rPr>
      <w:rFonts w:ascii="Calibri" w:hAnsi="Calibri" w:eastAsia="宋体"/>
      <w:b/>
      <w:bCs/>
      <w:sz w:val="22"/>
      <w:szCs w:val="24"/>
      <w:lang w:val="en-US" w:eastAsia="en-US"/>
    </w:rPr>
  </w:style>
  <w:style w:type="character" w:customStyle="1" w:styleId="176">
    <w:name w:val="正文首行缩进 字符"/>
    <w:link w:val="72"/>
    <w:autoRedefine/>
    <w:semiHidden/>
    <w:qFormat/>
    <w:uiPriority w:val="99"/>
    <w:rPr>
      <w:rFonts w:eastAsia="宋体" w:cs="Times New Roman"/>
      <w:sz w:val="21"/>
      <w:szCs w:val="24"/>
    </w:rPr>
  </w:style>
  <w:style w:type="character" w:customStyle="1" w:styleId="177">
    <w:name w:val="正文首行缩进 2 字符"/>
    <w:link w:val="73"/>
    <w:autoRedefine/>
    <w:semiHidden/>
    <w:qFormat/>
    <w:uiPriority w:val="99"/>
  </w:style>
  <w:style w:type="character" w:customStyle="1" w:styleId="178">
    <w:name w:val="layui-laypage-curr"/>
    <w:autoRedefine/>
    <w:qFormat/>
    <w:uiPriority w:val="0"/>
  </w:style>
  <w:style w:type="character" w:customStyle="1" w:styleId="179">
    <w:name w:val="List Paragraph Char"/>
    <w:link w:val="180"/>
    <w:autoRedefine/>
    <w:qFormat/>
    <w:uiPriority w:val="99"/>
    <w:rPr>
      <w:rFonts w:eastAsia="宋体" w:cs="Times New Roman"/>
      <w:color w:val="262626"/>
    </w:rPr>
  </w:style>
  <w:style w:type="paragraph" w:customStyle="1" w:styleId="180">
    <w:name w:val="列出段落2"/>
    <w:basedOn w:val="1"/>
    <w:link w:val="179"/>
    <w:autoRedefine/>
    <w:qFormat/>
    <w:uiPriority w:val="99"/>
    <w:pPr>
      <w:spacing w:line="360" w:lineRule="auto"/>
      <w:ind w:firstLine="480" w:firstLineChars="200"/>
    </w:pPr>
    <w:rPr>
      <w:color w:val="262626"/>
      <w:kern w:val="0"/>
      <w:sz w:val="20"/>
      <w:szCs w:val="20"/>
    </w:rPr>
  </w:style>
  <w:style w:type="character" w:customStyle="1" w:styleId="181">
    <w:name w:val="页眉 字符"/>
    <w:autoRedefine/>
    <w:semiHidden/>
    <w:qFormat/>
    <w:uiPriority w:val="99"/>
    <w:rPr>
      <w:kern w:val="2"/>
      <w:sz w:val="18"/>
      <w:szCs w:val="18"/>
    </w:rPr>
  </w:style>
  <w:style w:type="character" w:customStyle="1" w:styleId="182">
    <w:name w:val="标题 6 字符"/>
    <w:autoRedefine/>
    <w:qFormat/>
    <w:uiPriority w:val="0"/>
    <w:rPr>
      <w:rFonts w:ascii="Arial" w:hAnsi="Arial" w:eastAsia="黑体"/>
      <w:b/>
      <w:bCs/>
      <w:kern w:val="2"/>
      <w:sz w:val="24"/>
      <w:szCs w:val="24"/>
    </w:rPr>
  </w:style>
  <w:style w:type="character" w:customStyle="1" w:styleId="183">
    <w:name w:val="hover39"/>
    <w:autoRedefine/>
    <w:qFormat/>
    <w:uiPriority w:val="99"/>
    <w:rPr>
      <w:rFonts w:cs="Times New Roman"/>
      <w:color w:val="FFFFFF"/>
      <w:shd w:val="clear" w:color="auto" w:fill="FF6600"/>
    </w:rPr>
  </w:style>
  <w:style w:type="character" w:customStyle="1" w:styleId="184">
    <w:name w:val="纯文本 字符"/>
    <w:autoRedefine/>
    <w:qFormat/>
    <w:uiPriority w:val="0"/>
    <w:rPr>
      <w:rFonts w:ascii="宋体" w:hAnsi="Courier New"/>
      <w:kern w:val="2"/>
      <w:sz w:val="21"/>
    </w:rPr>
  </w:style>
  <w:style w:type="character" w:customStyle="1" w:styleId="185">
    <w:name w:val="正文（缩进） Char"/>
    <w:link w:val="186"/>
    <w:autoRedefine/>
    <w:qFormat/>
    <w:uiPriority w:val="99"/>
    <w:rPr>
      <w:rFonts w:eastAsia="宋体"/>
      <w:sz w:val="24"/>
    </w:rPr>
  </w:style>
  <w:style w:type="paragraph" w:customStyle="1" w:styleId="186">
    <w:name w:val="正文（缩进）"/>
    <w:basedOn w:val="1"/>
    <w:link w:val="185"/>
    <w:autoRedefine/>
    <w:semiHidden/>
    <w:qFormat/>
    <w:uiPriority w:val="99"/>
    <w:pPr>
      <w:spacing w:beforeLines="50" w:afterLines="50" w:line="360" w:lineRule="auto"/>
      <w:ind w:firstLine="480" w:firstLineChars="200"/>
    </w:pPr>
    <w:rPr>
      <w:kern w:val="0"/>
      <w:sz w:val="24"/>
      <w:szCs w:val="20"/>
    </w:rPr>
  </w:style>
  <w:style w:type="character" w:customStyle="1" w:styleId="187">
    <w:name w:val="hei14"/>
    <w:autoRedefine/>
    <w:semiHidden/>
    <w:qFormat/>
    <w:uiPriority w:val="99"/>
    <w:rPr>
      <w:rFonts w:cs="Times New Roman"/>
    </w:rPr>
  </w:style>
  <w:style w:type="character" w:customStyle="1" w:styleId="188">
    <w:name w:val="标题 1 字符"/>
    <w:autoRedefine/>
    <w:qFormat/>
    <w:uiPriority w:val="0"/>
    <w:rPr>
      <w:b/>
      <w:bCs/>
      <w:kern w:val="44"/>
      <w:sz w:val="44"/>
      <w:szCs w:val="44"/>
    </w:rPr>
  </w:style>
  <w:style w:type="character" w:customStyle="1" w:styleId="189">
    <w:name w:val="标题 3 字符"/>
    <w:autoRedefine/>
    <w:qFormat/>
    <w:uiPriority w:val="0"/>
    <w:rPr>
      <w:b/>
      <w:bCs/>
      <w:kern w:val="2"/>
      <w:sz w:val="32"/>
      <w:szCs w:val="32"/>
    </w:rPr>
  </w:style>
  <w:style w:type="character" w:customStyle="1" w:styleId="190">
    <w:name w:val="标题 5 字符"/>
    <w:autoRedefine/>
    <w:qFormat/>
    <w:uiPriority w:val="0"/>
    <w:rPr>
      <w:b/>
      <w:bCs/>
      <w:kern w:val="2"/>
      <w:sz w:val="28"/>
      <w:szCs w:val="28"/>
    </w:rPr>
  </w:style>
  <w:style w:type="character" w:customStyle="1" w:styleId="191">
    <w:name w:val="明显引用 字符"/>
    <w:link w:val="192"/>
    <w:autoRedefine/>
    <w:qFormat/>
    <w:uiPriority w:val="99"/>
    <w:rPr>
      <w:b/>
      <w:i/>
      <w:sz w:val="24"/>
    </w:rPr>
  </w:style>
  <w:style w:type="paragraph" w:styleId="192">
    <w:name w:val="Intense Quote"/>
    <w:basedOn w:val="1"/>
    <w:link w:val="191"/>
    <w:autoRedefine/>
    <w:qFormat/>
    <w:uiPriority w:val="99"/>
    <w:pPr>
      <w:ind w:left="720" w:right="720"/>
      <w:jc w:val="left"/>
    </w:pPr>
    <w:rPr>
      <w:b/>
      <w:i/>
      <w:kern w:val="0"/>
      <w:sz w:val="24"/>
      <w:szCs w:val="20"/>
    </w:rPr>
  </w:style>
  <w:style w:type="character" w:customStyle="1" w:styleId="193">
    <w:name w:val="bds_more"/>
    <w:autoRedefine/>
    <w:qFormat/>
    <w:uiPriority w:val="99"/>
    <w:rPr>
      <w:rFonts w:ascii="Arial" w:hAnsi="Arial" w:cs="Arial"/>
    </w:rPr>
  </w:style>
  <w:style w:type="character" w:customStyle="1" w:styleId="194">
    <w:name w:val="标题 2 字符"/>
    <w:link w:val="3"/>
    <w:autoRedefine/>
    <w:qFormat/>
    <w:uiPriority w:val="0"/>
    <w:rPr>
      <w:rFonts w:ascii="Arial" w:hAnsi="Arial" w:eastAsia="黑体"/>
      <w:b/>
      <w:bCs/>
      <w:kern w:val="2"/>
      <w:sz w:val="32"/>
      <w:szCs w:val="32"/>
    </w:rPr>
  </w:style>
  <w:style w:type="character" w:customStyle="1" w:styleId="195">
    <w:name w:val="标题 7 字符"/>
    <w:autoRedefine/>
    <w:qFormat/>
    <w:uiPriority w:val="0"/>
    <w:rPr>
      <w:b/>
      <w:bCs/>
      <w:kern w:val="2"/>
      <w:sz w:val="24"/>
      <w:szCs w:val="24"/>
    </w:rPr>
  </w:style>
  <w:style w:type="character" w:customStyle="1" w:styleId="196">
    <w:name w:val="Body Text First Indent Char"/>
    <w:autoRedefine/>
    <w:qFormat/>
    <w:uiPriority w:val="99"/>
    <w:rPr>
      <w:rFonts w:ascii="宋体" w:hAnsi="宋体" w:eastAsia="宋体" w:cs="Times New Roman"/>
      <w:spacing w:val="20"/>
      <w:sz w:val="24"/>
    </w:rPr>
  </w:style>
  <w:style w:type="character" w:customStyle="1" w:styleId="197">
    <w:name w:val="hover40"/>
    <w:autoRedefine/>
    <w:qFormat/>
    <w:uiPriority w:val="99"/>
    <w:rPr>
      <w:rFonts w:cs="Times New Roman"/>
      <w:color w:val="FF6600"/>
      <w:u w:val="single"/>
    </w:rPr>
  </w:style>
  <w:style w:type="character" w:customStyle="1" w:styleId="198">
    <w:name w:val="Char Char3"/>
    <w:autoRedefine/>
    <w:qFormat/>
    <w:uiPriority w:val="99"/>
    <w:rPr>
      <w:rFonts w:ascii="Calibri" w:hAnsi="Calibri" w:eastAsia="宋体" w:cs="Times New Roman"/>
      <w:sz w:val="22"/>
      <w:szCs w:val="22"/>
      <w:lang w:eastAsia="en-US"/>
    </w:rPr>
  </w:style>
  <w:style w:type="character" w:customStyle="1" w:styleId="199">
    <w:name w:val="hover44"/>
    <w:autoRedefine/>
    <w:qFormat/>
    <w:uiPriority w:val="99"/>
    <w:rPr>
      <w:rFonts w:ascii="微软雅黑" w:hAnsi="微软雅黑" w:eastAsia="微软雅黑" w:cs="微软雅黑"/>
      <w:b/>
      <w:color w:val="FF6600"/>
      <w:sz w:val="22"/>
      <w:szCs w:val="22"/>
      <w:u w:val="single"/>
    </w:rPr>
  </w:style>
  <w:style w:type="character" w:customStyle="1" w:styleId="200">
    <w:name w:val="标题 8 字符"/>
    <w:autoRedefine/>
    <w:qFormat/>
    <w:uiPriority w:val="0"/>
    <w:rPr>
      <w:rFonts w:ascii="Arial" w:hAnsi="Arial" w:eastAsia="黑体"/>
      <w:kern w:val="2"/>
      <w:sz w:val="24"/>
      <w:szCs w:val="24"/>
    </w:rPr>
  </w:style>
  <w:style w:type="character" w:customStyle="1" w:styleId="201">
    <w:name w:val="批注文字 字符"/>
    <w:autoRedefine/>
    <w:semiHidden/>
    <w:qFormat/>
    <w:uiPriority w:val="99"/>
    <w:rPr>
      <w:szCs w:val="24"/>
    </w:rPr>
  </w:style>
  <w:style w:type="character" w:customStyle="1" w:styleId="202">
    <w:name w:val="Char Char4"/>
    <w:autoRedefine/>
    <w:semiHidden/>
    <w:qFormat/>
    <w:uiPriority w:val="0"/>
    <w:rPr>
      <w:rFonts w:ascii="宋体" w:hAnsi="Courier New" w:eastAsia="宋体"/>
      <w:szCs w:val="21"/>
      <w:lang w:bidi="ar-SA"/>
    </w:rPr>
  </w:style>
  <w:style w:type="character" w:customStyle="1" w:styleId="203">
    <w:name w:val="页脚 字符"/>
    <w:autoRedefine/>
    <w:semiHidden/>
    <w:qFormat/>
    <w:uiPriority w:val="99"/>
    <w:rPr>
      <w:kern w:val="2"/>
      <w:sz w:val="18"/>
      <w:szCs w:val="18"/>
    </w:rPr>
  </w:style>
  <w:style w:type="character" w:customStyle="1" w:styleId="204">
    <w:name w:val="Footer Char"/>
    <w:autoRedefine/>
    <w:semiHidden/>
    <w:qFormat/>
    <w:uiPriority w:val="99"/>
    <w:rPr>
      <w:rFonts w:eastAsia="宋体" w:cs="Times New Roman"/>
      <w:sz w:val="18"/>
      <w:szCs w:val="18"/>
    </w:rPr>
  </w:style>
  <w:style w:type="character" w:customStyle="1" w:styleId="205">
    <w:name w:val="Header Char"/>
    <w:autoRedefine/>
    <w:semiHidden/>
    <w:qFormat/>
    <w:uiPriority w:val="99"/>
    <w:rPr>
      <w:rFonts w:eastAsia="宋体" w:cs="Times New Roman"/>
      <w:sz w:val="18"/>
      <w:szCs w:val="18"/>
    </w:rPr>
  </w:style>
  <w:style w:type="character" w:customStyle="1" w:styleId="206">
    <w:name w:val="apple-converted-space"/>
    <w:autoRedefine/>
    <w:qFormat/>
    <w:uiPriority w:val="99"/>
  </w:style>
  <w:style w:type="character" w:customStyle="1" w:styleId="207">
    <w:name w:val="Document Map Char"/>
    <w:autoRedefine/>
    <w:semiHidden/>
    <w:qFormat/>
    <w:uiPriority w:val="99"/>
    <w:rPr>
      <w:rFonts w:eastAsia="宋体" w:cs="Times New Roman"/>
      <w:sz w:val="21"/>
    </w:rPr>
  </w:style>
  <w:style w:type="character" w:customStyle="1" w:styleId="208">
    <w:name w:val="正文文本 字符"/>
    <w:autoRedefine/>
    <w:qFormat/>
    <w:uiPriority w:val="99"/>
    <w:rPr>
      <w:szCs w:val="24"/>
    </w:rPr>
  </w:style>
  <w:style w:type="character" w:customStyle="1" w:styleId="209">
    <w:name w:val="hover38"/>
    <w:autoRedefine/>
    <w:qFormat/>
    <w:uiPriority w:val="99"/>
    <w:rPr>
      <w:rFonts w:cs="Times New Roman"/>
      <w:color w:val="FF6600"/>
      <w:u w:val="single"/>
    </w:rPr>
  </w:style>
  <w:style w:type="character" w:customStyle="1" w:styleId="210">
    <w:name w:val="段 Char"/>
    <w:link w:val="211"/>
    <w:autoRedefine/>
    <w:qFormat/>
    <w:uiPriority w:val="99"/>
    <w:rPr>
      <w:rFonts w:ascii="宋体"/>
      <w:sz w:val="21"/>
      <w:lang w:val="en-US" w:eastAsia="zh-CN" w:bidi="ar-SA"/>
    </w:rPr>
  </w:style>
  <w:style w:type="paragraph" w:customStyle="1" w:styleId="211">
    <w:name w:val="段"/>
    <w:link w:val="210"/>
    <w:autoRedefine/>
    <w:qFormat/>
    <w:uiPriority w:val="99"/>
    <w:pPr>
      <w:autoSpaceDE w:val="0"/>
      <w:autoSpaceDN w:val="0"/>
      <w:ind w:firstLine="200" w:firstLineChars="200"/>
      <w:jc w:val="both"/>
    </w:pPr>
    <w:rPr>
      <w:rFonts w:ascii="宋体" w:hAnsiTheme="minorHAnsi" w:eastAsiaTheme="minorEastAsia" w:cstheme="minorBidi"/>
      <w:sz w:val="21"/>
      <w:lang w:val="en-US" w:eastAsia="zh-CN" w:bidi="ar-SA"/>
    </w:rPr>
  </w:style>
  <w:style w:type="character" w:customStyle="1" w:styleId="212">
    <w:name w:val="标题 9 字符"/>
    <w:autoRedefine/>
    <w:qFormat/>
    <w:uiPriority w:val="0"/>
    <w:rPr>
      <w:rFonts w:ascii="Arial" w:hAnsi="Arial" w:eastAsia="黑体"/>
      <w:kern w:val="2"/>
      <w:sz w:val="21"/>
      <w:szCs w:val="21"/>
    </w:rPr>
  </w:style>
  <w:style w:type="character" w:customStyle="1" w:styleId="213">
    <w:name w:val="Body Text Char"/>
    <w:autoRedefine/>
    <w:qFormat/>
    <w:uiPriority w:val="99"/>
    <w:rPr>
      <w:rFonts w:eastAsia="宋体" w:cs="Times New Roman"/>
      <w:sz w:val="21"/>
    </w:rPr>
  </w:style>
  <w:style w:type="character" w:customStyle="1" w:styleId="214">
    <w:name w:val="label"/>
    <w:autoRedefine/>
    <w:qFormat/>
    <w:uiPriority w:val="0"/>
    <w:rPr>
      <w:color w:val="999999"/>
    </w:rPr>
  </w:style>
  <w:style w:type="character" w:customStyle="1" w:styleId="215">
    <w:name w:val="Comment Text Char"/>
    <w:autoRedefine/>
    <w:qFormat/>
    <w:uiPriority w:val="99"/>
    <w:rPr>
      <w:rFonts w:ascii="Calibri" w:hAnsi="Calibri" w:eastAsia="宋体"/>
      <w:sz w:val="22"/>
      <w:lang w:val="en-US" w:eastAsia="en-US"/>
    </w:rPr>
  </w:style>
  <w:style w:type="character" w:customStyle="1" w:styleId="216">
    <w:name w:val="hover42"/>
    <w:autoRedefine/>
    <w:qFormat/>
    <w:uiPriority w:val="99"/>
    <w:rPr>
      <w:rFonts w:cs="Times New Roman"/>
      <w:color w:val="FFFFFF"/>
      <w:shd w:val="clear" w:color="auto" w:fill="FF6600"/>
    </w:rPr>
  </w:style>
  <w:style w:type="character" w:customStyle="1" w:styleId="217">
    <w:name w:val="param-name1"/>
    <w:autoRedefine/>
    <w:qFormat/>
    <w:uiPriority w:val="99"/>
    <w:rPr>
      <w:rFonts w:cs="Times New Roman"/>
      <w:b/>
    </w:rPr>
  </w:style>
  <w:style w:type="character" w:customStyle="1" w:styleId="218">
    <w:name w:val="标题 4 字符"/>
    <w:autoRedefine/>
    <w:qFormat/>
    <w:uiPriority w:val="0"/>
    <w:rPr>
      <w:rFonts w:ascii="Arial" w:hAnsi="Arial" w:eastAsia="黑体"/>
      <w:b/>
      <w:bCs/>
      <w:kern w:val="2"/>
      <w:sz w:val="28"/>
      <w:szCs w:val="28"/>
    </w:rPr>
  </w:style>
  <w:style w:type="character" w:customStyle="1" w:styleId="219">
    <w:name w:val="hover43"/>
    <w:autoRedefine/>
    <w:qFormat/>
    <w:uiPriority w:val="99"/>
    <w:rPr>
      <w:rFonts w:cs="Times New Roman"/>
      <w:color w:val="FF6600"/>
      <w:u w:val="single"/>
    </w:rPr>
  </w:style>
  <w:style w:type="paragraph" w:customStyle="1" w:styleId="220">
    <w:name w:val="表题"/>
    <w:basedOn w:val="40"/>
    <w:autoRedefine/>
    <w:qFormat/>
    <w:uiPriority w:val="99"/>
    <w:pPr>
      <w:adjustRightInd w:val="0"/>
      <w:spacing w:line="480" w:lineRule="auto"/>
      <w:jc w:val="center"/>
    </w:pPr>
    <w:rPr>
      <w:rFonts w:ascii="Times New Roman" w:hAnsi="Times New Roman" w:eastAsia="黑体"/>
      <w:sz w:val="18"/>
    </w:rPr>
  </w:style>
  <w:style w:type="paragraph" w:customStyle="1" w:styleId="221">
    <w:name w:val="xl71"/>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22">
    <w:name w:val="插图标注（绿盟科技）"/>
    <w:autoRedefine/>
    <w:semiHidden/>
    <w:qFormat/>
    <w:uiPriority w:val="99"/>
    <w:pPr>
      <w:numPr>
        <w:ilvl w:val="3"/>
        <w:numId w:val="1"/>
      </w:numPr>
      <w:spacing w:after="156"/>
      <w:ind w:left="426" w:firstLine="0"/>
      <w:jc w:val="center"/>
    </w:pPr>
    <w:rPr>
      <w:rFonts w:ascii="Arial" w:hAnsi="Arial" w:cs="Arial" w:eastAsiaTheme="minorEastAsia"/>
      <w:sz w:val="21"/>
      <w:szCs w:val="21"/>
      <w:lang w:val="en-US" w:eastAsia="zh-CN" w:bidi="ar-SA"/>
    </w:rPr>
  </w:style>
  <w:style w:type="paragraph" w:customStyle="1" w:styleId="223">
    <w:name w:val="本文項目"/>
    <w:basedOn w:val="1"/>
    <w:autoRedefine/>
    <w:semiHidden/>
    <w:qFormat/>
    <w:uiPriority w:val="99"/>
    <w:pPr>
      <w:tabs>
        <w:tab w:val="left" w:pos="360"/>
      </w:tabs>
      <w:autoSpaceDE w:val="0"/>
      <w:autoSpaceDN w:val="0"/>
      <w:adjustRightInd w:val="0"/>
      <w:spacing w:beforeLines="50" w:afterLines="50" w:line="360" w:lineRule="auto"/>
      <w:ind w:left="360" w:hanging="360"/>
      <w:textAlignment w:val="baseline"/>
    </w:pPr>
    <w:rPr>
      <w:b/>
      <w:kern w:val="0"/>
      <w:sz w:val="24"/>
    </w:rPr>
  </w:style>
  <w:style w:type="paragraph" w:customStyle="1" w:styleId="224">
    <w:name w:val="Char Char Char"/>
    <w:basedOn w:val="1"/>
    <w:autoRedefine/>
    <w:qFormat/>
    <w:uiPriority w:val="99"/>
    <w:rPr>
      <w:rFonts w:ascii="宋体" w:hAnsi="宋体"/>
      <w:b/>
      <w:sz w:val="28"/>
      <w:szCs w:val="28"/>
    </w:rPr>
  </w:style>
  <w:style w:type="paragraph" w:customStyle="1" w:styleId="225">
    <w:name w:val="xl68"/>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6">
    <w:name w:val="标题 1（绿盟科技）"/>
    <w:basedOn w:val="2"/>
    <w:autoRedefine/>
    <w:semiHidden/>
    <w:qFormat/>
    <w:uiPriority w:val="99"/>
    <w:pPr>
      <w:pBdr>
        <w:bottom w:val="single" w:color="auto" w:sz="48" w:space="1"/>
      </w:pBdr>
      <w:tabs>
        <w:tab w:val="left" w:pos="360"/>
      </w:tabs>
      <w:spacing w:line="576" w:lineRule="auto"/>
      <w:ind w:left="360" w:hanging="360"/>
      <w:jc w:val="left"/>
    </w:pPr>
    <w:rPr>
      <w:rFonts w:ascii="Arial" w:hAnsi="Arial" w:eastAsia="黑体"/>
    </w:rPr>
  </w:style>
  <w:style w:type="paragraph" w:customStyle="1" w:styleId="227">
    <w:name w:val="标题 6（有编号）（绿盟科技）"/>
    <w:basedOn w:val="1"/>
    <w:autoRedefine/>
    <w:semiHidden/>
    <w:qFormat/>
    <w:uiPriority w:val="99"/>
    <w:pPr>
      <w:numPr>
        <w:ilvl w:val="2"/>
        <w:numId w:val="1"/>
      </w:numPr>
      <w:spacing w:line="319" w:lineRule="auto"/>
      <w:ind w:left="1673" w:hanging="1247"/>
      <w:jc w:val="left"/>
      <w:outlineLvl w:val="5"/>
    </w:pPr>
    <w:rPr>
      <w:rFonts w:ascii="Arial" w:hAnsi="Arial" w:eastAsia="黑体"/>
      <w:b/>
      <w:kern w:val="0"/>
    </w:rPr>
  </w:style>
  <w:style w:type="paragraph" w:customStyle="1" w:styleId="228">
    <w:name w:val="xl2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29">
    <w:name w:val="xl39"/>
    <w:basedOn w:val="1"/>
    <w:autoRedefine/>
    <w:qFormat/>
    <w:uiPriority w:val="99"/>
    <w:pPr>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30">
    <w:name w:val="xl65"/>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31">
    <w:name w:val="font5"/>
    <w:basedOn w:val="1"/>
    <w:autoRedefine/>
    <w:qFormat/>
    <w:uiPriority w:val="99"/>
    <w:pPr>
      <w:spacing w:before="100" w:beforeAutospacing="1" w:after="100" w:afterAutospacing="1"/>
      <w:jc w:val="left"/>
    </w:pPr>
    <w:rPr>
      <w:rFonts w:ascii="宋体" w:hAnsi="宋体" w:cs="宋体"/>
      <w:kern w:val="0"/>
      <w:sz w:val="18"/>
      <w:szCs w:val="18"/>
    </w:rPr>
  </w:style>
  <w:style w:type="paragraph" w:customStyle="1" w:styleId="232">
    <w:name w:val="xl74"/>
    <w:basedOn w:val="1"/>
    <w:autoRedefine/>
    <w:qFormat/>
    <w:uiPriority w:val="99"/>
    <w:pPr>
      <w:spacing w:before="100" w:beforeAutospacing="1" w:after="100" w:afterAutospacing="1"/>
      <w:jc w:val="center"/>
      <w:textAlignment w:val="center"/>
    </w:pPr>
    <w:rPr>
      <w:rFonts w:ascii="宋体" w:hAnsi="宋体" w:cs="宋体"/>
      <w:kern w:val="0"/>
      <w:sz w:val="20"/>
      <w:szCs w:val="20"/>
    </w:rPr>
  </w:style>
  <w:style w:type="paragraph" w:customStyle="1" w:styleId="233">
    <w:name w:val="Char Char1 Char Char Char Char"/>
    <w:basedOn w:val="1"/>
    <w:autoRedefine/>
    <w:qFormat/>
    <w:uiPriority w:val="99"/>
    <w:pPr>
      <w:adjustRightInd w:val="0"/>
      <w:spacing w:beforeLines="100" w:afterLines="100" w:line="300" w:lineRule="auto"/>
      <w:ind w:firstLine="200" w:firstLineChars="200"/>
      <w:textAlignment w:val="center"/>
    </w:pPr>
    <w:rPr>
      <w:rFonts w:ascii="仿宋_GB2312" w:hAnsi="宋体" w:eastAsia="仿宋_GB2312"/>
      <w:kern w:val="0"/>
      <w:sz w:val="24"/>
      <w:szCs w:val="20"/>
    </w:rPr>
  </w:style>
  <w:style w:type="paragraph" w:customStyle="1" w:styleId="234">
    <w:name w:val="xl23"/>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
    <w:name w:val="xl66"/>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36">
    <w:name w:val="xl51"/>
    <w:basedOn w:val="1"/>
    <w:autoRedefine/>
    <w:qFormat/>
    <w:uiPriority w:val="99"/>
    <w:pPr>
      <w:pBdr>
        <w:left w:val="single" w:color="auto" w:sz="4" w:space="0"/>
        <w:bottom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237">
    <w:name w:val="xl69"/>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238">
    <w:name w:val="默认段落字体 Para Char Char Char Char Char Char Char Char Char Char Char Char Char Char Char1 Char Char Char Char"/>
    <w:basedOn w:val="23"/>
    <w:autoRedefine/>
    <w:qFormat/>
    <w:uiPriority w:val="99"/>
    <w:pPr>
      <w:adjustRightInd w:val="0"/>
      <w:spacing w:line="436" w:lineRule="exact"/>
      <w:ind w:left="357"/>
      <w:jc w:val="left"/>
      <w:outlineLvl w:val="3"/>
    </w:pPr>
    <w:rPr>
      <w:rFonts w:ascii="仿宋_GB2312" w:eastAsia="仿宋_GB2312"/>
      <w:sz w:val="24"/>
    </w:rPr>
  </w:style>
  <w:style w:type="paragraph" w:customStyle="1" w:styleId="239">
    <w:name w:val="样式2"/>
    <w:basedOn w:val="6"/>
    <w:autoRedefine/>
    <w:qFormat/>
    <w:uiPriority w:val="99"/>
    <w:pPr>
      <w:autoSpaceDE w:val="0"/>
      <w:autoSpaceDN w:val="0"/>
      <w:adjustRightInd w:val="0"/>
      <w:spacing w:before="240" w:after="240" w:line="500" w:lineRule="exact"/>
      <w:ind w:firstLine="204" w:firstLineChars="204"/>
      <w:jc w:val="left"/>
    </w:pPr>
    <w:rPr>
      <w:rFonts w:ascii="宋体" w:hAnsi="宋体"/>
      <w:bCs w:val="0"/>
      <w:sz w:val="24"/>
      <w:szCs w:val="20"/>
    </w:rPr>
  </w:style>
  <w:style w:type="paragraph" w:customStyle="1" w:styleId="240">
    <w:name w:val="xl45"/>
    <w:basedOn w:val="1"/>
    <w:autoRedefine/>
    <w:qFormat/>
    <w:uiPriority w:val="99"/>
    <w:pPr>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241">
    <w:name w:val="样式5"/>
    <w:basedOn w:val="1"/>
    <w:autoRedefine/>
    <w:qFormat/>
    <w:uiPriority w:val="99"/>
    <w:pPr>
      <w:tabs>
        <w:tab w:val="left" w:pos="980"/>
      </w:tabs>
      <w:spacing w:line="360" w:lineRule="auto"/>
      <w:ind w:left="140" w:right="-20"/>
      <w:outlineLvl w:val="0"/>
    </w:pPr>
    <w:rPr>
      <w:b/>
      <w:bCs/>
      <w:kern w:val="0"/>
      <w:sz w:val="28"/>
      <w:szCs w:val="28"/>
    </w:rPr>
  </w:style>
  <w:style w:type="paragraph" w:customStyle="1" w:styleId="242">
    <w:name w:val="xl46"/>
    <w:basedOn w:val="1"/>
    <w:autoRedefine/>
    <w:qFormat/>
    <w:uiPriority w:val="99"/>
    <w:pPr>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43">
    <w:name w:val="xl48"/>
    <w:basedOn w:val="1"/>
    <w:autoRedefine/>
    <w:qFormat/>
    <w:uiPriority w:val="99"/>
    <w:pPr>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44">
    <w:name w:val="Char Char1 Char Char Char Char1"/>
    <w:basedOn w:val="1"/>
    <w:autoRedefine/>
    <w:qFormat/>
    <w:uiPriority w:val="99"/>
    <w:pPr>
      <w:adjustRightInd w:val="0"/>
      <w:spacing w:beforeLines="100" w:afterLines="100" w:line="300" w:lineRule="auto"/>
      <w:ind w:firstLine="200" w:firstLineChars="200"/>
    </w:pPr>
    <w:rPr>
      <w:rFonts w:ascii="仿宋_GB2312" w:hAnsi="宋体" w:eastAsia="仿宋_GB2312"/>
      <w:kern w:val="0"/>
      <w:sz w:val="24"/>
      <w:szCs w:val="20"/>
    </w:rPr>
  </w:style>
  <w:style w:type="paragraph" w:customStyle="1" w:styleId="245">
    <w:name w:val="a2"/>
    <w:basedOn w:val="1"/>
    <w:autoRedefine/>
    <w:qFormat/>
    <w:uiPriority w:val="99"/>
    <w:pPr>
      <w:spacing w:before="100" w:beforeAutospacing="1" w:after="100" w:afterAutospacing="1"/>
      <w:jc w:val="left"/>
    </w:pPr>
    <w:rPr>
      <w:rFonts w:ascii="宋体" w:hAnsi="宋体" w:cs="宋体"/>
      <w:kern w:val="0"/>
      <w:sz w:val="24"/>
    </w:rPr>
  </w:style>
  <w:style w:type="paragraph" w:customStyle="1" w:styleId="246">
    <w:name w:val="xl38"/>
    <w:basedOn w:val="1"/>
    <w:autoRedefine/>
    <w:qFormat/>
    <w:uiPriority w:val="99"/>
    <w:pPr>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47">
    <w:name w:val="标题 3（绿盟科技）"/>
    <w:basedOn w:val="4"/>
    <w:autoRedefine/>
    <w:semiHidden/>
    <w:qFormat/>
    <w:uiPriority w:val="99"/>
    <w:pPr>
      <w:tabs>
        <w:tab w:val="left" w:pos="960"/>
        <w:tab w:val="left" w:pos="1260"/>
      </w:tabs>
      <w:spacing w:line="415" w:lineRule="auto"/>
      <w:ind w:left="1260" w:firstLine="147" w:firstLineChars="147"/>
      <w:jc w:val="left"/>
    </w:pPr>
    <w:rPr>
      <w:rFonts w:ascii="Arial" w:hAnsi="Arial" w:eastAsia="黑体"/>
      <w:sz w:val="30"/>
      <w:szCs w:val="30"/>
    </w:rPr>
  </w:style>
  <w:style w:type="paragraph" w:customStyle="1" w:styleId="248">
    <w:name w:val="xl67"/>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49">
    <w:name w:val="font6"/>
    <w:basedOn w:val="1"/>
    <w:autoRedefine/>
    <w:qFormat/>
    <w:uiPriority w:val="99"/>
    <w:pPr>
      <w:spacing w:before="100" w:beforeAutospacing="1" w:after="100" w:afterAutospacing="1"/>
      <w:jc w:val="left"/>
    </w:pPr>
    <w:rPr>
      <w:rFonts w:ascii="宋体" w:hAnsi="宋体" w:cs="宋体"/>
      <w:b/>
      <w:bCs/>
      <w:color w:val="000000"/>
      <w:kern w:val="0"/>
      <w:sz w:val="18"/>
      <w:szCs w:val="18"/>
    </w:rPr>
  </w:style>
  <w:style w:type="paragraph" w:customStyle="1" w:styleId="250">
    <w:name w:val="标题 4（绿盟科技）"/>
    <w:basedOn w:val="5"/>
    <w:autoRedefine/>
    <w:semiHidden/>
    <w:qFormat/>
    <w:uiPriority w:val="99"/>
    <w:pPr>
      <w:tabs>
        <w:tab w:val="left" w:pos="360"/>
      </w:tabs>
      <w:ind w:left="1447" w:hanging="1021"/>
      <w:jc w:val="left"/>
    </w:pPr>
    <w:rPr>
      <w:bCs w:val="0"/>
    </w:rPr>
  </w:style>
  <w:style w:type="paragraph" w:customStyle="1" w:styleId="251">
    <w:name w:val="xl31"/>
    <w:basedOn w:val="1"/>
    <w:autoRedefine/>
    <w:qFormat/>
    <w:uiPriority w:val="99"/>
    <w:pPr>
      <w:pBdr>
        <w:left w:val="single" w:color="auto" w:sz="4" w:space="0"/>
        <w:bottom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52">
    <w:name w:val="xl50"/>
    <w:basedOn w:val="1"/>
    <w:autoRedefine/>
    <w:qFormat/>
    <w:uiPriority w:val="99"/>
    <w:pPr>
      <w:pBdr>
        <w:lef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253">
    <w:name w:val="xl41"/>
    <w:basedOn w:val="1"/>
    <w:autoRedefine/>
    <w:qFormat/>
    <w:uiPriority w:val="99"/>
    <w:pPr>
      <w:pBdr>
        <w:left w:val="single" w:color="auto" w:sz="4" w:space="0"/>
        <w:bottom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54">
    <w:name w:val="样式 标题 2 + 宋体 五号 非加粗 黑色"/>
    <w:basedOn w:val="3"/>
    <w:autoRedefine/>
    <w:qFormat/>
    <w:uiPriority w:val="0"/>
    <w:pPr>
      <w:numPr>
        <w:ilvl w:val="1"/>
        <w:numId w:val="2"/>
      </w:numPr>
      <w:spacing w:line="416" w:lineRule="atLeast"/>
    </w:pPr>
    <w:rPr>
      <w:rFonts w:ascii="宋体" w:hAnsi="宋体" w:eastAsia="宋体"/>
      <w:b w:val="0"/>
      <w:bCs w:val="0"/>
      <w:color w:val="000000"/>
      <w:kern w:val="2"/>
      <w:sz w:val="21"/>
    </w:rPr>
  </w:style>
  <w:style w:type="paragraph" w:customStyle="1" w:styleId="255">
    <w:name w:val="样式4"/>
    <w:basedOn w:val="239"/>
    <w:autoRedefine/>
    <w:qFormat/>
    <w:uiPriority w:val="99"/>
    <w:pPr>
      <w:tabs>
        <w:tab w:val="left" w:pos="360"/>
      </w:tabs>
      <w:adjustRightInd/>
      <w:spacing w:before="0" w:after="200" w:line="276" w:lineRule="auto"/>
      <w:ind w:left="360" w:firstLine="0" w:firstLineChars="0"/>
      <w:jc w:val="both"/>
      <w:outlineLvl w:val="9"/>
    </w:pPr>
    <w:rPr>
      <w:rFonts w:ascii="Calibri" w:hAnsi="Calibri"/>
      <w:szCs w:val="24"/>
    </w:rPr>
  </w:style>
  <w:style w:type="paragraph" w:customStyle="1" w:styleId="256">
    <w:name w:val="xl42"/>
    <w:basedOn w:val="1"/>
    <w:autoRedefine/>
    <w:qFormat/>
    <w:uiPriority w:val="99"/>
    <w:pPr>
      <w:pBdr>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57">
    <w:name w:val="xl34"/>
    <w:basedOn w:val="1"/>
    <w:autoRedefine/>
    <w:qFormat/>
    <w:uiPriority w:val="99"/>
    <w:pPr>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58">
    <w:name w:val="标题 5（有编号）（绿盟科技）"/>
    <w:basedOn w:val="1"/>
    <w:autoRedefine/>
    <w:semiHidden/>
    <w:qFormat/>
    <w:uiPriority w:val="99"/>
    <w:pPr>
      <w:tabs>
        <w:tab w:val="left" w:pos="840"/>
      </w:tabs>
      <w:spacing w:line="377" w:lineRule="auto"/>
      <w:ind w:left="1560" w:hanging="1134"/>
      <w:jc w:val="left"/>
      <w:outlineLvl w:val="4"/>
    </w:pPr>
    <w:rPr>
      <w:rFonts w:ascii="Arial" w:hAnsi="Arial" w:eastAsia="黑体"/>
      <w:b/>
      <w:kern w:val="0"/>
      <w:sz w:val="24"/>
      <w:szCs w:val="28"/>
    </w:rPr>
  </w:style>
  <w:style w:type="paragraph" w:customStyle="1" w:styleId="259">
    <w:name w:val="xl75"/>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60">
    <w:name w:val="xl30"/>
    <w:basedOn w:val="1"/>
    <w:autoRedefine/>
    <w:qFormat/>
    <w:uiPriority w:val="99"/>
    <w:pPr>
      <w:pBdr>
        <w:top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61">
    <w:name w:val="xl76"/>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62">
    <w:name w:val="xl24"/>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63">
    <w:name w:val="xl37"/>
    <w:basedOn w:val="1"/>
    <w:autoRedefine/>
    <w:qFormat/>
    <w:uiPriority w:val="99"/>
    <w:pPr>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64">
    <w:name w:val="xl49"/>
    <w:basedOn w:val="1"/>
    <w:autoRedefine/>
    <w:qFormat/>
    <w:uiPriority w:val="99"/>
    <w:pPr>
      <w:pBdr>
        <w:top w:val="single" w:color="auto" w:sz="4" w:space="0"/>
        <w:lef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265">
    <w:name w:val="xl43"/>
    <w:basedOn w:val="266"/>
    <w:autoRedefine/>
    <w:qFormat/>
    <w:uiPriority w:val="99"/>
    <w:pPr>
      <w:pBdr>
        <w:bottom w:val="single" w:color="auto" w:sz="4" w:space="0"/>
        <w:right w:val="single" w:color="auto" w:sz="4" w:space="0"/>
      </w:pBdr>
      <w:jc w:val="center"/>
    </w:pPr>
    <w:rPr>
      <w:sz w:val="21"/>
      <w:szCs w:val="21"/>
    </w:rPr>
  </w:style>
  <w:style w:type="paragraph" w:customStyle="1" w:styleId="266">
    <w:name w:val="style0"/>
    <w:basedOn w:val="1"/>
    <w:autoRedefine/>
    <w:qFormat/>
    <w:uiPriority w:val="99"/>
    <w:pPr>
      <w:spacing w:before="100" w:beforeAutospacing="1" w:after="100" w:afterAutospacing="1"/>
      <w:jc w:val="left"/>
    </w:pPr>
    <w:rPr>
      <w:rFonts w:ascii="宋体" w:hAnsi="宋体"/>
      <w:kern w:val="0"/>
      <w:sz w:val="24"/>
    </w:rPr>
  </w:style>
  <w:style w:type="paragraph" w:customStyle="1" w:styleId="267">
    <w:name w:val="xl35"/>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268">
    <w:name w:val="Char Char 字元 字元 字元 Char Char Char Char"/>
    <w:basedOn w:val="1"/>
    <w:autoRedefine/>
    <w:qFormat/>
    <w:uiPriority w:val="99"/>
    <w:pPr>
      <w:adjustRightInd w:val="0"/>
      <w:spacing w:line="360" w:lineRule="auto"/>
    </w:pPr>
    <w:rPr>
      <w:kern w:val="0"/>
      <w:sz w:val="24"/>
      <w:szCs w:val="20"/>
    </w:rPr>
  </w:style>
  <w:style w:type="paragraph" w:customStyle="1" w:styleId="269">
    <w:name w:val="xl78"/>
    <w:basedOn w:val="1"/>
    <w:autoRedefine/>
    <w:qFormat/>
    <w:uiPriority w:val="99"/>
    <w:pPr>
      <w:pBdr>
        <w:top w:val="single" w:color="auto" w:sz="4" w:space="0"/>
        <w:left w:val="single" w:color="auto" w:sz="4" w:space="0"/>
        <w:bottom w:val="single" w:color="auto" w:sz="4" w:space="0"/>
        <w:right w:val="single" w:color="auto" w:sz="4" w:space="0"/>
      </w:pBdr>
      <w:shd w:val="clear" w:color="auto" w:fill="99CCFF"/>
      <w:spacing w:before="100" w:beforeAutospacing="1" w:after="100" w:afterAutospacing="1"/>
      <w:jc w:val="center"/>
      <w:textAlignment w:val="center"/>
    </w:pPr>
    <w:rPr>
      <w:rFonts w:ascii="黑体" w:hAnsi="宋体" w:eastAsia="黑体" w:cs="宋体"/>
      <w:b/>
      <w:bCs/>
      <w:kern w:val="0"/>
      <w:sz w:val="28"/>
      <w:szCs w:val="28"/>
    </w:rPr>
  </w:style>
  <w:style w:type="paragraph" w:customStyle="1" w:styleId="270">
    <w:name w:val="xl40"/>
    <w:basedOn w:val="1"/>
    <w:autoRedefine/>
    <w:qFormat/>
    <w:uiPriority w:val="99"/>
    <w:pPr>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71">
    <w:name w:val="xl22"/>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72">
    <w:name w:val="示例"/>
    <w:autoRedefine/>
    <w:qFormat/>
    <w:uiPriority w:val="99"/>
    <w:pPr>
      <w:jc w:val="both"/>
    </w:pPr>
    <w:rPr>
      <w:rFonts w:ascii="宋体" w:hAnsiTheme="minorHAnsi" w:eastAsiaTheme="minorEastAsia" w:cstheme="minorBidi"/>
      <w:sz w:val="18"/>
      <w:lang w:val="en-US" w:eastAsia="zh-CN" w:bidi="ar-SA"/>
    </w:rPr>
  </w:style>
  <w:style w:type="paragraph" w:customStyle="1" w:styleId="273">
    <w:name w:val="xl72"/>
    <w:basedOn w:val="1"/>
    <w:autoRedefine/>
    <w:qFormat/>
    <w:uiPriority w:val="99"/>
    <w:pPr>
      <w:spacing w:before="100" w:beforeAutospacing="1" w:after="100" w:afterAutospacing="1"/>
      <w:jc w:val="center"/>
      <w:textAlignment w:val="center"/>
    </w:pPr>
    <w:rPr>
      <w:rFonts w:ascii="宋体" w:hAnsi="宋体" w:cs="宋体"/>
      <w:kern w:val="0"/>
      <w:sz w:val="20"/>
      <w:szCs w:val="20"/>
    </w:rPr>
  </w:style>
  <w:style w:type="paragraph" w:customStyle="1" w:styleId="274">
    <w:name w:val="xl28"/>
    <w:basedOn w:val="1"/>
    <w:autoRedefine/>
    <w:qFormat/>
    <w:uiPriority w:val="99"/>
    <w:pPr>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75">
    <w:name w:val="t4_2"/>
    <w:basedOn w:val="1"/>
    <w:autoRedefine/>
    <w:qFormat/>
    <w:uiPriority w:val="99"/>
    <w:pPr>
      <w:tabs>
        <w:tab w:val="left" w:pos="360"/>
      </w:tabs>
      <w:spacing w:line="360" w:lineRule="auto"/>
      <w:ind w:left="420"/>
      <w:jc w:val="left"/>
    </w:pPr>
    <w:rPr>
      <w:b/>
    </w:rPr>
  </w:style>
  <w:style w:type="paragraph" w:customStyle="1" w:styleId="276">
    <w:name w:val="xl47"/>
    <w:basedOn w:val="1"/>
    <w:autoRedefine/>
    <w:qFormat/>
    <w:uiPriority w:val="99"/>
    <w:pPr>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77">
    <w:name w:val="样式9"/>
    <w:basedOn w:val="1"/>
    <w:autoRedefine/>
    <w:qFormat/>
    <w:uiPriority w:val="0"/>
    <w:pPr>
      <w:spacing w:before="240" w:after="60" w:line="317" w:lineRule="auto"/>
      <w:ind w:firstLine="200" w:firstLineChars="200"/>
      <w:jc w:val="left"/>
      <w:outlineLvl w:val="0"/>
    </w:pPr>
    <w:rPr>
      <w:rFonts w:ascii="仿宋_GB2312" w:hAnsi="Arial" w:eastAsia="仿宋_GB2312" w:cs="Arial"/>
      <w:b/>
      <w:bCs/>
      <w:sz w:val="24"/>
      <w:szCs w:val="32"/>
    </w:rPr>
  </w:style>
  <w:style w:type="paragraph" w:customStyle="1" w:styleId="278">
    <w:name w:val="xl44"/>
    <w:basedOn w:val="1"/>
    <w:autoRedefine/>
    <w:qFormat/>
    <w:uiPriority w:val="99"/>
    <w:pPr>
      <w:pBdr>
        <w:left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279">
    <w:name w:val="xl77"/>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280">
    <w:name w:val="样式目录三"/>
    <w:basedOn w:val="39"/>
    <w:autoRedefine/>
    <w:semiHidden/>
    <w:qFormat/>
    <w:uiPriority w:val="99"/>
    <w:pPr>
      <w:numPr>
        <w:ilvl w:val="5"/>
        <w:numId w:val="1"/>
      </w:numPr>
      <w:tabs>
        <w:tab w:val="left" w:pos="1320"/>
        <w:tab w:val="right" w:leader="dot" w:pos="8597"/>
      </w:tabs>
      <w:spacing w:line="360" w:lineRule="auto"/>
      <w:ind w:left="0" w:firstLine="0"/>
      <w:outlineLvl w:val="2"/>
    </w:pPr>
    <w:rPr>
      <w:i w:val="0"/>
      <w:sz w:val="24"/>
    </w:rPr>
  </w:style>
  <w:style w:type="paragraph" w:customStyle="1" w:styleId="281">
    <w:name w:val="font0"/>
    <w:basedOn w:val="1"/>
    <w:autoRedefine/>
    <w:qFormat/>
    <w:uiPriority w:val="99"/>
    <w:pPr>
      <w:spacing w:before="100" w:beforeAutospacing="1" w:after="100" w:afterAutospacing="1"/>
      <w:jc w:val="left"/>
    </w:pPr>
    <w:rPr>
      <w:rFonts w:ascii="宋体" w:hAnsi="宋体" w:cs="宋体"/>
      <w:kern w:val="0"/>
      <w:sz w:val="24"/>
    </w:rPr>
  </w:style>
  <w:style w:type="paragraph" w:customStyle="1" w:styleId="282">
    <w:name w:val="xl33"/>
    <w:basedOn w:val="266"/>
    <w:autoRedefine/>
    <w:qFormat/>
    <w:uiPriority w:val="99"/>
    <w:pPr>
      <w:pBdr>
        <w:bottom w:val="single" w:color="auto" w:sz="4" w:space="0"/>
        <w:right w:val="single" w:color="auto" w:sz="4" w:space="0"/>
      </w:pBdr>
      <w:jc w:val="center"/>
    </w:pPr>
    <w:rPr>
      <w:sz w:val="20"/>
      <w:szCs w:val="20"/>
    </w:rPr>
  </w:style>
  <w:style w:type="paragraph" w:customStyle="1" w:styleId="283">
    <w:name w:val="标题 2（绿盟科技）"/>
    <w:basedOn w:val="3"/>
    <w:autoRedefine/>
    <w:semiHidden/>
    <w:qFormat/>
    <w:uiPriority w:val="99"/>
    <w:pPr>
      <w:numPr>
        <w:ilvl w:val="1"/>
        <w:numId w:val="1"/>
      </w:numPr>
      <w:tabs>
        <w:tab w:val="left" w:pos="1440"/>
      </w:tabs>
      <w:spacing w:line="415" w:lineRule="auto"/>
      <w:jc w:val="left"/>
    </w:pPr>
    <w:rPr>
      <w:bCs w:val="0"/>
    </w:rPr>
  </w:style>
  <w:style w:type="paragraph" w:customStyle="1" w:styleId="284">
    <w:name w:val="正文居中"/>
    <w:basedOn w:val="1"/>
    <w:autoRedefine/>
    <w:qFormat/>
    <w:uiPriority w:val="99"/>
    <w:pPr>
      <w:jc w:val="center"/>
    </w:pPr>
    <w:rPr>
      <w:sz w:val="24"/>
      <w:szCs w:val="20"/>
    </w:rPr>
  </w:style>
  <w:style w:type="paragraph" w:customStyle="1" w:styleId="285">
    <w:name w:val="xl32"/>
    <w:basedOn w:val="1"/>
    <w:autoRedefine/>
    <w:qFormat/>
    <w:uiPriority w:val="99"/>
    <w:pPr>
      <w:pBdr>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86">
    <w:name w:val="xl73"/>
    <w:basedOn w:val="1"/>
    <w:autoRedefine/>
    <w:qFormat/>
    <w:uiPriority w:val="99"/>
    <w:pPr>
      <w:spacing w:before="100" w:beforeAutospacing="1" w:after="100" w:afterAutospacing="1"/>
      <w:jc w:val="center"/>
      <w:textAlignment w:val="center"/>
    </w:pPr>
    <w:rPr>
      <w:rFonts w:ascii="宋体" w:hAnsi="宋体" w:cs="宋体"/>
      <w:kern w:val="0"/>
      <w:sz w:val="18"/>
      <w:szCs w:val="18"/>
    </w:rPr>
  </w:style>
  <w:style w:type="paragraph" w:customStyle="1" w:styleId="287">
    <w:name w:val="样式1"/>
    <w:basedOn w:val="5"/>
    <w:autoRedefine/>
    <w:qFormat/>
    <w:uiPriority w:val="99"/>
    <w:pPr>
      <w:autoSpaceDE w:val="0"/>
      <w:autoSpaceDN w:val="0"/>
      <w:adjustRightInd w:val="0"/>
      <w:spacing w:line="500" w:lineRule="exact"/>
      <w:ind w:firstLine="490" w:firstLineChars="204"/>
      <w:jc w:val="left"/>
    </w:pPr>
    <w:rPr>
      <w:rFonts w:ascii="宋体" w:hAnsi="宋体"/>
      <w:bCs w:val="0"/>
      <w:sz w:val="24"/>
      <w:szCs w:val="20"/>
    </w:rPr>
  </w:style>
  <w:style w:type="paragraph" w:customStyle="1" w:styleId="288">
    <w:name w:val="注×："/>
    <w:autoRedefine/>
    <w:semiHidden/>
    <w:qFormat/>
    <w:uiPriority w:val="99"/>
    <w:pPr>
      <w:widowControl w:val="0"/>
      <w:tabs>
        <w:tab w:val="left" w:pos="360"/>
        <w:tab w:val="left" w:pos="630"/>
      </w:tabs>
      <w:autoSpaceDE w:val="0"/>
      <w:autoSpaceDN w:val="0"/>
      <w:ind w:left="360" w:hanging="360"/>
      <w:jc w:val="both"/>
    </w:pPr>
    <w:rPr>
      <w:rFonts w:ascii="宋体" w:hAnsiTheme="minorHAnsi" w:eastAsiaTheme="minorEastAsia" w:cstheme="minorBidi"/>
      <w:sz w:val="18"/>
      <w:lang w:val="en-US" w:eastAsia="zh-CN" w:bidi="ar-SA"/>
    </w:rPr>
  </w:style>
  <w:style w:type="paragraph" w:customStyle="1" w:styleId="289">
    <w:name w:val="Char Char Char Char"/>
    <w:basedOn w:val="1"/>
    <w:autoRedefine/>
    <w:qFormat/>
    <w:uiPriority w:val="99"/>
    <w:rPr>
      <w:rFonts w:ascii="Tahoma" w:hAnsi="Tahoma"/>
      <w:sz w:val="24"/>
      <w:szCs w:val="20"/>
    </w:rPr>
  </w:style>
  <w:style w:type="paragraph" w:customStyle="1" w:styleId="290">
    <w:name w:val="p0"/>
    <w:basedOn w:val="1"/>
    <w:autoRedefine/>
    <w:semiHidden/>
    <w:qFormat/>
    <w:uiPriority w:val="99"/>
    <w:pPr>
      <w:spacing w:after="200" w:line="273" w:lineRule="auto"/>
      <w:jc w:val="left"/>
    </w:pPr>
    <w:rPr>
      <w:rFonts w:ascii="Calibri" w:hAnsi="Calibri" w:cs="宋体"/>
      <w:kern w:val="0"/>
      <w:sz w:val="22"/>
      <w:szCs w:val="22"/>
    </w:rPr>
  </w:style>
  <w:style w:type="paragraph" w:customStyle="1" w:styleId="291">
    <w:name w:val="Char"/>
    <w:basedOn w:val="1"/>
    <w:autoRedefine/>
    <w:qFormat/>
    <w:uiPriority w:val="99"/>
    <w:pPr>
      <w:tabs>
        <w:tab w:val="left" w:pos="708"/>
      </w:tabs>
      <w:ind w:firstLine="420"/>
    </w:pPr>
    <w:rPr>
      <w:rFonts w:ascii="仿宋_GB2312" w:eastAsia="仿宋_GB2312"/>
      <w:sz w:val="24"/>
    </w:rPr>
  </w:style>
  <w:style w:type="paragraph" w:customStyle="1" w:styleId="292">
    <w:name w:val="xl36"/>
    <w:basedOn w:val="1"/>
    <w:autoRedefine/>
    <w:qFormat/>
    <w:uiPriority w:val="99"/>
    <w:pPr>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93">
    <w:name w:val="正文2"/>
    <w:basedOn w:val="1"/>
    <w:autoRedefine/>
    <w:semiHidden/>
    <w:qFormat/>
    <w:uiPriority w:val="99"/>
    <w:pPr>
      <w:spacing w:before="156" w:line="360" w:lineRule="auto"/>
      <w:ind w:firstLine="510" w:firstLineChars="200"/>
    </w:pPr>
    <w:rPr>
      <w:sz w:val="24"/>
      <w:szCs w:val="20"/>
    </w:rPr>
  </w:style>
  <w:style w:type="paragraph" w:customStyle="1" w:styleId="294">
    <w:name w:val="xl70"/>
    <w:basedOn w:val="1"/>
    <w:autoRedefine/>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295">
    <w:name w:val="111111"/>
    <w:basedOn w:val="70"/>
    <w:autoRedefine/>
    <w:qFormat/>
    <w:uiPriority w:val="99"/>
    <w:pPr>
      <w:jc w:val="both"/>
    </w:pPr>
  </w:style>
  <w:style w:type="paragraph" w:customStyle="1" w:styleId="296">
    <w:name w:val="xl27"/>
    <w:basedOn w:val="1"/>
    <w:autoRedefine/>
    <w:qFormat/>
    <w:uiPriority w:val="99"/>
    <w:pPr>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7">
    <w:name w:val="PP 行"/>
    <w:basedOn w:val="51"/>
    <w:autoRedefine/>
    <w:qFormat/>
    <w:uiPriority w:val="99"/>
  </w:style>
  <w:style w:type="paragraph" w:customStyle="1" w:styleId="298">
    <w:name w:val="简单回函地址"/>
    <w:basedOn w:val="1"/>
    <w:autoRedefine/>
    <w:qFormat/>
    <w:uiPriority w:val="99"/>
  </w:style>
  <w:style w:type="paragraph" w:customStyle="1" w:styleId="299">
    <w:name w:val="五级无标题条"/>
    <w:basedOn w:val="1"/>
    <w:autoRedefine/>
    <w:qFormat/>
    <w:uiPriority w:val="99"/>
    <w:pPr>
      <w:tabs>
        <w:tab w:val="left" w:pos="840"/>
      </w:tabs>
      <w:ind w:left="840" w:hanging="630"/>
    </w:pPr>
    <w:rPr>
      <w:szCs w:val="20"/>
    </w:rPr>
  </w:style>
  <w:style w:type="paragraph" w:customStyle="1" w:styleId="300">
    <w:name w:val="xl26"/>
    <w:basedOn w:val="1"/>
    <w:autoRedefine/>
    <w:qFormat/>
    <w:uiPriority w:val="99"/>
    <w:pPr>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
    <w:name w:val="表格标注（绿盟科技）"/>
    <w:basedOn w:val="222"/>
    <w:autoRedefine/>
    <w:semiHidden/>
    <w:qFormat/>
    <w:uiPriority w:val="99"/>
    <w:pPr>
      <w:numPr>
        <w:ilvl w:val="4"/>
        <w:numId w:val="0"/>
      </w:numPr>
      <w:tabs>
        <w:tab w:val="left" w:pos="1620"/>
      </w:tabs>
      <w:ind w:left="1620" w:hanging="360"/>
    </w:pPr>
  </w:style>
  <w:style w:type="paragraph" w:customStyle="1" w:styleId="302">
    <w:name w:val="xl29"/>
    <w:basedOn w:val="1"/>
    <w:autoRedefine/>
    <w:qFormat/>
    <w:uiPriority w:val="99"/>
    <w:pPr>
      <w:pBdr>
        <w:top w:val="single" w:color="auto" w:sz="4" w:space="0"/>
        <w:lef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character" w:customStyle="1" w:styleId="303">
    <w:name w:val="页眉 Char"/>
    <w:autoRedefine/>
    <w:semiHidden/>
    <w:qFormat/>
    <w:uiPriority w:val="0"/>
    <w:rPr>
      <w:rFonts w:cs="Times New Roman"/>
      <w:sz w:val="18"/>
      <w:szCs w:val="18"/>
    </w:rPr>
  </w:style>
  <w:style w:type="paragraph" w:customStyle="1" w:styleId="304">
    <w:name w:val="列表段落11"/>
    <w:basedOn w:val="1"/>
    <w:autoRedefine/>
    <w:qFormat/>
    <w:uiPriority w:val="99"/>
    <w:pPr>
      <w:spacing w:line="360" w:lineRule="auto"/>
      <w:ind w:firstLine="480" w:firstLineChars="200"/>
    </w:pPr>
    <w:rPr>
      <w:rFonts w:ascii="Calibri" w:hAnsi="Calibri"/>
      <w:color w:val="262626"/>
      <w:kern w:val="0"/>
      <w:sz w:val="20"/>
      <w:szCs w:val="20"/>
    </w:rPr>
  </w:style>
  <w:style w:type="paragraph" w:customStyle="1" w:styleId="305">
    <w:name w:val="正文文字3"/>
    <w:basedOn w:val="30"/>
    <w:autoRedefine/>
    <w:qFormat/>
    <w:uiPriority w:val="0"/>
    <w:pPr>
      <w:spacing w:after="0"/>
    </w:pPr>
  </w:style>
  <w:style w:type="character" w:customStyle="1" w:styleId="306">
    <w:name w:val="Hyperlink.1"/>
    <w:autoRedefine/>
    <w:qFormat/>
    <w:uiPriority w:val="0"/>
    <w:rPr>
      <w:rFonts w:ascii="宋体" w:hAnsi="宋体" w:eastAsia="宋体" w:cs="宋体"/>
      <w:lang w:val="zh-TW" w:eastAsia="zh-TW"/>
    </w:rPr>
  </w:style>
  <w:style w:type="paragraph" w:styleId="307">
    <w:name w:val="Quote"/>
    <w:autoRedefine/>
    <w:qFormat/>
    <w:uiPriority w:val="0"/>
    <w:pPr>
      <w:wordWrap w:val="0"/>
      <w:spacing w:before="200" w:after="160"/>
      <w:ind w:left="864" w:right="864"/>
      <w:jc w:val="center"/>
    </w:pPr>
    <w:rPr>
      <w:rFonts w:ascii="Cambria" w:hAnsi="Cambria" w:cs="Cambria" w:eastAsiaTheme="minorEastAsia"/>
      <w:i/>
      <w:sz w:val="21"/>
      <w:lang w:val="en-US" w:eastAsia="zh-CN" w:bidi="ar-SA"/>
    </w:rPr>
  </w:style>
  <w:style w:type="character" w:customStyle="1" w:styleId="308">
    <w:name w:val="Char Char2"/>
    <w:autoRedefine/>
    <w:qFormat/>
    <w:uiPriority w:val="0"/>
    <w:rPr>
      <w:rFonts w:ascii="Arial" w:hAnsi="Arial" w:eastAsia="黑体"/>
      <w:b/>
      <w:bCs/>
      <w:kern w:val="2"/>
      <w:sz w:val="32"/>
      <w:szCs w:val="32"/>
    </w:rPr>
  </w:style>
  <w:style w:type="paragraph" w:customStyle="1" w:styleId="309">
    <w:name w:val="Style1"/>
    <w:autoRedefine/>
    <w:qFormat/>
    <w:uiPriority w:val="0"/>
    <w:pPr>
      <w:spacing w:after="120"/>
      <w:jc w:val="both"/>
    </w:pPr>
    <w:rPr>
      <w:rFonts w:ascii="Calibri" w:hAnsi="Calibri" w:eastAsia="Times New Roman" w:cs="Times New Roman"/>
      <w:color w:val="000000"/>
      <w:spacing w:val="-3"/>
      <w:sz w:val="24"/>
      <w:szCs w:val="24"/>
      <w:lang w:val="en-US" w:eastAsia="zh-CN" w:bidi="ar-SA"/>
    </w:rPr>
  </w:style>
  <w:style w:type="paragraph" w:customStyle="1" w:styleId="310">
    <w:name w:val="修订1"/>
    <w:autoRedefine/>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311">
    <w:name w:val="layui-this"/>
    <w:basedOn w:val="119"/>
    <w:qFormat/>
    <w:uiPriority w:val="0"/>
    <w:rPr>
      <w:shd w:val="clear" w:color="auto" w:fill="FFFFFF"/>
    </w:rPr>
  </w:style>
  <w:style w:type="character" w:customStyle="1" w:styleId="312">
    <w:name w:val="layui-laydate-preview"/>
    <w:basedOn w:val="119"/>
    <w:qFormat/>
    <w:uiPriority w:val="0"/>
  </w:style>
  <w:style w:type="character" w:customStyle="1" w:styleId="313">
    <w:name w:val="hover13"/>
    <w:basedOn w:val="119"/>
    <w:qFormat/>
    <w:uiPriority w:val="0"/>
    <w:rPr>
      <w:color w:val="FFFFFF"/>
    </w:rPr>
  </w:style>
  <w:style w:type="character" w:customStyle="1" w:styleId="314">
    <w:name w:val="hover14"/>
    <w:basedOn w:val="119"/>
    <w:qFormat/>
    <w:uiPriority w:val="0"/>
    <w:rPr>
      <w:color w:val="16B777"/>
    </w:rPr>
  </w:style>
  <w:style w:type="character" w:customStyle="1" w:styleId="315">
    <w:name w:val="hover15"/>
    <w:basedOn w:val="119"/>
    <w:qFormat/>
    <w:uiPriority w:val="0"/>
  </w:style>
  <w:style w:type="character" w:customStyle="1" w:styleId="316">
    <w:name w:val="hover16"/>
    <w:basedOn w:val="119"/>
    <w:qFormat/>
    <w:uiPriority w:val="0"/>
    <w:rPr>
      <w:shd w:val="clear" w:color="auto" w:fill="E5E5E5"/>
    </w:rPr>
  </w:style>
  <w:style w:type="character" w:customStyle="1" w:styleId="317">
    <w:name w:val="hover17"/>
    <w:basedOn w:val="119"/>
    <w:qFormat/>
    <w:uiPriority w:val="0"/>
    <w:rPr>
      <w:color w:val="16B777"/>
    </w:rPr>
  </w:style>
  <w:style w:type="character" w:customStyle="1" w:styleId="318">
    <w:name w:val="ellipsis"/>
    <w:basedOn w:val="119"/>
    <w:qFormat/>
    <w:uiPriority w:val="0"/>
  </w:style>
  <w:style w:type="character" w:customStyle="1" w:styleId="319">
    <w:name w:val="first-child1"/>
    <w:basedOn w:val="119"/>
    <w:qFormat/>
    <w:uiPriority w:val="0"/>
  </w:style>
  <w:style w:type="character" w:customStyle="1" w:styleId="320">
    <w:name w:val="first-child2"/>
    <w:basedOn w:val="119"/>
    <w:qFormat/>
    <w:uiPriority w:val="0"/>
  </w:style>
  <w:style w:type="character" w:customStyle="1" w:styleId="321">
    <w:name w:val="last-child1"/>
    <w:basedOn w:val="119"/>
    <w:qFormat/>
    <w:uiPriority w:val="0"/>
  </w:style>
  <w:style w:type="character" w:customStyle="1" w:styleId="322">
    <w:name w:val="hover18"/>
    <w:basedOn w:val="119"/>
    <w:qFormat/>
    <w:uiPriority w:val="0"/>
    <w:rPr>
      <w:shd w:val="clear" w:color="auto" w:fill="E5E5E5"/>
    </w:rPr>
  </w:style>
  <w:style w:type="character" w:customStyle="1" w:styleId="323">
    <w:name w:val="layui-this4"/>
    <w:basedOn w:val="119"/>
    <w:qFormat/>
    <w:uiPriority w:val="0"/>
    <w:rPr>
      <w:shd w:val="clear" w:color="auto" w:fill="FFFFFF"/>
    </w:rPr>
  </w:style>
  <w:style w:type="character" w:customStyle="1" w:styleId="324">
    <w:name w:val="hover"/>
    <w:basedOn w:val="119"/>
    <w:qFormat/>
    <w:uiPriority w:val="0"/>
    <w:rPr>
      <w:color w:val="FFFFFF"/>
    </w:rPr>
  </w:style>
  <w:style w:type="character" w:customStyle="1" w:styleId="325">
    <w:name w:val="hover1"/>
    <w:basedOn w:val="119"/>
    <w:qFormat/>
    <w:uiPriority w:val="0"/>
    <w:rPr>
      <w:color w:val="16B777"/>
    </w:rPr>
  </w:style>
  <w:style w:type="character" w:customStyle="1" w:styleId="326">
    <w:name w:val="hover2"/>
    <w:basedOn w:val="119"/>
    <w:qFormat/>
    <w:uiPriority w:val="0"/>
    <w:rPr>
      <w:shd w:val="clear" w:color="auto" w:fill="E5E5E5"/>
    </w:rPr>
  </w:style>
  <w:style w:type="character" w:customStyle="1" w:styleId="327">
    <w:name w:val="hover3"/>
    <w:basedOn w:val="119"/>
    <w:qFormat/>
    <w:uiPriority w:val="0"/>
  </w:style>
  <w:style w:type="character" w:customStyle="1" w:styleId="328">
    <w:name w:val="hover4"/>
    <w:basedOn w:val="119"/>
    <w:qFormat/>
    <w:uiPriority w:val="0"/>
    <w:rPr>
      <w:color w:val="16B777"/>
    </w:rPr>
  </w:style>
  <w:style w:type="character" w:customStyle="1" w:styleId="329">
    <w:name w:val="first-child"/>
    <w:basedOn w:val="119"/>
    <w:qFormat/>
    <w:uiPriority w:val="0"/>
  </w:style>
  <w:style w:type="paragraph" w:customStyle="1" w:styleId="330">
    <w:name w:val="Table Text"/>
    <w:basedOn w:val="1"/>
    <w:semiHidden/>
    <w:qFormat/>
    <w:uiPriority w:val="0"/>
    <w:rPr>
      <w:rFonts w:ascii="宋体" w:hAnsi="宋体" w:cs="宋体"/>
      <w:sz w:val="24"/>
      <w:lang w:eastAsia="en-US"/>
    </w:rPr>
  </w:style>
  <w:style w:type="paragraph" w:customStyle="1" w:styleId="331">
    <w:name w:val="_Style 330"/>
    <w:basedOn w:val="1"/>
    <w:next w:val="1"/>
    <w:qFormat/>
    <w:uiPriority w:val="0"/>
    <w:pPr>
      <w:pBdr>
        <w:bottom w:val="single" w:color="auto" w:sz="6" w:space="1"/>
      </w:pBdr>
      <w:jc w:val="center"/>
    </w:pPr>
    <w:rPr>
      <w:rFonts w:ascii="Arial" w:eastAsia="宋体"/>
      <w:vanish/>
      <w:sz w:val="16"/>
    </w:rPr>
  </w:style>
  <w:style w:type="paragraph" w:customStyle="1" w:styleId="332">
    <w:name w:val="_Style 331"/>
    <w:basedOn w:val="1"/>
    <w:next w:val="1"/>
    <w:qFormat/>
    <w:uiPriority w:val="0"/>
    <w:pPr>
      <w:pBdr>
        <w:top w:val="single" w:color="auto" w:sz="6" w:space="1"/>
      </w:pBdr>
      <w:jc w:val="center"/>
    </w:pPr>
    <w:rPr>
      <w:rFonts w:ascii="Arial" w:eastAsia="宋体"/>
      <w:vanish/>
      <w:sz w:val="16"/>
    </w:rPr>
  </w:style>
  <w:style w:type="table" w:customStyle="1" w:styleId="333">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334">
    <w:name w:val="正文（绿盟科技）"/>
    <w:qFormat/>
    <w:uiPriority w:val="99"/>
    <w:pPr>
      <w:spacing w:line="300" w:lineRule="auto"/>
    </w:pPr>
    <w:rPr>
      <w:rFonts w:ascii="Arial" w:hAnsi="Arial" w:eastAsia="宋体" w:cs="黑体"/>
      <w:sz w:val="21"/>
      <w:szCs w:val="21"/>
      <w:lang w:val="en-US" w:eastAsia="zh-CN" w:bidi="ar-SA"/>
    </w:rPr>
  </w:style>
  <w:style w:type="character" w:customStyle="1" w:styleId="335">
    <w:name w:val="last-child"/>
    <w:basedOn w:val="119"/>
    <w:qFormat/>
    <w:uiPriority w:val="0"/>
  </w:style>
  <w:style w:type="paragraph" w:customStyle="1" w:styleId="336">
    <w:name w:val="正文文本缩进1"/>
    <w:basedOn w:val="1"/>
    <w:qFormat/>
    <w:uiPriority w:val="0"/>
    <w:pPr>
      <w:spacing w:line="360" w:lineRule="auto"/>
      <w:ind w:left="420" w:firstLine="420"/>
    </w:pPr>
    <w:rPr>
      <w:rFonts w:ascii="Calibri" w:hAnsi="Calibri" w:cs="黑体"/>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Company>
  <Pages>69</Pages>
  <Words>13566</Words>
  <Characters>14507</Characters>
  <Lines>195</Lines>
  <Paragraphs>54</Paragraphs>
  <TotalTime>6</TotalTime>
  <ScaleCrop>false</ScaleCrop>
  <LinksUpToDate>false</LinksUpToDate>
  <CharactersWithSpaces>14835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2024-09-19T02:11:00Z</dcterms:created>
  <dc:creator>USER</dc:creator>
  <cp:lastModifiedBy>NTKO</cp:lastModifiedBy>
  <cp:lastPrinted>2024-09-25T10:28:00Z</cp:lastPrinted>
  <dcterms:modified xsi:type="dcterms:W3CDTF">2025-05-09T03:06:24Z</dcterms:modified>
  <dc:title>招标文件目录</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64AC145F1A8A4A1493F2EE3A5E231449_13</vt:lpwstr>
  </property>
  <property fmtid="{D5CDD505-2E9C-101B-9397-08002B2CF9AE}" pid="4" name="KSOTemplateDocerSaveRecord">
    <vt:lpwstr>eyJoZGlkIjoiNjBmMzc0MTM4NjJhMmUzY2JiNzliNTRlNzc5MmI0OWYiLCJ1c2VySWQiOiIzNzY3MjM0MjQifQ==</vt:lpwstr>
  </property>
</Properties>
</file>