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仿宋" w:hAnsi="仿宋" w:eastAsia="仿宋"/>
          <w:b/>
          <w:bCs/>
          <w:sz w:val="32"/>
        </w:rPr>
      </w:pPr>
      <w:r>
        <w:rPr>
          <w:rFonts w:hint="eastAsia" w:ascii="仿宋" w:hAnsi="仿宋" w:eastAsia="仿宋"/>
          <w:b/>
          <w:bCs/>
          <w:sz w:val="32"/>
        </w:rPr>
        <w:t>（一）山东大学采购项目技术条款响应一览表</w:t>
      </w:r>
    </w:p>
    <w:tbl>
      <w:tblPr>
        <w:tblStyle w:val="75"/>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1"/>
        <w:gridCol w:w="708"/>
        <w:gridCol w:w="567"/>
        <w:gridCol w:w="6379"/>
        <w:gridCol w:w="11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21" w:type="dxa"/>
            <w:vAlign w:val="center"/>
          </w:tcPr>
          <w:p>
            <w:pPr>
              <w:jc w:val="left"/>
              <w:rPr>
                <w:rFonts w:ascii="仿宋" w:hAnsi="仿宋" w:eastAsia="仿宋"/>
                <w:lang w:val="zh-CN"/>
              </w:rPr>
            </w:pPr>
            <w:r>
              <w:rPr>
                <w:rFonts w:hint="eastAsia" w:ascii="仿宋" w:hAnsi="仿宋" w:eastAsia="仿宋"/>
                <w:lang w:val="zh-CN"/>
              </w:rPr>
              <w:t>序号</w:t>
            </w:r>
          </w:p>
        </w:tc>
        <w:tc>
          <w:tcPr>
            <w:tcW w:w="7654" w:type="dxa"/>
            <w:gridSpan w:val="3"/>
            <w:vAlign w:val="center"/>
          </w:tcPr>
          <w:p>
            <w:pPr>
              <w:jc w:val="left"/>
              <w:rPr>
                <w:rFonts w:ascii="仿宋" w:hAnsi="仿宋" w:eastAsia="仿宋"/>
                <w:b/>
                <w:lang w:val="zh-CN"/>
              </w:rPr>
            </w:pPr>
            <w:r>
              <w:rPr>
                <w:rFonts w:hint="eastAsia" w:ascii="仿宋" w:hAnsi="仿宋" w:eastAsia="仿宋"/>
                <w:b/>
                <w:lang w:val="zh-CN"/>
              </w:rPr>
              <w:t>需要投标人响应的条款</w:t>
            </w:r>
          </w:p>
        </w:tc>
        <w:tc>
          <w:tcPr>
            <w:tcW w:w="1139" w:type="dxa"/>
            <w:vAlign w:val="center"/>
          </w:tcPr>
          <w:p>
            <w:pPr>
              <w:jc w:val="left"/>
              <w:rPr>
                <w:rFonts w:ascii="仿宋" w:hAnsi="仿宋" w:eastAsia="仿宋"/>
                <w:b/>
                <w:lang w:val="zh-CN"/>
              </w:rPr>
            </w:pPr>
            <w:r>
              <w:rPr>
                <w:rFonts w:hint="eastAsia" w:ascii="仿宋" w:hAnsi="仿宋" w:eastAsia="仿宋"/>
                <w:b/>
                <w:sz w:val="18"/>
                <w:szCs w:val="18"/>
              </w:rPr>
              <w:t>响应程度由投标人填写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421" w:type="dxa"/>
            <w:vAlign w:val="center"/>
          </w:tcPr>
          <w:p>
            <w:pPr>
              <w:jc w:val="left"/>
              <w:rPr>
                <w:rFonts w:ascii="仿宋" w:hAnsi="仿宋" w:eastAsia="仿宋" w:cs="宋体"/>
                <w:kern w:val="0"/>
                <w:szCs w:val="21"/>
              </w:rPr>
            </w:pPr>
            <w:r>
              <w:rPr>
                <w:rFonts w:hint="eastAsia" w:ascii="仿宋" w:hAnsi="仿宋" w:eastAsia="仿宋" w:cs="宋体"/>
                <w:kern w:val="0"/>
                <w:szCs w:val="21"/>
              </w:rPr>
              <w:t>1</w:t>
            </w:r>
          </w:p>
        </w:tc>
        <w:tc>
          <w:tcPr>
            <w:tcW w:w="708" w:type="dxa"/>
            <w:vAlign w:val="center"/>
          </w:tcPr>
          <w:p>
            <w:pPr>
              <w:jc w:val="left"/>
              <w:rPr>
                <w:rFonts w:ascii="仿宋" w:hAnsi="仿宋" w:eastAsia="仿宋"/>
                <w:b/>
              </w:rPr>
            </w:pPr>
            <w:r>
              <w:rPr>
                <w:rFonts w:hint="eastAsia" w:ascii="仿宋" w:hAnsi="仿宋" w:eastAsia="仿宋"/>
                <w:b/>
              </w:rPr>
              <w:t>服务内容</w:t>
            </w:r>
          </w:p>
        </w:tc>
        <w:tc>
          <w:tcPr>
            <w:tcW w:w="6946" w:type="dxa"/>
            <w:gridSpan w:val="2"/>
            <w:vAlign w:val="center"/>
          </w:tcPr>
          <w:p>
            <w:pPr>
              <w:jc w:val="left"/>
              <w:rPr>
                <w:rFonts w:ascii="仿宋" w:hAnsi="仿宋" w:eastAsia="仿宋" w:cs="宋体"/>
                <w:kern w:val="0"/>
                <w:lang w:val="zh-CN"/>
              </w:rPr>
            </w:pPr>
            <w:r>
              <w:rPr>
                <w:rFonts w:hint="eastAsia" w:ascii="仿宋" w:hAnsi="仿宋" w:eastAsia="仿宋"/>
              </w:rPr>
              <w:t>实现附件物资清单中的物资从山东大学中心校区微电子学院科研实验室楼（知新楼、光电所、文史楼）到软件园校区微电子学院楼指定房间的搬迁。大型精密仪器设备的搬迁服务包括但不限于搬迁物资的拆卸、吊装、包装、登记、运输、搬运、安装（部分需要调试）。大宗物资的搬迁服务主要包括包装、吊装、运输（需考虑防震等方式）、登记等。具体以实际搬迁数量为准。</w:t>
            </w:r>
          </w:p>
        </w:tc>
        <w:tc>
          <w:tcPr>
            <w:tcW w:w="1139" w:type="dxa"/>
            <w:vAlign w:val="center"/>
          </w:tcPr>
          <w:p>
            <w:pPr>
              <w:autoSpaceDE w:val="0"/>
              <w:autoSpaceDN w:val="0"/>
              <w:jc w:val="left"/>
              <w:rPr>
                <w:rFonts w:ascii="仿宋" w:hAnsi="仿宋" w:eastAsia="仿宋"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0" w:hRule="atLeast"/>
          <w:jc w:val="center"/>
        </w:trPr>
        <w:tc>
          <w:tcPr>
            <w:tcW w:w="421" w:type="dxa"/>
            <w:vAlign w:val="center"/>
          </w:tcPr>
          <w:p>
            <w:pPr>
              <w:jc w:val="left"/>
              <w:rPr>
                <w:rFonts w:ascii="仿宋" w:hAnsi="仿宋" w:eastAsia="仿宋" w:cs="宋体"/>
                <w:kern w:val="0"/>
                <w:szCs w:val="21"/>
              </w:rPr>
            </w:pPr>
            <w:r>
              <w:rPr>
                <w:rFonts w:hint="eastAsia" w:ascii="仿宋" w:hAnsi="仿宋" w:eastAsia="仿宋" w:cs="宋体"/>
                <w:kern w:val="0"/>
                <w:szCs w:val="21"/>
              </w:rPr>
              <w:t>2</w:t>
            </w:r>
          </w:p>
        </w:tc>
        <w:tc>
          <w:tcPr>
            <w:tcW w:w="708" w:type="dxa"/>
            <w:vMerge w:val="restart"/>
            <w:vAlign w:val="center"/>
          </w:tcPr>
          <w:p>
            <w:pPr>
              <w:jc w:val="left"/>
              <w:rPr>
                <w:rFonts w:ascii="仿宋" w:hAnsi="仿宋" w:eastAsia="仿宋"/>
                <w:b/>
                <w:szCs w:val="18"/>
              </w:rPr>
            </w:pPr>
            <w:r>
              <w:rPr>
                <w:rFonts w:hint="eastAsia" w:ascii="仿宋" w:hAnsi="仿宋" w:eastAsia="仿宋"/>
                <w:b/>
                <w:szCs w:val="18"/>
              </w:rPr>
              <w:t>服务</w:t>
            </w:r>
            <w:r>
              <w:rPr>
                <w:rFonts w:hint="eastAsia" w:ascii="仿宋" w:hAnsi="仿宋" w:eastAsia="仿宋"/>
                <w:b/>
              </w:rPr>
              <w:t>技术及商务要求：</w:t>
            </w:r>
          </w:p>
        </w:tc>
        <w:tc>
          <w:tcPr>
            <w:tcW w:w="6946" w:type="dxa"/>
            <w:gridSpan w:val="2"/>
            <w:vAlign w:val="center"/>
          </w:tcPr>
          <w:p>
            <w:pPr>
              <w:jc w:val="left"/>
              <w:rPr>
                <w:rFonts w:ascii="仿宋" w:hAnsi="仿宋" w:eastAsia="仿宋"/>
              </w:rPr>
            </w:pPr>
            <w:r>
              <w:rPr>
                <w:rFonts w:hint="eastAsia" w:ascii="仿宋" w:hAnsi="仿宋" w:eastAsia="仿宋"/>
                <w:b/>
              </w:rPr>
              <w:t>（</w:t>
            </w:r>
            <w:r>
              <w:rPr>
                <w:rFonts w:ascii="仿宋" w:hAnsi="仿宋" w:eastAsia="仿宋"/>
                <w:b/>
              </w:rPr>
              <w:t>1</w:t>
            </w:r>
            <w:r>
              <w:rPr>
                <w:rFonts w:hint="eastAsia" w:ascii="仿宋" w:hAnsi="仿宋" w:eastAsia="仿宋"/>
                <w:b/>
              </w:rPr>
              <w:t>）需要原厂工程师到场的仪器设备拆装运输要求</w:t>
            </w:r>
            <w:r>
              <w:rPr>
                <w:rFonts w:hint="eastAsia" w:ascii="仿宋" w:hAnsi="仿宋" w:eastAsia="仿宋"/>
              </w:rPr>
              <w:t>：原厂工程师，搬迁公司工程师，仪器管理人员共同到场测定相关参数后搬迁，保证设备搬迁前后外观、测定性能参数一致，如出现仪器外观破损或测试标准及测试性能下降的情况，应由中标单位完全承担维修或维护设备（恢复至搬迁前外观状态、测试性能）的所有费用。</w:t>
            </w:r>
            <w:r>
              <w:rPr>
                <w:rFonts w:ascii="仿宋" w:hAnsi="仿宋" w:eastAsia="仿宋"/>
              </w:rPr>
              <w:t xml:space="preserve">    </w:t>
            </w:r>
          </w:p>
          <w:p>
            <w:pPr>
              <w:jc w:val="left"/>
              <w:rPr>
                <w:rFonts w:ascii="仿宋" w:hAnsi="仿宋" w:eastAsia="仿宋"/>
                <w:b/>
              </w:rPr>
            </w:pPr>
            <w:r>
              <w:rPr>
                <w:rFonts w:hint="eastAsia" w:ascii="仿宋" w:hAnsi="仿宋" w:eastAsia="仿宋"/>
                <w:b/>
              </w:rPr>
              <w:t>（</w:t>
            </w:r>
            <w:r>
              <w:rPr>
                <w:rFonts w:ascii="仿宋" w:hAnsi="仿宋" w:eastAsia="仿宋"/>
                <w:b/>
              </w:rPr>
              <w:t>2</w:t>
            </w:r>
            <w:r>
              <w:rPr>
                <w:rFonts w:hint="eastAsia" w:ascii="仿宋" w:hAnsi="仿宋" w:eastAsia="仿宋"/>
                <w:b/>
              </w:rPr>
              <w:t>）不需要原厂工程师到场的仪器设备拆装运输要求：</w:t>
            </w:r>
          </w:p>
          <w:p>
            <w:pPr>
              <w:jc w:val="left"/>
              <w:rPr>
                <w:rFonts w:ascii="仿宋" w:hAnsi="仿宋" w:eastAsia="仿宋"/>
              </w:rPr>
            </w:pPr>
            <w:r>
              <w:rPr>
                <w:rFonts w:ascii="仿宋" w:hAnsi="仿宋" w:eastAsia="仿宋"/>
                <w:b/>
              </w:rPr>
              <w:t xml:space="preserve">A. </w:t>
            </w:r>
            <w:r>
              <w:rPr>
                <w:rFonts w:hint="eastAsia" w:ascii="仿宋" w:hAnsi="仿宋" w:eastAsia="仿宋"/>
                <w:b/>
              </w:rPr>
              <w:t>需要测定相关参数的仪器：</w:t>
            </w:r>
            <w:r>
              <w:rPr>
                <w:rFonts w:hint="eastAsia" w:ascii="仿宋" w:hAnsi="仿宋" w:eastAsia="仿宋"/>
              </w:rPr>
              <w:t>搬迁工程师，仪器管理人员共同到场测定参数（包括仪器管理人员指定参数）后搬迁，保证设备搬迁前后外观、测定性能参数一致，如出现仪器外观破损或测试标准及测试性能下降的情况，应由中标单位完全承担维修或维护设备（恢复至搬迁前外观状态、测试性能）的所有费用。</w:t>
            </w:r>
          </w:p>
          <w:p>
            <w:pPr>
              <w:jc w:val="left"/>
              <w:rPr>
                <w:rFonts w:ascii="仿宋" w:hAnsi="仿宋" w:eastAsia="仿宋"/>
              </w:rPr>
            </w:pPr>
            <w:r>
              <w:rPr>
                <w:rFonts w:ascii="仿宋" w:hAnsi="仿宋" w:eastAsia="仿宋"/>
                <w:b/>
              </w:rPr>
              <w:t xml:space="preserve">B. </w:t>
            </w:r>
            <w:r>
              <w:rPr>
                <w:rFonts w:hint="eastAsia" w:ascii="仿宋" w:hAnsi="仿宋" w:eastAsia="仿宋"/>
                <w:b/>
              </w:rPr>
              <w:t>不需要测定相关参数的仪器：</w:t>
            </w:r>
            <w:r>
              <w:rPr>
                <w:rFonts w:hint="eastAsia" w:ascii="仿宋" w:hAnsi="仿宋" w:eastAsia="仿宋"/>
              </w:rPr>
              <w:t>平稳搬迁，保证设备搬迁前后外观、通电测试一致；设备搬迁后，如果出现通电异常或外观异常，应由中标单位完全承担维修或维护设备的所有费用。</w:t>
            </w:r>
          </w:p>
          <w:p>
            <w:pPr>
              <w:jc w:val="left"/>
              <w:rPr>
                <w:rFonts w:ascii="仿宋" w:hAnsi="仿宋" w:eastAsia="仿宋"/>
              </w:rPr>
            </w:pPr>
            <w:r>
              <w:rPr>
                <w:rFonts w:hint="eastAsia" w:ascii="仿宋" w:hAnsi="仿宋" w:eastAsia="仿宋"/>
                <w:b/>
              </w:rPr>
              <w:t>（</w:t>
            </w:r>
            <w:r>
              <w:rPr>
                <w:rFonts w:ascii="仿宋" w:hAnsi="仿宋" w:eastAsia="仿宋"/>
                <w:b/>
              </w:rPr>
              <w:t>3</w:t>
            </w:r>
            <w:r>
              <w:rPr>
                <w:rFonts w:hint="eastAsia" w:ascii="仿宋" w:hAnsi="仿宋" w:eastAsia="仿宋"/>
                <w:b/>
              </w:rPr>
              <w:t>）一般设备物资拆装运输要求：</w:t>
            </w:r>
            <w:r>
              <w:rPr>
                <w:rFonts w:hint="eastAsia" w:ascii="仿宋" w:hAnsi="仿宋" w:eastAsia="仿宋"/>
              </w:rPr>
              <w:t>保证设备搬迁前后外观一致，搬后如果外观出现异常，应由中标单位完全承担维修或维护设备及物资的所有费用。</w:t>
            </w:r>
          </w:p>
        </w:tc>
        <w:tc>
          <w:tcPr>
            <w:tcW w:w="1139" w:type="dxa"/>
            <w:vAlign w:val="center"/>
          </w:tcPr>
          <w:p>
            <w:pPr>
              <w:autoSpaceDE w:val="0"/>
              <w:autoSpaceDN w:val="0"/>
              <w:jc w:val="left"/>
              <w:rPr>
                <w:rFonts w:ascii="仿宋" w:hAnsi="仿宋" w:eastAsia="仿宋"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21" w:type="dxa"/>
            <w:vAlign w:val="center"/>
          </w:tcPr>
          <w:p>
            <w:pPr>
              <w:jc w:val="left"/>
              <w:rPr>
                <w:rFonts w:ascii="仿宋" w:hAnsi="仿宋" w:eastAsia="仿宋" w:cs="宋体"/>
                <w:kern w:val="0"/>
                <w:szCs w:val="21"/>
              </w:rPr>
            </w:pPr>
            <w:r>
              <w:rPr>
                <w:rFonts w:hint="eastAsia" w:ascii="仿宋" w:hAnsi="仿宋" w:eastAsia="仿宋" w:cs="宋体"/>
                <w:kern w:val="0"/>
                <w:szCs w:val="21"/>
              </w:rPr>
              <w:t>3</w:t>
            </w:r>
          </w:p>
        </w:tc>
        <w:tc>
          <w:tcPr>
            <w:tcW w:w="708" w:type="dxa"/>
            <w:vMerge w:val="continue"/>
            <w:vAlign w:val="center"/>
          </w:tcPr>
          <w:p>
            <w:pPr>
              <w:jc w:val="left"/>
              <w:rPr>
                <w:rFonts w:ascii="仿宋" w:hAnsi="仿宋" w:eastAsia="仿宋" w:cs="宋体"/>
                <w:kern w:val="0"/>
                <w:lang w:val="zh-CN"/>
              </w:rPr>
            </w:pPr>
          </w:p>
        </w:tc>
        <w:tc>
          <w:tcPr>
            <w:tcW w:w="6946" w:type="dxa"/>
            <w:gridSpan w:val="2"/>
            <w:vAlign w:val="center"/>
          </w:tcPr>
          <w:p>
            <w:pPr>
              <w:jc w:val="left"/>
              <w:rPr>
                <w:rFonts w:ascii="仿宋" w:hAnsi="仿宋" w:eastAsia="仿宋"/>
                <w:szCs w:val="18"/>
              </w:rPr>
            </w:pPr>
            <w:r>
              <w:rPr>
                <w:rFonts w:hint="eastAsia" w:ascii="仿宋" w:hAnsi="仿宋" w:eastAsia="仿宋"/>
                <w:b/>
                <w:szCs w:val="18"/>
              </w:rPr>
              <w:t>拆装运输要求：</w:t>
            </w:r>
            <w:r>
              <w:rPr>
                <w:rFonts w:hint="eastAsia" w:ascii="仿宋" w:hAnsi="仿宋" w:eastAsia="仿宋"/>
                <w:szCs w:val="18"/>
              </w:rPr>
              <w:t>搬迁前对所有清单内的物品，按要求进行拆卸、包装、保护，分类做好标示搬迁至指定地点，对有拆装要求的进行拆包、安装、调试、摆放到位并保证正常运转；投标方根据搬迁需求，提供运输、包装等所需工具；搬迁过程中要针对不同的设备、物资采用相应安全措施（如防震、防倾斜等）；保障搬迁过程中的安全操作，对搬迁过程中的一切安全事故负责，用户方不承担任何责任；保障搬迁过程中按照要求对物资进行完好无损的搬迁，对设备、物资的损坏、丢失负全责，并对设备、物资的损坏和丢失进行赔偿。</w:t>
            </w:r>
          </w:p>
        </w:tc>
        <w:tc>
          <w:tcPr>
            <w:tcW w:w="1139" w:type="dxa"/>
            <w:vAlign w:val="center"/>
          </w:tcPr>
          <w:p>
            <w:pPr>
              <w:autoSpaceDE w:val="0"/>
              <w:autoSpaceDN w:val="0"/>
              <w:jc w:val="left"/>
              <w:rPr>
                <w:rFonts w:ascii="仿宋" w:hAnsi="仿宋" w:eastAsia="仿宋"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21" w:type="dxa"/>
            <w:vAlign w:val="center"/>
          </w:tcPr>
          <w:p>
            <w:pPr>
              <w:jc w:val="left"/>
              <w:rPr>
                <w:rFonts w:ascii="仿宋" w:hAnsi="仿宋" w:eastAsia="仿宋" w:cs="宋体"/>
                <w:kern w:val="0"/>
                <w:szCs w:val="21"/>
              </w:rPr>
            </w:pPr>
            <w:r>
              <w:rPr>
                <w:rFonts w:hint="eastAsia" w:ascii="仿宋" w:hAnsi="仿宋" w:eastAsia="仿宋" w:cs="宋体"/>
                <w:kern w:val="0"/>
                <w:szCs w:val="21"/>
              </w:rPr>
              <w:t>4</w:t>
            </w:r>
          </w:p>
        </w:tc>
        <w:tc>
          <w:tcPr>
            <w:tcW w:w="708" w:type="dxa"/>
            <w:vMerge w:val="continue"/>
            <w:vAlign w:val="center"/>
          </w:tcPr>
          <w:p>
            <w:pPr>
              <w:jc w:val="left"/>
              <w:rPr>
                <w:rFonts w:ascii="仿宋" w:hAnsi="仿宋" w:eastAsia="仿宋" w:cs="宋体"/>
                <w:kern w:val="0"/>
                <w:lang w:val="zh-CN"/>
              </w:rPr>
            </w:pPr>
          </w:p>
        </w:tc>
        <w:tc>
          <w:tcPr>
            <w:tcW w:w="6946" w:type="dxa"/>
            <w:gridSpan w:val="2"/>
            <w:vAlign w:val="center"/>
          </w:tcPr>
          <w:p>
            <w:pPr>
              <w:jc w:val="left"/>
              <w:rPr>
                <w:rFonts w:ascii="仿宋" w:hAnsi="仿宋" w:eastAsia="仿宋"/>
                <w:szCs w:val="18"/>
                <w:u w:val="single"/>
              </w:rPr>
            </w:pPr>
            <w:r>
              <w:rPr>
                <w:rFonts w:hint="eastAsia" w:ascii="仿宋" w:hAnsi="仿宋" w:eastAsia="仿宋"/>
                <w:sz w:val="24"/>
                <w:u w:val="single"/>
              </w:rPr>
              <w:t>★</w:t>
            </w:r>
            <w:r>
              <w:rPr>
                <w:rFonts w:hint="eastAsia" w:ascii="仿宋" w:hAnsi="仿宋" w:eastAsia="仿宋"/>
                <w:b/>
                <w:szCs w:val="18"/>
                <w:u w:val="single"/>
              </w:rPr>
              <w:t>丢失、损坏物资的赔偿：</w:t>
            </w:r>
            <w:r>
              <w:rPr>
                <w:rFonts w:hint="eastAsia" w:ascii="仿宋" w:hAnsi="仿宋" w:eastAsia="仿宋"/>
                <w:szCs w:val="18"/>
                <w:u w:val="single"/>
              </w:rPr>
              <w:t>中标公司应保障物资完好无损地搬迁。</w:t>
            </w:r>
          </w:p>
          <w:p>
            <w:pPr>
              <w:jc w:val="left"/>
              <w:rPr>
                <w:rFonts w:ascii="仿宋" w:hAnsi="仿宋" w:eastAsia="仿宋"/>
                <w:u w:val="single"/>
              </w:rPr>
            </w:pPr>
            <w:r>
              <w:rPr>
                <w:rFonts w:hint="eastAsia" w:ascii="仿宋" w:hAnsi="仿宋" w:eastAsia="仿宋"/>
                <w:u w:val="single"/>
              </w:rPr>
              <w:t>如出现物资损坏的，应由中标公司负责将物资维修至出厂性能指标水平或搬迁前所标定的仪器性能指标水平（搬迁前进行了性能指标标定的）；如无法将物资或设备维修至出厂性能指标水平或搬迁前所标定的仪器性能指标水平，则由中标公司赔偿同一生产商、同一型号、性能指标水平达到出厂性能指标水平或搬迁前所标定的仪器性能指标水平的同等数量的替代物资；如无法提供同一生产商、同一型号的替代物资，则由中标公司赔偿性能指标水平不低于原物资出厂性能指标水平或搬迁前所标定的仪器性能指标水平的同等数量的替代物资；如无法赔偿替代物资，则按照丢失、损坏物资的原价值以货币形式全额赔偿用户。</w:t>
            </w:r>
          </w:p>
          <w:p>
            <w:pPr>
              <w:jc w:val="left"/>
              <w:rPr>
                <w:rFonts w:ascii="仿宋" w:hAnsi="仿宋" w:eastAsia="仿宋"/>
                <w:u w:val="single"/>
              </w:rPr>
            </w:pPr>
            <w:r>
              <w:rPr>
                <w:rFonts w:hint="eastAsia" w:ascii="仿宋" w:hAnsi="仿宋" w:eastAsia="仿宋"/>
                <w:u w:val="single"/>
              </w:rPr>
              <w:t>如搬迁过程中出现物资或设备丢失的情况，则由中标公司赔偿同一生产商、同一型号、性能指标水平达到出厂性能指标水平或搬迁前所标定的仪器性能指标水平的同等数量的替代物资；如无法提供同一生产商、同一型号的替代物资，则由中标公司赔偿性能指标水平不低于原物资出厂性能指标水平或搬迁前所标定的仪器性能指标水平的同等数量的替代物资；如无法赔偿替代物资，则按照丢失、损坏物资的原价值以货币形式全额赔偿用户。</w:t>
            </w:r>
          </w:p>
        </w:tc>
        <w:tc>
          <w:tcPr>
            <w:tcW w:w="1139" w:type="dxa"/>
            <w:vAlign w:val="center"/>
          </w:tcPr>
          <w:p>
            <w:pPr>
              <w:autoSpaceDE w:val="0"/>
              <w:autoSpaceDN w:val="0"/>
              <w:jc w:val="left"/>
              <w:rPr>
                <w:rFonts w:ascii="仿宋" w:hAnsi="仿宋" w:eastAsia="仿宋"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21" w:type="dxa"/>
            <w:vAlign w:val="center"/>
          </w:tcPr>
          <w:p>
            <w:pPr>
              <w:jc w:val="left"/>
              <w:rPr>
                <w:rFonts w:ascii="仿宋" w:hAnsi="仿宋" w:eastAsia="仿宋" w:cs="宋体"/>
                <w:kern w:val="0"/>
                <w:szCs w:val="21"/>
              </w:rPr>
            </w:pPr>
            <w:r>
              <w:rPr>
                <w:rFonts w:hint="eastAsia" w:ascii="仿宋" w:hAnsi="仿宋" w:eastAsia="仿宋" w:cs="宋体"/>
                <w:kern w:val="0"/>
                <w:szCs w:val="21"/>
              </w:rPr>
              <w:t>5</w:t>
            </w:r>
          </w:p>
        </w:tc>
        <w:tc>
          <w:tcPr>
            <w:tcW w:w="708" w:type="dxa"/>
            <w:vMerge w:val="restart"/>
            <w:vAlign w:val="center"/>
          </w:tcPr>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lang w:val="zh-CN"/>
              </w:rPr>
            </w:pPr>
            <w:r>
              <w:rPr>
                <w:rFonts w:hint="eastAsia" w:ascii="仿宋" w:hAnsi="仿宋" w:eastAsia="仿宋"/>
                <w:b/>
                <w:szCs w:val="21"/>
              </w:rPr>
              <w:t>技术参数要求：</w:t>
            </w:r>
          </w:p>
        </w:tc>
        <w:tc>
          <w:tcPr>
            <w:tcW w:w="567" w:type="dxa"/>
            <w:vAlign w:val="center"/>
          </w:tcPr>
          <w:p>
            <w:pPr>
              <w:jc w:val="left"/>
              <w:rPr>
                <w:rFonts w:ascii="仿宋" w:hAnsi="仿宋" w:eastAsia="仿宋"/>
                <w:b/>
                <w:szCs w:val="21"/>
              </w:rPr>
            </w:pPr>
            <w:r>
              <w:rPr>
                <w:rFonts w:hint="eastAsia" w:ascii="仿宋" w:hAnsi="仿宋" w:eastAsia="仿宋"/>
                <w:b/>
                <w:szCs w:val="21"/>
              </w:rPr>
              <w:t>总体要求</w:t>
            </w:r>
          </w:p>
        </w:tc>
        <w:tc>
          <w:tcPr>
            <w:tcW w:w="6379" w:type="dxa"/>
            <w:vAlign w:val="center"/>
          </w:tcPr>
          <w:p>
            <w:pPr>
              <w:jc w:val="left"/>
              <w:rPr>
                <w:rFonts w:ascii="仿宋" w:hAnsi="仿宋" w:eastAsia="仿宋"/>
                <w:b/>
                <w:szCs w:val="21"/>
              </w:rPr>
            </w:pPr>
            <w:r>
              <w:rPr>
                <w:rFonts w:hint="eastAsia" w:ascii="仿宋" w:hAnsi="仿宋" w:eastAsia="仿宋"/>
                <w:b/>
                <w:szCs w:val="21"/>
              </w:rPr>
              <w:t>仪器设备等物资搬迁的工作原则：</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）合同签订后按照采购人要求随时准备进行搬迁服务工作。</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）负责仪器设备等物资整体搬迁的方案制定、组织实施和搬迁后半年的维保服务。</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）保证搬迁过程中所有仪器设备等物资不得遗失、损毁；</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）对于多组件仪器设备须保证各个组件的完整性，不得发生组件的遗失、损毁；</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5</w:t>
            </w:r>
            <w:r>
              <w:rPr>
                <w:rFonts w:hint="eastAsia" w:ascii="仿宋" w:hAnsi="仿宋" w:eastAsia="仿宋"/>
                <w:szCs w:val="21"/>
              </w:rPr>
              <w:t>）所有搬迁仪器设备的性能状态不得发生改变。</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6</w:t>
            </w:r>
            <w:r>
              <w:rPr>
                <w:rFonts w:hint="eastAsia" w:ascii="仿宋" w:hAnsi="仿宋" w:eastAsia="仿宋"/>
                <w:szCs w:val="21"/>
              </w:rPr>
              <w:t>）所搬运的标准物质等易碎物资不能发生破损。</w:t>
            </w:r>
          </w:p>
        </w:tc>
        <w:tc>
          <w:tcPr>
            <w:tcW w:w="1139" w:type="dxa"/>
            <w:vAlign w:val="center"/>
          </w:tcPr>
          <w:p>
            <w:pPr>
              <w:jc w:val="left"/>
              <w:rPr>
                <w:rFonts w:ascii="仿宋" w:hAnsi="仿宋" w:eastAsia="仿宋"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6</w:t>
            </w:r>
          </w:p>
        </w:tc>
        <w:tc>
          <w:tcPr>
            <w:tcW w:w="708" w:type="dxa"/>
            <w:vMerge w:val="continue"/>
            <w:vAlign w:val="center"/>
          </w:tcPr>
          <w:p>
            <w:pPr>
              <w:jc w:val="left"/>
              <w:rPr>
                <w:rFonts w:ascii="仿宋" w:hAnsi="仿宋" w:eastAsia="仿宋"/>
                <w:b/>
                <w:szCs w:val="21"/>
                <w:lang w:val="zh-CN"/>
              </w:rPr>
            </w:pPr>
          </w:p>
        </w:tc>
        <w:tc>
          <w:tcPr>
            <w:tcW w:w="567" w:type="dxa"/>
            <w:vMerge w:val="restart"/>
            <w:vAlign w:val="center"/>
          </w:tcPr>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rPr>
            </w:pPr>
          </w:p>
          <w:p>
            <w:pPr>
              <w:jc w:val="left"/>
              <w:rPr>
                <w:rFonts w:ascii="仿宋" w:hAnsi="仿宋" w:eastAsia="仿宋"/>
                <w:b/>
                <w:szCs w:val="21"/>
                <w:lang w:val="zh-CN"/>
              </w:rPr>
            </w:pPr>
            <w:r>
              <w:rPr>
                <w:rFonts w:hint="eastAsia" w:ascii="仿宋" w:hAnsi="仿宋" w:eastAsia="仿宋"/>
                <w:b/>
                <w:szCs w:val="21"/>
              </w:rPr>
              <w:t>搬迁项目服务供应商要求</w:t>
            </w:r>
          </w:p>
        </w:tc>
        <w:tc>
          <w:tcPr>
            <w:tcW w:w="6379" w:type="dxa"/>
            <w:vAlign w:val="center"/>
          </w:tcPr>
          <w:p>
            <w:pPr>
              <w:jc w:val="left"/>
              <w:rPr>
                <w:rFonts w:ascii="仿宋" w:hAnsi="仿宋" w:eastAsia="仿宋"/>
                <w:b/>
                <w:szCs w:val="21"/>
              </w:rPr>
            </w:pPr>
            <w:r>
              <w:rPr>
                <w:rFonts w:ascii="仿宋" w:hAnsi="仿宋" w:eastAsia="仿宋"/>
                <w:b/>
                <w:szCs w:val="21"/>
              </w:rPr>
              <w:t>1.</w:t>
            </w:r>
            <w:r>
              <w:rPr>
                <w:rFonts w:hint="eastAsia" w:ascii="仿宋" w:hAnsi="仿宋" w:eastAsia="仿宋"/>
                <w:b/>
                <w:szCs w:val="21"/>
              </w:rPr>
              <w:t>制定搬迁方案和计划</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）仪器设备等物资搬迁方案制定：包括项目的管理方案、项目的实施方案、实施计划、应急处置方案等；</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）搬迁项目服务供应商应按照山东大学仪器设备等物资搬迁要求制定出详尽、可行性的搬迁方案，且须获得认可方可实施。</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7</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2.</w:t>
            </w:r>
            <w:r>
              <w:rPr>
                <w:rFonts w:hint="eastAsia" w:ascii="仿宋" w:hAnsi="仿宋" w:eastAsia="仿宋"/>
                <w:b/>
                <w:szCs w:val="21"/>
              </w:rPr>
              <w:t>搬迁项目操作人员要求：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）所有搬迁项目操作人员须保证身体健康并统一着装；</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）负责仪器设备测试、拆装工作的工程师应具备相应仪器设备的操作许可或资质证书。</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）负责仪器设备包装、运输、搬运工作的所有作业人员应具备相关行业资格；</w:t>
            </w:r>
            <w:r>
              <w:rPr>
                <w:rFonts w:ascii="仿宋" w:hAnsi="仿宋" w:eastAsia="仿宋"/>
                <w:szCs w:val="21"/>
              </w:rPr>
              <w:t xml:space="preserve">  </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）搬迁项目过程中所用到的特种机械及工具的操作人员应具备特种行业作业资格；</w:t>
            </w:r>
          </w:p>
        </w:tc>
        <w:tc>
          <w:tcPr>
            <w:tcW w:w="1139" w:type="dxa"/>
            <w:vMerge w:val="restart"/>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8</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3.</w:t>
            </w:r>
            <w:r>
              <w:rPr>
                <w:rFonts w:hint="eastAsia" w:ascii="仿宋" w:hAnsi="仿宋" w:eastAsia="仿宋"/>
                <w:b/>
                <w:szCs w:val="21"/>
              </w:rPr>
              <w:t>搬迁项目过程中的器械及工具要求：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）所有用于搬迁项目工作的车辆、机械设备和工具须干净、整洁；</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）所有运输车辆为箱式封闭货车，且符合当地运输车辆管理条例的要求，保险有效，同时符合环保的相关要求；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）所有运输车辆的司机须统一着装；</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）所有运输车辆须具备统一的明确标识；</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5</w:t>
            </w:r>
            <w:r>
              <w:rPr>
                <w:rFonts w:hint="eastAsia" w:ascii="仿宋" w:hAnsi="仿宋" w:eastAsia="仿宋"/>
                <w:szCs w:val="21"/>
              </w:rPr>
              <w:t>）所有用于运输的厢式货车箱体内部须保证干净且有固定装置防振、防水、防倾斜等；</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6</w:t>
            </w:r>
            <w:r>
              <w:rPr>
                <w:rFonts w:hint="eastAsia" w:ascii="仿宋" w:hAnsi="仿宋" w:eastAsia="仿宋"/>
                <w:szCs w:val="21"/>
              </w:rPr>
              <w:t>）所有现场作业的叉车须保证干净且具备检验合格证书；</w:t>
            </w:r>
          </w:p>
        </w:tc>
        <w:tc>
          <w:tcPr>
            <w:tcW w:w="1139" w:type="dxa"/>
            <w:vMerge w:val="continue"/>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9</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4.</w:t>
            </w:r>
            <w:r>
              <w:rPr>
                <w:rFonts w:hint="eastAsia" w:ascii="仿宋" w:hAnsi="仿宋" w:eastAsia="仿宋"/>
                <w:b/>
                <w:szCs w:val="21"/>
              </w:rPr>
              <w:t>搬迁项目服务供应商的物料和包装要求：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）搬迁项目服务供应商须自行准备搬运所需的包装材料和防护用品；</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）搬迁项目服务供应商须自行准备满足包装和搬运需要的操作工具；</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）搬迁项目中使用的包装材料应符合环保要求，并且集中放置明确标识且配备消防器材；</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）搬迁项目作业期间应保证包装材料的干燥，且在运输过程中做好防水处理工作；</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5</w:t>
            </w:r>
            <w:r>
              <w:rPr>
                <w:rFonts w:hint="eastAsia" w:ascii="仿宋" w:hAnsi="仿宋" w:eastAsia="仿宋"/>
                <w:szCs w:val="21"/>
              </w:rPr>
              <w:t>）废弃的包装材料及填充物应当天清理干净，且保证作业现场的整洁；</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6</w:t>
            </w:r>
            <w:r>
              <w:rPr>
                <w:rFonts w:hint="eastAsia" w:ascii="仿宋" w:hAnsi="仿宋" w:eastAsia="仿宋"/>
                <w:szCs w:val="21"/>
              </w:rPr>
              <w:t>）仪器设备等物资搬迁方案制定：包括项目的管理方案、搬迁项目作业期间包装箱应与仪器设备的尺寸相匹配；</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7</w:t>
            </w:r>
            <w:r>
              <w:rPr>
                <w:rFonts w:hint="eastAsia" w:ascii="仿宋" w:hAnsi="仿宋" w:eastAsia="仿宋"/>
                <w:szCs w:val="21"/>
              </w:rPr>
              <w:t>）仪器设备等物资搬迁方案制定：包括项目的管理方案、搬迁项目作业期间包装箱体外应有清晰明确的标识，标识包括仪器设备照片、唛头单、仪器设备的编号等；</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10</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5.</w:t>
            </w:r>
            <w:r>
              <w:rPr>
                <w:rFonts w:hint="eastAsia" w:ascii="仿宋" w:hAnsi="仿宋" w:eastAsia="仿宋"/>
                <w:b/>
                <w:szCs w:val="21"/>
              </w:rPr>
              <w:t>搬迁项目管理文件要求：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搬迁项目管理文件应包括：项目的整体搬迁方案、实施计划、人员名单、人员组织结构图、各项资质证明、仪器设备流转单、拆机前的测试报告、安装后的测试报告、装箱单、唛头单、装车单、检定校准测试报告、项目验收报告等；</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）仪器设备等物资搬迁方案制定：包括项目的管理方案、仪器设备搬迁前形成书面的测试报告；</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）仪器设备等物资搬迁方案制定：包括项目的管理方案、仪器设备搬迁前及搬迁后的照片须留存，相关电子版随同仪器设备搬迁档案同时移交；</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）仪器设备等物资搬迁方案制定：包括项目的管理方案、搬迁项目服务供应商协助填写装箱单，装箱单放在包装箱内，包装箱外填写并张贴填物品唛头单，双方填写确认装车单；</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11</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6.</w:t>
            </w:r>
            <w:r>
              <w:rPr>
                <w:rFonts w:hint="eastAsia" w:ascii="仿宋" w:hAnsi="仿宋" w:eastAsia="仿宋"/>
                <w:b/>
                <w:szCs w:val="21"/>
              </w:rPr>
              <w:t>搬迁项目环境要求：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）仪器设备等物资搬迁方案制定：包括项目的管理方案、搬迁项目服务供应商应对新址及旧址进行充分调研，提交现场勘查记录（须提供附有采购方相关人员签字的勘查记录原件）。</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仪器设备等物资搬迁方案制定：包括项目的管理方案、提交现场勘查报告，特别是涉及水、电、气、环境震动、磁场、管网等的保障性设施能否满足精密分析仪器安装的条件，提出切实可行的应对方案，保障搬迁工作的顺利完成；</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）仪器设备等物资搬迁方案制定：包括项目的管理方案、搬迁项目运输路线应统一并提供备用路线图；</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）仪器设备等物资搬迁方案制定：包括项目的管理方案、搬迁项目作业期间，特别是新址装机前新址台面应进行符合实验室要求的清洁工作；</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5</w:t>
            </w:r>
            <w:r>
              <w:rPr>
                <w:rFonts w:hint="eastAsia" w:ascii="仿宋" w:hAnsi="仿宋" w:eastAsia="仿宋"/>
                <w:szCs w:val="21"/>
              </w:rPr>
              <w:t>）仪器设备等物资搬迁方案制定：包括项目的管理方案、搬迁项目作业期间，进行拆装机操作的工程师在进行仪器性能测试时所用到的耗材应按照采购人管理要求及时清理；</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12</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7.</w:t>
            </w:r>
            <w:r>
              <w:rPr>
                <w:rFonts w:hint="eastAsia" w:ascii="仿宋" w:hAnsi="仿宋" w:eastAsia="仿宋"/>
                <w:b/>
                <w:szCs w:val="21"/>
              </w:rPr>
              <w:t>搬迁项目过程管理要求：</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）能够提供有效的过程管理方案，降低搬迁过程中存在的风险，记录搬迁过程中产生的信息（包括对仪器设备搬运状态、测试报告结果、搬运人员等动态信息的即时查询）；</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）搬迁项目作业期间，每天应由搬迁项目服务商召开晨会确定当天作业内容，并形成记录；</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）搬迁项目服务供应商在作业期间发现问题应及时与采购人相关人员进行沟通（涉及特殊作业的应有作业单）；</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13</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8.</w:t>
            </w:r>
            <w:r>
              <w:rPr>
                <w:rFonts w:hint="eastAsia" w:ascii="仿宋" w:hAnsi="仿宋" w:eastAsia="仿宋"/>
                <w:b/>
                <w:szCs w:val="21"/>
              </w:rPr>
              <w:t>搬迁项目风险管控：</w:t>
            </w:r>
          </w:p>
          <w:p>
            <w:pPr>
              <w:jc w:val="left"/>
              <w:rPr>
                <w:rFonts w:ascii="仿宋" w:hAnsi="仿宋" w:eastAsia="仿宋"/>
                <w:szCs w:val="21"/>
                <w:u w:val="single"/>
              </w:rPr>
            </w:pPr>
            <w:r>
              <w:rPr>
                <w:rFonts w:hint="eastAsia" w:ascii="仿宋" w:hAnsi="仿宋" w:eastAsia="仿宋"/>
                <w:sz w:val="24"/>
                <w:u w:val="single"/>
              </w:rPr>
              <w:t>★</w:t>
            </w:r>
            <w:r>
              <w:rPr>
                <w:rFonts w:hint="eastAsia" w:ascii="仿宋" w:hAnsi="仿宋" w:eastAsia="仿宋"/>
                <w:szCs w:val="21"/>
                <w:u w:val="single"/>
              </w:rPr>
              <w:t>（</w:t>
            </w:r>
            <w:r>
              <w:rPr>
                <w:rFonts w:ascii="仿宋" w:hAnsi="仿宋" w:eastAsia="仿宋"/>
                <w:szCs w:val="21"/>
                <w:u w:val="single"/>
              </w:rPr>
              <w:t>1</w:t>
            </w:r>
            <w:r>
              <w:rPr>
                <w:rFonts w:hint="eastAsia" w:ascii="仿宋" w:hAnsi="仿宋" w:eastAsia="仿宋"/>
                <w:szCs w:val="21"/>
                <w:u w:val="single"/>
              </w:rPr>
              <w:t>）搬迁项目服务供应商应保证所购买保险覆盖搬迁作业全过程，包括旧址测试、拆机、移动、吊装、包装、运输、卸货、搬运、安装、调试、新址测试等，保险额度2000万；</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）搬迁项目服务供应商应提供可行性强的应急处置方案并获得采购人的认可；</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）搬迁项目服务供应商应在整体搬迁工作开始前与采购人各单位充分沟通仪器设备搬迁需求，提供详尽的推演方案；</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4</w:t>
            </w:r>
            <w:r>
              <w:rPr>
                <w:rFonts w:hint="eastAsia" w:ascii="仿宋" w:hAnsi="仿宋" w:eastAsia="仿宋"/>
                <w:szCs w:val="21"/>
              </w:rPr>
              <w:t>）在搬迁过程中，中标方所有参与搬迁工作的人员的人身安全由中标方负责。搬迁开始至结束，若发生任何事故或造成人员伤亡，由中标方负全责并承担所有赔偿费用。</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14</w:t>
            </w:r>
          </w:p>
        </w:tc>
        <w:tc>
          <w:tcPr>
            <w:tcW w:w="708" w:type="dxa"/>
            <w:vMerge w:val="continue"/>
            <w:vAlign w:val="center"/>
          </w:tcPr>
          <w:p>
            <w:pPr>
              <w:jc w:val="left"/>
              <w:rPr>
                <w:rFonts w:ascii="仿宋" w:hAnsi="仿宋" w:eastAsia="仿宋"/>
                <w:szCs w:val="21"/>
                <w:lang w:val="zh-CN"/>
              </w:rPr>
            </w:pPr>
          </w:p>
        </w:tc>
        <w:tc>
          <w:tcPr>
            <w:tcW w:w="567" w:type="dxa"/>
            <w:vMerge w:val="continue"/>
            <w:vAlign w:val="center"/>
          </w:tcPr>
          <w:p>
            <w:pPr>
              <w:jc w:val="left"/>
              <w:rPr>
                <w:rFonts w:ascii="仿宋" w:hAnsi="仿宋" w:eastAsia="仿宋"/>
                <w:szCs w:val="21"/>
                <w:lang w:val="zh-CN"/>
              </w:rPr>
            </w:pPr>
          </w:p>
        </w:tc>
        <w:tc>
          <w:tcPr>
            <w:tcW w:w="6379" w:type="dxa"/>
            <w:vAlign w:val="center"/>
          </w:tcPr>
          <w:p>
            <w:pPr>
              <w:jc w:val="left"/>
              <w:rPr>
                <w:rFonts w:ascii="仿宋" w:hAnsi="仿宋" w:eastAsia="仿宋"/>
                <w:b/>
                <w:szCs w:val="21"/>
              </w:rPr>
            </w:pPr>
            <w:r>
              <w:rPr>
                <w:rFonts w:ascii="仿宋" w:hAnsi="仿宋" w:eastAsia="仿宋"/>
                <w:b/>
                <w:szCs w:val="21"/>
              </w:rPr>
              <w:t>9.</w:t>
            </w:r>
            <w:r>
              <w:rPr>
                <w:rFonts w:hint="eastAsia" w:ascii="仿宋" w:hAnsi="仿宋" w:eastAsia="仿宋"/>
                <w:b/>
                <w:szCs w:val="21"/>
              </w:rPr>
              <w:t>验收</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）仪器送达指定位置后，按《装箱单》逐项清点，确保数量和发运前一致。到达新实验室的仪器必须和唛头单、装箱单中标明的名称、品牌、型号、数量、固定资产编号一致；</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2</w:t>
            </w:r>
            <w:r>
              <w:rPr>
                <w:rFonts w:hint="eastAsia" w:ascii="仿宋" w:hAnsi="仿宋" w:eastAsia="仿宋"/>
                <w:szCs w:val="21"/>
              </w:rPr>
              <w:t>）搬迁前后对仪器做资料存档，确保搬迁后仪器及附件外观较搬迁前无新增破损、锈蚀、碰伤等；</w:t>
            </w:r>
          </w:p>
          <w:p>
            <w:pPr>
              <w:jc w:val="left"/>
              <w:rPr>
                <w:rFonts w:ascii="仿宋" w:hAnsi="仿宋" w:eastAsia="仿宋"/>
                <w:szCs w:val="21"/>
              </w:rPr>
            </w:pPr>
            <w:r>
              <w:rPr>
                <w:rFonts w:hint="eastAsia" w:ascii="仿宋" w:hAnsi="仿宋" w:eastAsia="仿宋"/>
                <w:szCs w:val="21"/>
              </w:rPr>
              <w:t>（</w:t>
            </w:r>
            <w:r>
              <w:rPr>
                <w:rFonts w:ascii="仿宋" w:hAnsi="仿宋" w:eastAsia="仿宋"/>
                <w:szCs w:val="21"/>
              </w:rPr>
              <w:t>3</w:t>
            </w:r>
            <w:r>
              <w:rPr>
                <w:rFonts w:hint="eastAsia" w:ascii="仿宋" w:hAnsi="仿宋" w:eastAsia="仿宋"/>
                <w:szCs w:val="21"/>
              </w:rPr>
              <w:t>）保障物资完好无损地搬迁；如出现物资损坏（或性能指标下降）的，负责将物资维修至出厂性能指标水平或搬迁前标定性能指标水平（如搬迁前进行了性能指标标定的）；如无法将物资维修至出厂性能指标水平或搬迁前标定性能指标水平，或物资丢失的，则负责赔偿同一生产商、同一型号的，性能指标水平达到出厂性能指标水平或搬迁前标定性能指标水平的同等数量的替代物资；如无法提供同一生产商、同一型号的替代物资，则负责赔偿性能指标水平不低于原物资出厂性能指标水平或搬迁前标定性能指标水平的同等数量的替代物资；如无法赔偿替代物资，则按照丢失、损坏物资的原价值以货币形式全额赔偿用户。物资赔偿一般需在 1 个月内完成，特殊情况最长不超过 6 个月。</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15</w:t>
            </w:r>
          </w:p>
        </w:tc>
        <w:tc>
          <w:tcPr>
            <w:tcW w:w="708" w:type="dxa"/>
            <w:vMerge w:val="continue"/>
            <w:vAlign w:val="center"/>
          </w:tcPr>
          <w:p>
            <w:pPr>
              <w:jc w:val="left"/>
              <w:rPr>
                <w:rFonts w:ascii="仿宋" w:hAnsi="仿宋" w:eastAsia="仿宋"/>
                <w:szCs w:val="21"/>
                <w:lang w:val="zh-CN"/>
              </w:rPr>
            </w:pPr>
          </w:p>
        </w:tc>
        <w:tc>
          <w:tcPr>
            <w:tcW w:w="567" w:type="dxa"/>
            <w:vAlign w:val="center"/>
          </w:tcPr>
          <w:p>
            <w:pPr>
              <w:jc w:val="left"/>
              <w:rPr>
                <w:rFonts w:ascii="仿宋" w:hAnsi="仿宋" w:eastAsia="仿宋"/>
                <w:b/>
                <w:szCs w:val="21"/>
              </w:rPr>
            </w:pPr>
            <w:r>
              <w:rPr>
                <w:rFonts w:hint="eastAsia" w:ascii="仿宋" w:hAnsi="仿宋" w:eastAsia="仿宋"/>
                <w:b/>
                <w:szCs w:val="21"/>
              </w:rPr>
              <w:t>其他要求</w:t>
            </w:r>
          </w:p>
          <w:p>
            <w:pPr>
              <w:jc w:val="left"/>
              <w:rPr>
                <w:rFonts w:ascii="仿宋" w:hAnsi="仿宋" w:eastAsia="仿宋"/>
                <w:szCs w:val="21"/>
                <w:lang w:val="zh-CN"/>
              </w:rPr>
            </w:pPr>
          </w:p>
        </w:tc>
        <w:tc>
          <w:tcPr>
            <w:tcW w:w="6379" w:type="dxa"/>
            <w:vAlign w:val="center"/>
          </w:tcPr>
          <w:p>
            <w:pPr>
              <w:jc w:val="left"/>
              <w:rPr>
                <w:rFonts w:ascii="仿宋" w:hAnsi="仿宋" w:eastAsia="仿宋"/>
                <w:szCs w:val="21"/>
              </w:rPr>
            </w:pPr>
            <w:r>
              <w:rPr>
                <w:rFonts w:ascii="仿宋" w:hAnsi="仿宋" w:eastAsia="仿宋"/>
                <w:szCs w:val="21"/>
              </w:rPr>
              <w:t xml:space="preserve">1. </w:t>
            </w:r>
            <w:r>
              <w:rPr>
                <w:rFonts w:hint="eastAsia" w:ascii="仿宋" w:hAnsi="仿宋" w:eastAsia="仿宋"/>
                <w:szCs w:val="21"/>
              </w:rPr>
              <w:t>投标方所提供服务中包含可能涉及的建筑物拆墙及恢复工作。</w:t>
            </w:r>
          </w:p>
          <w:p>
            <w:pPr>
              <w:jc w:val="left"/>
              <w:rPr>
                <w:rFonts w:ascii="仿宋" w:hAnsi="仿宋" w:eastAsia="仿宋"/>
                <w:szCs w:val="21"/>
              </w:rPr>
            </w:pPr>
            <w:r>
              <w:rPr>
                <w:rFonts w:ascii="仿宋" w:hAnsi="仿宋" w:eastAsia="仿宋"/>
                <w:szCs w:val="21"/>
              </w:rPr>
              <w:t>2.</w:t>
            </w:r>
            <w:r>
              <w:rPr>
                <w:rFonts w:hint="eastAsia" w:ascii="仿宋" w:hAnsi="仿宋" w:eastAsia="仿宋"/>
                <w:szCs w:val="21"/>
              </w:rPr>
              <w:t>项目准备和实施全过程符合国家相关安全法规要求，并有具体制度和措施加以保障。</w:t>
            </w:r>
          </w:p>
          <w:p>
            <w:pPr>
              <w:jc w:val="left"/>
              <w:rPr>
                <w:rFonts w:ascii="仿宋" w:hAnsi="仿宋" w:eastAsia="仿宋"/>
                <w:szCs w:val="21"/>
              </w:rPr>
            </w:pPr>
            <w:r>
              <w:rPr>
                <w:rFonts w:ascii="仿宋" w:hAnsi="仿宋" w:eastAsia="仿宋"/>
                <w:szCs w:val="21"/>
              </w:rPr>
              <w:t xml:space="preserve">3. </w:t>
            </w:r>
            <w:r>
              <w:rPr>
                <w:rFonts w:hint="eastAsia" w:ascii="仿宋" w:hAnsi="仿宋" w:eastAsia="仿宋"/>
                <w:szCs w:val="21"/>
              </w:rPr>
              <w:t>投标方必须依据相关法规文件要求承诺对在承接仪器设备等物资搬迁服务项目中所涉及的技术、人员等资料承担保密义务和责任。</w:t>
            </w:r>
          </w:p>
          <w:p>
            <w:pPr>
              <w:jc w:val="left"/>
              <w:rPr>
                <w:rFonts w:ascii="仿宋" w:hAnsi="仿宋" w:eastAsia="仿宋"/>
                <w:szCs w:val="21"/>
                <w:u w:val="single"/>
              </w:rPr>
            </w:pPr>
            <w:r>
              <w:rPr>
                <w:rFonts w:ascii="仿宋" w:hAnsi="仿宋" w:eastAsia="仿宋"/>
                <w:szCs w:val="21"/>
              </w:rPr>
              <w:t xml:space="preserve">4. </w:t>
            </w:r>
            <w:r>
              <w:rPr>
                <w:rFonts w:hint="eastAsia" w:ascii="仿宋" w:hAnsi="仿宋" w:eastAsia="仿宋"/>
                <w:szCs w:val="21"/>
              </w:rPr>
              <w:t>本项目不接受联合体投标，为保障搬迁项目的顺利实施，为客户的资产提供全面保障，搬迁项目服务供应商应保证购买针对本精密仪器设备搬迁项目的保险。★</w:t>
            </w:r>
            <w:r>
              <w:rPr>
                <w:rFonts w:hint="eastAsia" w:ascii="仿宋" w:hAnsi="仿宋" w:eastAsia="仿宋"/>
                <w:szCs w:val="21"/>
                <w:u w:val="single"/>
              </w:rPr>
              <w:t>投标方应保证所购买保险覆盖搬迁作业全过程，包括旧址测试、拆机、移动、吊装、包装、运输、卸货、搬运、安装、调试、新址测试等，保险额度2000万。</w:t>
            </w:r>
          </w:p>
          <w:p>
            <w:pPr>
              <w:jc w:val="left"/>
              <w:rPr>
                <w:rFonts w:ascii="仿宋" w:hAnsi="仿宋" w:eastAsia="仿宋"/>
                <w:szCs w:val="21"/>
              </w:rPr>
            </w:pPr>
            <w:r>
              <w:rPr>
                <w:rFonts w:ascii="仿宋" w:hAnsi="仿宋" w:eastAsia="仿宋"/>
                <w:szCs w:val="21"/>
              </w:rPr>
              <w:t>5</w:t>
            </w:r>
            <w:r>
              <w:rPr>
                <w:rFonts w:hint="eastAsia" w:ascii="仿宋" w:hAnsi="仿宋" w:eastAsia="仿宋"/>
                <w:szCs w:val="21"/>
              </w:rPr>
              <w:t>、如由于供应商责任未能按合同规定的工期完成本搬迁安装项目时，每延期一日，供应商应支付违约金人民币</w:t>
            </w:r>
            <w:r>
              <w:rPr>
                <w:rFonts w:ascii="仿宋" w:hAnsi="仿宋" w:eastAsia="仿宋"/>
                <w:szCs w:val="21"/>
              </w:rPr>
              <w:t xml:space="preserve">3000 </w:t>
            </w:r>
            <w:r>
              <w:rPr>
                <w:rFonts w:hint="eastAsia" w:ascii="仿宋" w:hAnsi="仿宋" w:eastAsia="仿宋"/>
                <w:szCs w:val="21"/>
              </w:rPr>
              <w:t>元，并不解除供应商继续完成搬迁项目的义务</w:t>
            </w:r>
            <w:r>
              <w:rPr>
                <w:rFonts w:ascii="仿宋" w:hAnsi="仿宋" w:eastAsia="仿宋"/>
                <w:szCs w:val="21"/>
              </w:rPr>
              <w:t>,</w:t>
            </w:r>
            <w:r>
              <w:rPr>
                <w:rFonts w:hint="eastAsia" w:ascii="仿宋" w:hAnsi="仿宋" w:eastAsia="仿宋"/>
                <w:szCs w:val="21"/>
              </w:rPr>
              <w:t>如遇特殊情况，可双方协商解决；若物理移动搬迁部分推迟超过</w:t>
            </w:r>
            <w:r>
              <w:rPr>
                <w:rFonts w:ascii="仿宋" w:hAnsi="仿宋" w:eastAsia="仿宋"/>
                <w:szCs w:val="21"/>
              </w:rPr>
              <w:t xml:space="preserve">15 </w:t>
            </w:r>
            <w:r>
              <w:rPr>
                <w:rFonts w:hint="eastAsia" w:ascii="仿宋" w:hAnsi="仿宋" w:eastAsia="仿宋"/>
                <w:szCs w:val="21"/>
              </w:rPr>
              <w:t>个工作日时，用户有权终止部分或全部合同，供应商除支付违约金外，还应退还用户已支付的款项，如遇特殊情况，可双方协商解决；</w:t>
            </w:r>
          </w:p>
          <w:p>
            <w:pPr>
              <w:jc w:val="left"/>
              <w:rPr>
                <w:rFonts w:ascii="仿宋" w:hAnsi="仿宋" w:eastAsia="仿宋"/>
                <w:szCs w:val="21"/>
              </w:rPr>
            </w:pPr>
            <w:r>
              <w:rPr>
                <w:rFonts w:ascii="仿宋" w:hAnsi="仿宋" w:eastAsia="仿宋"/>
                <w:szCs w:val="21"/>
              </w:rPr>
              <w:t>6</w:t>
            </w:r>
            <w:r>
              <w:rPr>
                <w:rFonts w:hint="eastAsia" w:ascii="仿宋" w:hAnsi="仿宋" w:eastAsia="仿宋"/>
                <w:szCs w:val="21"/>
              </w:rPr>
              <w:t>、搬迁项目服务供应商负责搬迁、安装的设备未能通过验收的，搬迁项目服务供应商应在</w:t>
            </w:r>
            <w:r>
              <w:rPr>
                <w:rFonts w:ascii="仿宋" w:hAnsi="仿宋" w:eastAsia="仿宋"/>
                <w:szCs w:val="21"/>
              </w:rPr>
              <w:t xml:space="preserve">30 </w:t>
            </w:r>
            <w:r>
              <w:rPr>
                <w:rFonts w:hint="eastAsia" w:ascii="仿宋" w:hAnsi="仿宋" w:eastAsia="仿宋"/>
                <w:szCs w:val="21"/>
              </w:rPr>
              <w:t>个工作日内整改完毕，提请重新验收，并按照延期完成搬迁承担违约责任，如遇特殊情况，可双方协商解决。</w:t>
            </w:r>
          </w:p>
          <w:p>
            <w:pPr>
              <w:jc w:val="left"/>
              <w:rPr>
                <w:rFonts w:ascii="仿宋" w:hAnsi="仿宋" w:eastAsia="仿宋"/>
                <w:szCs w:val="21"/>
              </w:rPr>
            </w:pP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16</w:t>
            </w:r>
          </w:p>
        </w:tc>
        <w:tc>
          <w:tcPr>
            <w:tcW w:w="708" w:type="dxa"/>
            <w:vAlign w:val="center"/>
          </w:tcPr>
          <w:p>
            <w:pPr>
              <w:jc w:val="left"/>
              <w:rPr>
                <w:rFonts w:ascii="仿宋" w:hAnsi="仿宋" w:eastAsia="仿宋"/>
                <w:b/>
                <w:szCs w:val="21"/>
              </w:rPr>
            </w:pPr>
            <w:r>
              <w:rPr>
                <w:rFonts w:hint="eastAsia" w:ascii="仿宋" w:hAnsi="仿宋" w:eastAsia="仿宋"/>
                <w:b/>
                <w:szCs w:val="21"/>
              </w:rPr>
              <w:t>投标要求</w:t>
            </w:r>
          </w:p>
          <w:p>
            <w:pPr>
              <w:jc w:val="left"/>
              <w:rPr>
                <w:rFonts w:ascii="仿宋" w:hAnsi="仿宋" w:eastAsia="仿宋"/>
                <w:szCs w:val="21"/>
                <w:lang w:val="zh-CN"/>
              </w:rPr>
            </w:pPr>
          </w:p>
        </w:tc>
        <w:tc>
          <w:tcPr>
            <w:tcW w:w="6946" w:type="dxa"/>
            <w:gridSpan w:val="2"/>
            <w:vAlign w:val="center"/>
          </w:tcPr>
          <w:p>
            <w:pPr>
              <w:jc w:val="left"/>
              <w:rPr>
                <w:rFonts w:ascii="仿宋" w:hAnsi="仿宋" w:eastAsia="仿宋"/>
                <w:szCs w:val="21"/>
              </w:rPr>
            </w:pPr>
            <w:r>
              <w:rPr>
                <w:rFonts w:ascii="仿宋" w:hAnsi="仿宋" w:eastAsia="仿宋"/>
                <w:szCs w:val="21"/>
              </w:rPr>
              <w:t>1.</w:t>
            </w:r>
            <w:r>
              <w:rPr>
                <w:rFonts w:hint="eastAsia" w:ascii="仿宋" w:hAnsi="仿宋" w:eastAsia="仿宋"/>
                <w:szCs w:val="21"/>
              </w:rPr>
              <w:t>投标人须提供项目组织实施方案；</w:t>
            </w:r>
          </w:p>
          <w:p>
            <w:pPr>
              <w:jc w:val="left"/>
              <w:rPr>
                <w:rFonts w:ascii="仿宋" w:hAnsi="仿宋" w:eastAsia="仿宋"/>
                <w:szCs w:val="21"/>
              </w:rPr>
            </w:pPr>
            <w:r>
              <w:rPr>
                <w:rFonts w:ascii="仿宋" w:hAnsi="仿宋" w:eastAsia="仿宋"/>
                <w:szCs w:val="21"/>
              </w:rPr>
              <w:t>2.</w:t>
            </w:r>
            <w:r>
              <w:rPr>
                <w:rFonts w:hint="eastAsia" w:ascii="仿宋" w:hAnsi="仿宋" w:eastAsia="仿宋"/>
                <w:szCs w:val="21"/>
              </w:rPr>
              <w:t>投标人须提供项目团队配置方案；</w:t>
            </w:r>
          </w:p>
          <w:p>
            <w:pPr>
              <w:jc w:val="left"/>
              <w:rPr>
                <w:rFonts w:ascii="仿宋" w:hAnsi="仿宋" w:eastAsia="仿宋"/>
                <w:szCs w:val="21"/>
              </w:rPr>
            </w:pPr>
            <w:r>
              <w:rPr>
                <w:rFonts w:ascii="仿宋" w:hAnsi="仿宋" w:eastAsia="仿宋"/>
                <w:szCs w:val="21"/>
              </w:rPr>
              <w:t>3.</w:t>
            </w:r>
            <w:r>
              <w:rPr>
                <w:rFonts w:hint="eastAsia" w:ascii="仿宋" w:hAnsi="仿宋" w:eastAsia="仿宋"/>
                <w:szCs w:val="21"/>
              </w:rPr>
              <w:t>投标人须提供项目设备配置方案；</w:t>
            </w:r>
          </w:p>
          <w:p>
            <w:pPr>
              <w:jc w:val="left"/>
              <w:rPr>
                <w:rFonts w:ascii="仿宋" w:hAnsi="仿宋" w:eastAsia="仿宋"/>
                <w:szCs w:val="21"/>
              </w:rPr>
            </w:pPr>
            <w:r>
              <w:rPr>
                <w:rFonts w:ascii="仿宋" w:hAnsi="仿宋" w:eastAsia="仿宋"/>
                <w:szCs w:val="21"/>
              </w:rPr>
              <w:t>4.</w:t>
            </w:r>
            <w:r>
              <w:rPr>
                <w:rFonts w:hint="eastAsia" w:ascii="仿宋" w:hAnsi="仿宋" w:eastAsia="仿宋"/>
                <w:szCs w:val="21"/>
              </w:rPr>
              <w:t>投标人须提供项目信息管理方案；</w:t>
            </w:r>
          </w:p>
          <w:p>
            <w:pPr>
              <w:jc w:val="left"/>
              <w:rPr>
                <w:rFonts w:ascii="仿宋" w:hAnsi="仿宋" w:eastAsia="仿宋"/>
                <w:szCs w:val="21"/>
              </w:rPr>
            </w:pPr>
            <w:r>
              <w:rPr>
                <w:rFonts w:ascii="仿宋" w:hAnsi="仿宋" w:eastAsia="仿宋"/>
                <w:szCs w:val="21"/>
              </w:rPr>
              <w:t>5.</w:t>
            </w:r>
            <w:r>
              <w:rPr>
                <w:rFonts w:hint="eastAsia" w:ascii="仿宋" w:hAnsi="仿宋" w:eastAsia="仿宋"/>
                <w:szCs w:val="21"/>
              </w:rPr>
              <w:t>投标人须提供第三方保险公司出具的承保承运方案（原件）。</w:t>
            </w:r>
          </w:p>
          <w:p>
            <w:pPr>
              <w:jc w:val="left"/>
              <w:rPr>
                <w:rFonts w:ascii="仿宋" w:hAnsi="仿宋" w:eastAsia="仿宋"/>
                <w:szCs w:val="21"/>
              </w:rPr>
            </w:pPr>
            <w:r>
              <w:rPr>
                <w:rFonts w:ascii="仿宋" w:hAnsi="仿宋" w:eastAsia="仿宋"/>
                <w:szCs w:val="21"/>
              </w:rPr>
              <w:t>6.</w:t>
            </w:r>
            <w:r>
              <w:rPr>
                <w:rFonts w:hint="eastAsia" w:ascii="仿宋" w:hAnsi="仿宋" w:eastAsia="仿宋"/>
                <w:szCs w:val="21"/>
              </w:rPr>
              <w:t>投标人须提供项目信息保密承诺书和保密实施方案（原件）。</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17</w:t>
            </w:r>
          </w:p>
        </w:tc>
        <w:tc>
          <w:tcPr>
            <w:tcW w:w="708" w:type="dxa"/>
            <w:vAlign w:val="center"/>
          </w:tcPr>
          <w:p>
            <w:pPr>
              <w:jc w:val="left"/>
              <w:rPr>
                <w:rFonts w:ascii="仿宋" w:hAnsi="仿宋" w:eastAsia="仿宋"/>
                <w:b/>
                <w:szCs w:val="21"/>
                <w:lang w:val="zh-CN"/>
              </w:rPr>
            </w:pPr>
            <w:r>
              <w:rPr>
                <w:rFonts w:hint="eastAsia" w:ascii="仿宋" w:hAnsi="仿宋" w:eastAsia="仿宋"/>
                <w:b/>
                <w:szCs w:val="21"/>
              </w:rPr>
              <w:t>其他要求</w:t>
            </w:r>
          </w:p>
        </w:tc>
        <w:tc>
          <w:tcPr>
            <w:tcW w:w="6946" w:type="dxa"/>
            <w:gridSpan w:val="2"/>
            <w:vAlign w:val="center"/>
          </w:tcPr>
          <w:p>
            <w:pPr>
              <w:jc w:val="left"/>
              <w:rPr>
                <w:rFonts w:ascii="仿宋" w:hAnsi="仿宋" w:eastAsia="仿宋"/>
                <w:szCs w:val="21"/>
              </w:rPr>
            </w:pPr>
            <w:r>
              <w:rPr>
                <w:rFonts w:hint="eastAsia" w:ascii="仿宋" w:hAnsi="仿宋" w:eastAsia="仿宋"/>
                <w:szCs w:val="21"/>
              </w:rPr>
              <w:t>如仪器验收不合格，投标人按仪器性质分别须在一个月（国产小型仪器）或三个月内（进口仪器）完成维修任务，特殊情况下最长不得超过</w:t>
            </w:r>
            <w:r>
              <w:rPr>
                <w:rFonts w:ascii="仿宋" w:hAnsi="仿宋" w:eastAsia="仿宋"/>
                <w:szCs w:val="21"/>
              </w:rPr>
              <w:t>6</w:t>
            </w:r>
            <w:r>
              <w:rPr>
                <w:rFonts w:hint="eastAsia" w:ascii="仿宋" w:hAnsi="仿宋" w:eastAsia="仿宋"/>
                <w:szCs w:val="21"/>
              </w:rPr>
              <w:t>个月。如仍不能达到验收要求，投标人须按照本任务书整体拆装运输要求第（</w:t>
            </w:r>
            <w:r>
              <w:rPr>
                <w:rFonts w:ascii="仿宋" w:hAnsi="仿宋" w:eastAsia="仿宋"/>
                <w:szCs w:val="21"/>
              </w:rPr>
              <w:t>4</w:t>
            </w:r>
            <w:r>
              <w:rPr>
                <w:rFonts w:hint="eastAsia" w:ascii="仿宋" w:hAnsi="仿宋" w:eastAsia="仿宋"/>
                <w:szCs w:val="21"/>
              </w:rPr>
              <w:t>）条所约定的丢失、损坏物资的赔偿方案进行赔偿。</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ascii="仿宋" w:hAnsi="仿宋" w:eastAsia="仿宋"/>
                <w:b/>
                <w:bCs/>
                <w:sz w:val="18"/>
                <w:szCs w:val="18"/>
              </w:rPr>
            </w:pPr>
            <w:r>
              <w:rPr>
                <w:rFonts w:hint="eastAsia" w:ascii="仿宋" w:hAnsi="仿宋" w:eastAsia="仿宋"/>
                <w:b/>
                <w:bCs/>
                <w:sz w:val="18"/>
                <w:szCs w:val="18"/>
              </w:rPr>
              <w:t>18</w:t>
            </w:r>
          </w:p>
        </w:tc>
        <w:tc>
          <w:tcPr>
            <w:tcW w:w="708" w:type="dxa"/>
            <w:vAlign w:val="center"/>
          </w:tcPr>
          <w:p>
            <w:pPr>
              <w:jc w:val="left"/>
              <w:rPr>
                <w:rFonts w:ascii="仿宋" w:hAnsi="仿宋" w:eastAsia="仿宋"/>
                <w:b/>
                <w:szCs w:val="21"/>
              </w:rPr>
            </w:pPr>
            <w:r>
              <w:rPr>
                <w:rFonts w:hint="eastAsia" w:ascii="仿宋" w:hAnsi="仿宋" w:eastAsia="仿宋"/>
                <w:b/>
                <w:szCs w:val="21"/>
              </w:rPr>
              <w:t>汇总及清单</w:t>
            </w:r>
          </w:p>
        </w:tc>
        <w:tc>
          <w:tcPr>
            <w:tcW w:w="6946" w:type="dxa"/>
            <w:gridSpan w:val="2"/>
            <w:vAlign w:val="center"/>
          </w:tcPr>
          <w:p>
            <w:pPr>
              <w:jc w:val="left"/>
              <w:rPr>
                <w:rFonts w:ascii="仿宋" w:hAnsi="仿宋" w:eastAsia="仿宋"/>
                <w:szCs w:val="21"/>
              </w:rPr>
            </w:pPr>
            <w:r>
              <w:rPr>
                <w:rFonts w:hint="eastAsia" w:ascii="仿宋" w:hAnsi="仿宋" w:eastAsia="仿宋"/>
                <w:szCs w:val="21"/>
              </w:rPr>
              <w:t>对搬迁汇总及清单中所涉及的所有物资确认无误。</w:t>
            </w:r>
          </w:p>
        </w:tc>
        <w:tc>
          <w:tcPr>
            <w:tcW w:w="1139" w:type="dxa"/>
            <w:vAlign w:val="center"/>
          </w:tcPr>
          <w:p>
            <w:pPr>
              <w:jc w:val="left"/>
              <w:rPr>
                <w:rFonts w:ascii="仿宋" w:hAnsi="仿宋" w:eastAsia="仿宋"/>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2" w:hRule="atLeast"/>
          <w:jc w:val="center"/>
        </w:trPr>
        <w:tc>
          <w:tcPr>
            <w:tcW w:w="421" w:type="dxa"/>
            <w:vAlign w:val="center"/>
          </w:tcPr>
          <w:p>
            <w:pPr>
              <w:jc w:val="left"/>
              <w:rPr>
                <w:rFonts w:hint="eastAsia" w:ascii="仿宋" w:hAnsi="仿宋" w:eastAsia="仿宋"/>
                <w:b/>
                <w:bCs/>
                <w:sz w:val="18"/>
                <w:szCs w:val="18"/>
              </w:rPr>
            </w:pPr>
            <w:r>
              <w:rPr>
                <w:rFonts w:hint="eastAsia" w:ascii="仿宋" w:hAnsi="仿宋" w:eastAsia="仿宋"/>
                <w:b/>
                <w:bCs/>
                <w:sz w:val="18"/>
                <w:szCs w:val="18"/>
              </w:rPr>
              <w:t>19</w:t>
            </w:r>
          </w:p>
        </w:tc>
        <w:tc>
          <w:tcPr>
            <w:tcW w:w="708" w:type="dxa"/>
            <w:vAlign w:val="center"/>
          </w:tcPr>
          <w:p>
            <w:pPr>
              <w:jc w:val="left"/>
              <w:rPr>
                <w:rFonts w:hint="eastAsia" w:ascii="仿宋" w:hAnsi="仿宋" w:eastAsia="仿宋"/>
                <w:b/>
                <w:szCs w:val="21"/>
              </w:rPr>
            </w:pPr>
            <w:r>
              <w:rPr>
                <w:rFonts w:hint="eastAsia" w:ascii="仿宋" w:hAnsi="仿宋" w:eastAsia="仿宋"/>
                <w:b/>
                <w:bCs/>
                <w:szCs w:val="21"/>
              </w:rPr>
              <w:t>团队人员要求</w:t>
            </w:r>
          </w:p>
        </w:tc>
        <w:tc>
          <w:tcPr>
            <w:tcW w:w="6946" w:type="dxa"/>
            <w:gridSpan w:val="2"/>
            <w:vAlign w:val="center"/>
          </w:tcPr>
          <w:p>
            <w:pPr>
              <w:jc w:val="left"/>
              <w:rPr>
                <w:rFonts w:ascii="仿宋" w:hAnsi="仿宋" w:eastAsia="仿宋"/>
                <w:szCs w:val="21"/>
              </w:rPr>
            </w:pPr>
            <w:r>
              <w:rPr>
                <w:rFonts w:hint="eastAsia" w:ascii="仿宋" w:hAnsi="仿宋" w:eastAsia="仿宋"/>
                <w:szCs w:val="21"/>
              </w:rPr>
              <w:t>（</w:t>
            </w:r>
            <w:r>
              <w:rPr>
                <w:rFonts w:ascii="仿宋" w:hAnsi="仿宋" w:eastAsia="仿宋"/>
                <w:szCs w:val="21"/>
              </w:rPr>
              <w:t>1</w:t>
            </w:r>
            <w:r>
              <w:rPr>
                <w:rFonts w:hint="eastAsia" w:ascii="仿宋" w:hAnsi="仿宋" w:eastAsia="仿宋"/>
                <w:szCs w:val="21"/>
              </w:rPr>
              <w:t>）投标人拟投入本项目的技术及管理两位负责人须具备理工科或管理学专业学历，需提供以上人员近六个月中任意三个月在投标单位缴纳社保的证明文件及相应学历/职称证明材料予以佐证；</w:t>
            </w:r>
          </w:p>
          <w:p>
            <w:pPr>
              <w:jc w:val="left"/>
              <w:rPr>
                <w:rFonts w:ascii="仿宋" w:hAnsi="仿宋" w:eastAsia="仿宋"/>
                <w:szCs w:val="21"/>
              </w:rPr>
            </w:pPr>
            <w:r>
              <w:rPr>
                <w:rFonts w:hint="eastAsia" w:ascii="仿宋" w:hAnsi="仿宋" w:eastAsia="仿宋"/>
                <w:sz w:val="24"/>
                <w:u w:val="single"/>
              </w:rPr>
              <w:t>★</w:t>
            </w:r>
            <w:r>
              <w:rPr>
                <w:rFonts w:hint="eastAsia" w:ascii="仿宋" w:hAnsi="仿宋" w:eastAsia="仿宋"/>
                <w:szCs w:val="21"/>
                <w:u w:val="single"/>
              </w:rPr>
              <w:t>（2）投标人拟在本项目中所组建的项目管理团队须具有项目管理专业人员（PMP ，Project Management Professional）证书资质。</w:t>
            </w:r>
          </w:p>
          <w:p>
            <w:pPr>
              <w:jc w:val="left"/>
              <w:rPr>
                <w:rFonts w:hint="eastAsia" w:ascii="仿宋" w:hAnsi="仿宋" w:eastAsia="仿宋"/>
                <w:szCs w:val="21"/>
              </w:rPr>
            </w:pPr>
            <w:r>
              <w:rPr>
                <w:rFonts w:hint="eastAsia" w:ascii="仿宋" w:hAnsi="仿宋" w:eastAsia="仿宋"/>
                <w:szCs w:val="21"/>
              </w:rPr>
              <w:t>（3）投标人的项目执行需要由投标人自有人员完成，自有人员须提供近六个月中任意三个月有效的社保证明，并同时提供相应包含仪器维修、安装、培训等内容的工程师培训证书或资质证明。若有委托的第三方物流公司，投标人须在标书里附上对于本项目的拟合作协议。</w:t>
            </w:r>
          </w:p>
        </w:tc>
        <w:tc>
          <w:tcPr>
            <w:tcW w:w="1139" w:type="dxa"/>
            <w:vAlign w:val="center"/>
          </w:tcPr>
          <w:p>
            <w:pPr>
              <w:jc w:val="left"/>
              <w:rPr>
                <w:rFonts w:ascii="仿宋" w:hAnsi="仿宋" w:eastAsia="仿宋"/>
                <w:szCs w:val="21"/>
                <w:lang w:val="zh-CN"/>
              </w:rPr>
            </w:pPr>
          </w:p>
        </w:tc>
      </w:tr>
    </w:tbl>
    <w:p>
      <w:pPr>
        <w:pStyle w:val="2"/>
        <w:rPr>
          <w:rFonts w:hint="eastAsia" w:ascii="仿宋" w:hAnsi="仿宋" w:eastAsia="仿宋"/>
          <w:color w:val="auto"/>
        </w:rPr>
      </w:pPr>
    </w:p>
    <w:p>
      <w:pPr>
        <w:jc w:val="center"/>
        <w:rPr>
          <w:rFonts w:ascii="仿宋" w:hAnsi="仿宋" w:eastAsia="仿宋"/>
          <w:b/>
          <w:bCs/>
          <w:sz w:val="32"/>
        </w:rPr>
      </w:pPr>
      <w:r>
        <w:rPr>
          <w:rFonts w:hint="eastAsia" w:ascii="仿宋" w:hAnsi="仿宋" w:eastAsia="仿宋"/>
          <w:b/>
          <w:bCs/>
          <w:sz w:val="32"/>
        </w:rPr>
        <w:t>（二）仪器管理人员指定参数指标、测定方法</w:t>
      </w:r>
    </w:p>
    <w:p>
      <w:pPr>
        <w:jc w:val="center"/>
        <w:rPr>
          <w:rFonts w:ascii="仿宋" w:hAnsi="仿宋" w:eastAsia="仿宋"/>
          <w:b/>
          <w:bCs/>
          <w:sz w:val="32"/>
        </w:rPr>
      </w:pPr>
      <w:r>
        <w:rPr>
          <w:rFonts w:hint="eastAsia" w:ascii="仿宋" w:hAnsi="仿宋" w:eastAsia="仿宋"/>
          <w:b/>
          <w:bCs/>
          <w:sz w:val="32"/>
        </w:rPr>
        <w:t>及其它要求</w:t>
      </w:r>
    </w:p>
    <w:p>
      <w:pPr>
        <w:spacing w:line="360" w:lineRule="auto"/>
        <w:ind w:firstLine="482" w:firstLineChars="200"/>
        <w:jc w:val="left"/>
        <w:rPr>
          <w:rFonts w:ascii="仿宋" w:hAnsi="仿宋" w:eastAsia="仿宋"/>
          <w:b/>
          <w:sz w:val="24"/>
        </w:rPr>
      </w:pPr>
      <w:r>
        <w:rPr>
          <w:rFonts w:hint="eastAsia" w:ascii="仿宋" w:hAnsi="仿宋" w:eastAsia="仿宋"/>
          <w:b/>
          <w:sz w:val="24"/>
        </w:rPr>
        <w:t>一</w:t>
      </w:r>
      <w:r>
        <w:rPr>
          <w:rFonts w:ascii="仿宋" w:hAnsi="仿宋" w:eastAsia="仿宋"/>
          <w:b/>
          <w:sz w:val="24"/>
        </w:rPr>
        <w:t>、</w:t>
      </w:r>
      <w:r>
        <w:rPr>
          <w:rFonts w:hint="eastAsia" w:ascii="仿宋" w:hAnsi="仿宋" w:eastAsia="仿宋"/>
          <w:b/>
          <w:sz w:val="24"/>
        </w:rPr>
        <w:t>需要原厂工程师到场的仪器：</w:t>
      </w:r>
      <w:r>
        <w:rPr>
          <w:rFonts w:ascii="仿宋" w:hAnsi="仿宋" w:eastAsia="仿宋"/>
          <w:b/>
          <w:sz w:val="24"/>
        </w:rPr>
        <w:t xml:space="preserve"> </w:t>
      </w:r>
    </w:p>
    <w:p>
      <w:pPr>
        <w:spacing w:line="360" w:lineRule="auto"/>
        <w:ind w:firstLine="482" w:firstLineChars="200"/>
        <w:jc w:val="left"/>
        <w:rPr>
          <w:rFonts w:ascii="仿宋" w:hAnsi="仿宋" w:eastAsia="仿宋"/>
          <w:b/>
          <w:sz w:val="24"/>
        </w:rPr>
      </w:pPr>
      <w:r>
        <w:rPr>
          <w:rFonts w:ascii="仿宋" w:hAnsi="仿宋" w:eastAsia="仿宋"/>
          <w:b/>
          <w:sz w:val="24"/>
        </w:rPr>
        <w:t>1</w:t>
      </w:r>
      <w:r>
        <w:rPr>
          <w:rFonts w:hint="eastAsia" w:ascii="仿宋" w:hAnsi="仿宋" w:eastAsia="仿宋"/>
          <w:b/>
          <w:sz w:val="24"/>
        </w:rPr>
        <w:t>、电子束曝光系统（</w:t>
      </w:r>
      <w:r>
        <w:rPr>
          <w:rFonts w:ascii="仿宋" w:hAnsi="仿宋" w:eastAsia="仿宋"/>
          <w:b/>
          <w:sz w:val="24"/>
        </w:rPr>
        <w:t>EBL</w:t>
      </w:r>
      <w:r>
        <w:rPr>
          <w:rFonts w:hint="eastAsia" w:ascii="仿宋" w:hAnsi="仿宋" w:eastAsia="仿宋"/>
          <w:b/>
          <w:sz w:val="24"/>
        </w:rPr>
        <w:t>）（搬迁工程师，仪器管理老师及仪器厂家工程师共同到场）：（要求使用气垫防震车运输）</w:t>
      </w:r>
    </w:p>
    <w:p>
      <w:pPr>
        <w:spacing w:line="360" w:lineRule="auto"/>
        <w:ind w:firstLine="480" w:firstLineChars="200"/>
        <w:jc w:val="left"/>
        <w:rPr>
          <w:rFonts w:ascii="仿宋" w:hAnsi="仿宋" w:eastAsia="仿宋"/>
          <w:sz w:val="24"/>
        </w:rPr>
      </w:pPr>
      <w:r>
        <w:rPr>
          <w:rFonts w:hint="eastAsia" w:ascii="仿宋" w:hAnsi="仿宋" w:eastAsia="仿宋"/>
          <w:sz w:val="24"/>
        </w:rPr>
        <w:t>（1）系统真空达到</w:t>
      </w:r>
      <w:r>
        <w:rPr>
          <w:rFonts w:ascii="仿宋" w:hAnsi="仿宋" w:eastAsia="仿宋"/>
          <w:sz w:val="24"/>
        </w:rPr>
        <w:t>E-6</w:t>
      </w:r>
      <w:r>
        <w:rPr>
          <w:rFonts w:hint="eastAsia" w:ascii="仿宋" w:hAnsi="仿宋" w:eastAsia="仿宋"/>
          <w:sz w:val="24"/>
        </w:rPr>
        <w:t>，</w:t>
      </w:r>
      <w:r>
        <w:rPr>
          <w:rFonts w:ascii="仿宋" w:hAnsi="仿宋" w:eastAsia="仿宋"/>
          <w:sz w:val="24"/>
        </w:rPr>
        <w:t>gun</w:t>
      </w:r>
      <w:r>
        <w:rPr>
          <w:rFonts w:hint="eastAsia" w:ascii="仿宋" w:hAnsi="仿宋" w:eastAsia="仿宋"/>
          <w:sz w:val="24"/>
        </w:rPr>
        <w:t>真空达到</w:t>
      </w:r>
      <w:r>
        <w:rPr>
          <w:rFonts w:ascii="仿宋" w:hAnsi="仿宋" w:eastAsia="仿宋"/>
          <w:sz w:val="24"/>
        </w:rPr>
        <w:t>E-9</w:t>
      </w:r>
      <w:r>
        <w:rPr>
          <w:rFonts w:hint="eastAsia" w:ascii="仿宋" w:hAnsi="仿宋" w:eastAsia="仿宋"/>
          <w:sz w:val="24"/>
        </w:rPr>
        <w:t>以下</w:t>
      </w:r>
    </w:p>
    <w:p>
      <w:pPr>
        <w:spacing w:line="360" w:lineRule="auto"/>
        <w:ind w:firstLine="480" w:firstLineChars="200"/>
        <w:jc w:val="left"/>
        <w:rPr>
          <w:rFonts w:ascii="仿宋" w:hAnsi="仿宋" w:eastAsia="仿宋"/>
          <w:sz w:val="24"/>
        </w:rPr>
      </w:pPr>
      <w:r>
        <w:rPr>
          <w:rFonts w:hint="eastAsia" w:ascii="仿宋" w:hAnsi="仿宋" w:eastAsia="仿宋"/>
          <w:sz w:val="24"/>
        </w:rPr>
        <w:t>（2）</w:t>
      </w:r>
      <w:r>
        <w:rPr>
          <w:rFonts w:ascii="仿宋" w:hAnsi="仿宋" w:eastAsia="仿宋"/>
          <w:sz w:val="24"/>
        </w:rPr>
        <w:t>30</w:t>
      </w:r>
      <w:r>
        <w:rPr>
          <w:rFonts w:hint="eastAsia" w:ascii="仿宋" w:hAnsi="仿宋" w:eastAsia="仿宋"/>
          <w:sz w:val="24"/>
        </w:rPr>
        <w:t>微米孔径束流在</w:t>
      </w:r>
      <w:r>
        <w:rPr>
          <w:rFonts w:ascii="仿宋" w:hAnsi="仿宋" w:eastAsia="仿宋"/>
          <w:sz w:val="24"/>
        </w:rPr>
        <w:t>200pA</w:t>
      </w:r>
      <w:r>
        <w:rPr>
          <w:rFonts w:hint="eastAsia" w:ascii="仿宋" w:hAnsi="仿宋" w:eastAsia="仿宋"/>
          <w:sz w:val="24"/>
        </w:rPr>
        <w:t>，银球颗粒可清晰观测，</w:t>
      </w:r>
      <w:r>
        <w:rPr>
          <w:rFonts w:ascii="仿宋" w:hAnsi="仿宋" w:eastAsia="仿宋"/>
          <w:sz w:val="24"/>
        </w:rPr>
        <w:t>demo</w:t>
      </w:r>
      <w:r>
        <w:rPr>
          <w:rFonts w:hint="eastAsia" w:ascii="仿宋" w:hAnsi="仿宋" w:eastAsia="仿宋"/>
          <w:sz w:val="24"/>
        </w:rPr>
        <w:t>图形曝光无问题。</w:t>
      </w:r>
    </w:p>
    <w:p>
      <w:pPr>
        <w:spacing w:line="360" w:lineRule="auto"/>
        <w:ind w:firstLine="480" w:firstLineChars="200"/>
        <w:jc w:val="left"/>
        <w:rPr>
          <w:rFonts w:ascii="仿宋" w:hAnsi="仿宋" w:eastAsia="仿宋"/>
          <w:sz w:val="24"/>
        </w:rPr>
      </w:pPr>
      <w:r>
        <w:rPr>
          <w:rFonts w:hint="eastAsia" w:ascii="仿宋" w:hAnsi="仿宋" w:eastAsia="仿宋"/>
          <w:sz w:val="24"/>
        </w:rPr>
        <w:t>（3）仪器包装箱加用于监测倾斜和震动的标识</w:t>
      </w:r>
    </w:p>
    <w:p>
      <w:pPr>
        <w:spacing w:line="360" w:lineRule="auto"/>
        <w:ind w:firstLine="482" w:firstLineChars="200"/>
        <w:jc w:val="left"/>
        <w:rPr>
          <w:rFonts w:ascii="仿宋" w:hAnsi="仿宋" w:eastAsia="仿宋"/>
          <w:b/>
          <w:sz w:val="24"/>
        </w:rPr>
      </w:pPr>
      <w:r>
        <w:rPr>
          <w:rFonts w:hint="eastAsia" w:ascii="仿宋" w:hAnsi="仿宋" w:eastAsia="仿宋"/>
          <w:b/>
          <w:sz w:val="24"/>
        </w:rPr>
        <w:t>（4）厂家工程师认为有必要检测的其他参数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2</w:t>
      </w:r>
      <w:r>
        <w:rPr>
          <w:rFonts w:hint="eastAsia" w:ascii="仿宋" w:hAnsi="仿宋" w:eastAsia="仿宋"/>
          <w:b/>
          <w:sz w:val="24"/>
        </w:rPr>
        <w:t>、场发射扫描电子显微镜（</w:t>
      </w:r>
      <w:r>
        <w:rPr>
          <w:rFonts w:ascii="仿宋" w:hAnsi="仿宋" w:eastAsia="仿宋"/>
          <w:b/>
          <w:sz w:val="24"/>
        </w:rPr>
        <w:t>SEM</w:t>
      </w:r>
      <w:r>
        <w:rPr>
          <w:rFonts w:hint="eastAsia" w:ascii="仿宋" w:hAnsi="仿宋" w:eastAsia="仿宋"/>
          <w:b/>
          <w:sz w:val="24"/>
        </w:rPr>
        <w:t>）（搬迁工程师，仪器管理老师及仪器厂家工程师共同到场）：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）真空度达到</w:t>
      </w:r>
      <w:r>
        <w:rPr>
          <w:rFonts w:ascii="仿宋" w:hAnsi="仿宋" w:eastAsia="仿宋"/>
          <w:sz w:val="24"/>
        </w:rPr>
        <w:t>1xE-5</w:t>
      </w:r>
      <w:r>
        <w:rPr>
          <w:rFonts w:hint="eastAsia" w:ascii="仿宋" w:hAnsi="仿宋" w:eastAsia="仿宋"/>
          <w:sz w:val="24"/>
        </w:rPr>
        <w:t>以下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）金标样</w:t>
      </w:r>
      <w:r>
        <w:rPr>
          <w:rFonts w:ascii="仿宋" w:hAnsi="仿宋" w:eastAsia="仿宋"/>
          <w:sz w:val="24"/>
        </w:rPr>
        <w:t>pixels</w:t>
      </w:r>
      <w:r>
        <w:rPr>
          <w:rFonts w:hint="eastAsia" w:ascii="仿宋" w:hAnsi="仿宋" w:eastAsia="仿宋"/>
          <w:sz w:val="24"/>
        </w:rPr>
        <w:t>达到</w:t>
      </w:r>
      <w:r>
        <w:rPr>
          <w:rFonts w:ascii="仿宋" w:hAnsi="仿宋" w:eastAsia="仿宋"/>
          <w:sz w:val="24"/>
        </w:rPr>
        <w:t>1.2nm</w:t>
      </w:r>
      <w:r>
        <w:rPr>
          <w:rFonts w:hint="eastAsia" w:ascii="仿宋" w:hAnsi="仿宋" w:eastAsia="仿宋"/>
          <w:sz w:val="24"/>
        </w:rPr>
        <w:t>。</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sz w:val="24"/>
        </w:rPr>
      </w:pPr>
      <w:r>
        <w:rPr>
          <w:rFonts w:hint="eastAsia" w:ascii="仿宋" w:hAnsi="仿宋" w:eastAsia="仿宋"/>
          <w:b/>
          <w:sz w:val="24"/>
        </w:rPr>
        <w:t>（4）厂家工程师认为有必要检测的其他参数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3</w:t>
      </w:r>
      <w:r>
        <w:rPr>
          <w:rFonts w:hint="eastAsia" w:ascii="仿宋" w:hAnsi="仿宋" w:eastAsia="仿宋"/>
          <w:b/>
          <w:sz w:val="24"/>
        </w:rPr>
        <w:t>、激光直写（搬迁工程师，仪器管理老师及仪器厂家工程师共同到场）：</w:t>
      </w:r>
    </w:p>
    <w:p>
      <w:pPr>
        <w:spacing w:line="360" w:lineRule="auto"/>
        <w:ind w:firstLine="482" w:firstLineChars="200"/>
        <w:jc w:val="left"/>
        <w:rPr>
          <w:rFonts w:hint="eastAsia" w:ascii="仿宋" w:hAnsi="仿宋" w:eastAsia="仿宋"/>
          <w:b/>
          <w:sz w:val="24"/>
        </w:rPr>
      </w:pPr>
      <w:r>
        <w:rPr>
          <w:rFonts w:hint="eastAsia" w:ascii="仿宋" w:hAnsi="仿宋" w:eastAsia="仿宋"/>
          <w:b/>
          <w:sz w:val="24"/>
        </w:rPr>
        <w:t>（要求使用气垫防震车运输）</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套刻误差和曝光精度在</w:t>
      </w:r>
      <w:r>
        <w:rPr>
          <w:rFonts w:ascii="仿宋" w:hAnsi="仿宋" w:eastAsia="仿宋"/>
          <w:sz w:val="24"/>
        </w:rPr>
        <w:t>1刻误</w:t>
      </w:r>
      <w:r>
        <w:rPr>
          <w:rFonts w:hint="eastAsia" w:ascii="仿宋" w:hAnsi="仿宋" w:eastAsia="仿宋"/>
          <w:sz w:val="24"/>
        </w:rPr>
        <w:t>以内</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选用</w:t>
      </w:r>
      <w:r>
        <w:rPr>
          <w:rFonts w:ascii="仿宋" w:hAnsi="仿宋" w:eastAsia="仿宋"/>
          <w:sz w:val="24"/>
        </w:rPr>
        <w:t>405nm 1um激光头，200 mJ/cm</w:t>
      </w:r>
      <w:r>
        <w:rPr>
          <w:rFonts w:ascii="仿宋" w:hAnsi="仿宋" w:eastAsia="仿宋"/>
          <w:sz w:val="24"/>
          <w:vertAlign w:val="superscript"/>
        </w:rPr>
        <w:t>2</w:t>
      </w:r>
      <w:r>
        <w:rPr>
          <w:rFonts w:hint="eastAsia" w:ascii="仿宋" w:hAnsi="仿宋" w:eastAsia="仿宋"/>
          <w:sz w:val="24"/>
        </w:rPr>
        <w:t>曝光剂量，图形边沿向外扩</w:t>
      </w:r>
      <w:r>
        <w:rPr>
          <w:rFonts w:ascii="仿宋" w:hAnsi="仿宋" w:eastAsia="仿宋"/>
          <w:sz w:val="24"/>
        </w:rPr>
        <w:t>1um</w:t>
      </w:r>
      <w:r>
        <w:rPr>
          <w:rFonts w:hint="eastAsia" w:ascii="仿宋" w:hAnsi="仿宋" w:eastAsia="仿宋"/>
          <w:sz w:val="24"/>
        </w:rPr>
        <w:t>以内</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b/>
          <w:sz w:val="24"/>
        </w:rPr>
      </w:pPr>
      <w:r>
        <w:rPr>
          <w:rFonts w:hint="eastAsia" w:ascii="仿宋" w:hAnsi="仿宋" w:eastAsia="仿宋"/>
          <w:b/>
          <w:sz w:val="24"/>
        </w:rPr>
        <w:t>（</w:t>
      </w:r>
      <w:r>
        <w:rPr>
          <w:rFonts w:ascii="仿宋" w:hAnsi="仿宋" w:eastAsia="仿宋"/>
          <w:b/>
          <w:sz w:val="24"/>
        </w:rPr>
        <w:t>4</w:t>
      </w:r>
      <w:r>
        <w:rPr>
          <w:rFonts w:hint="eastAsia" w:ascii="仿宋" w:hAnsi="仿宋" w:eastAsia="仿宋"/>
          <w:b/>
          <w:sz w:val="24"/>
        </w:rPr>
        <w:t>）厂家工程师认为有必要检测的其他参数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4</w:t>
      </w:r>
      <w:r>
        <w:rPr>
          <w:rFonts w:hint="eastAsia" w:ascii="仿宋" w:hAnsi="仿宋" w:eastAsia="仿宋"/>
          <w:b/>
          <w:sz w:val="24"/>
        </w:rPr>
        <w:t>、单磁控溅射仪、共磁控溅射仪（搬迁工程师，仪器管理老师及仪器厂家工程师共同到场）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真空极限</w:t>
      </w:r>
      <w:r>
        <w:rPr>
          <w:rFonts w:ascii="仿宋" w:hAnsi="仿宋" w:eastAsia="仿宋"/>
          <w:sz w:val="24"/>
        </w:rPr>
        <w:t>10</w:t>
      </w:r>
      <w:r>
        <w:rPr>
          <w:rFonts w:ascii="仿宋" w:hAnsi="仿宋" w:eastAsia="仿宋"/>
          <w:sz w:val="24"/>
          <w:vertAlign w:val="superscript"/>
        </w:rPr>
        <w:t xml:space="preserve">-7 </w:t>
      </w:r>
      <w:r>
        <w:rPr>
          <w:rFonts w:ascii="仿宋" w:hAnsi="仿宋" w:eastAsia="仿宋"/>
          <w:sz w:val="24"/>
        </w:rPr>
        <w:t>Torr以下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开高阀后抽真空一小时达到</w:t>
      </w:r>
      <w:r>
        <w:rPr>
          <w:rFonts w:ascii="仿宋" w:hAnsi="仿宋" w:eastAsia="仿宋"/>
          <w:sz w:val="24"/>
        </w:rPr>
        <w:t>9高阀后</w:t>
      </w:r>
      <w:r>
        <w:rPr>
          <w:rFonts w:ascii="仿宋" w:hAnsi="仿宋" w:eastAsia="仿宋"/>
          <w:sz w:val="24"/>
          <w:vertAlign w:val="superscript"/>
        </w:rPr>
        <w:t xml:space="preserve">-6 </w:t>
      </w:r>
      <w:r>
        <w:rPr>
          <w:rFonts w:ascii="仿宋" w:hAnsi="仿宋" w:eastAsia="仿宋"/>
          <w:sz w:val="24"/>
        </w:rPr>
        <w:t>Torr</w:t>
      </w:r>
      <w:r>
        <w:rPr>
          <w:rFonts w:hint="eastAsia" w:ascii="仿宋" w:hAnsi="仿宋" w:eastAsia="仿宋"/>
          <w:sz w:val="24"/>
        </w:rPr>
        <w:t>以下，</w:t>
      </w:r>
      <w:r>
        <w:rPr>
          <w:rFonts w:ascii="仿宋" w:hAnsi="仿宋" w:eastAsia="仿宋"/>
          <w:sz w:val="24"/>
        </w:rPr>
        <w:t>12</w:t>
      </w:r>
      <w:r>
        <w:rPr>
          <w:rFonts w:hint="eastAsia" w:ascii="仿宋" w:hAnsi="仿宋" w:eastAsia="仿宋"/>
          <w:sz w:val="24"/>
        </w:rPr>
        <w:t>小时达到</w:t>
      </w:r>
      <w:r>
        <w:rPr>
          <w:rFonts w:ascii="仿宋" w:hAnsi="仿宋" w:eastAsia="仿宋"/>
          <w:sz w:val="24"/>
        </w:rPr>
        <w:t>10</w:t>
      </w:r>
      <w:r>
        <w:rPr>
          <w:rFonts w:ascii="仿宋" w:hAnsi="仿宋" w:eastAsia="仿宋"/>
          <w:sz w:val="24"/>
          <w:vertAlign w:val="superscript"/>
        </w:rPr>
        <w:t xml:space="preserve">-7 </w:t>
      </w:r>
      <w:r>
        <w:rPr>
          <w:rFonts w:ascii="仿宋" w:hAnsi="仿宋" w:eastAsia="仿宋"/>
          <w:sz w:val="24"/>
        </w:rPr>
        <w:t>Torr以下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机械泵从大气压到</w:t>
      </w:r>
      <w:r>
        <w:rPr>
          <w:rFonts w:ascii="仿宋" w:hAnsi="仿宋" w:eastAsia="仿宋"/>
          <w:sz w:val="24"/>
        </w:rPr>
        <w:t>0.1Torr以下耗时6</w:t>
      </w:r>
      <w:r>
        <w:rPr>
          <w:rFonts w:hint="eastAsia" w:ascii="仿宋" w:hAnsi="仿宋" w:eastAsia="仿宋"/>
          <w:sz w:val="24"/>
        </w:rPr>
        <w:t>分钟以内</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进气口气体流量稳定，无任何波动</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b/>
          <w:sz w:val="24"/>
        </w:rPr>
      </w:pPr>
      <w:r>
        <w:rPr>
          <w:rFonts w:hint="eastAsia" w:ascii="仿宋" w:hAnsi="仿宋" w:eastAsia="仿宋"/>
          <w:b/>
          <w:sz w:val="24"/>
        </w:rPr>
        <w:t>（</w:t>
      </w:r>
      <w:r>
        <w:rPr>
          <w:rFonts w:ascii="仿宋" w:hAnsi="仿宋" w:eastAsia="仿宋"/>
          <w:b/>
          <w:sz w:val="24"/>
        </w:rPr>
        <w:t>6</w:t>
      </w:r>
      <w:r>
        <w:rPr>
          <w:rFonts w:hint="eastAsia" w:ascii="仿宋" w:hAnsi="仿宋" w:eastAsia="仿宋"/>
          <w:b/>
          <w:sz w:val="24"/>
        </w:rPr>
        <w:t>）厂家工程师认为有必要检测的其他参数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5</w:t>
      </w:r>
      <w:r>
        <w:rPr>
          <w:rFonts w:hint="eastAsia" w:ascii="仿宋" w:hAnsi="仿宋" w:eastAsia="仿宋"/>
          <w:b/>
          <w:sz w:val="24"/>
        </w:rPr>
        <w:t>、激光显微拉曼光谱仪（搬迁工程师，仪器管理老师及仪器厂家工程师共同到场）</w:t>
      </w:r>
    </w:p>
    <w:p>
      <w:pPr>
        <w:spacing w:line="360" w:lineRule="auto"/>
        <w:ind w:firstLine="480" w:firstLineChars="200"/>
        <w:jc w:val="left"/>
        <w:rPr>
          <w:rFonts w:hint="eastAsia" w:ascii="仿宋" w:hAnsi="仿宋" w:eastAsia="仿宋"/>
          <w:sz w:val="24"/>
        </w:rPr>
      </w:pPr>
      <w:r>
        <w:rPr>
          <w:rFonts w:hint="eastAsia" w:ascii="仿宋" w:hAnsi="仿宋" w:eastAsia="仿宋"/>
          <w:sz w:val="24"/>
        </w:rPr>
        <w:t>（1） 硅一阶峰520cm-1峰位重复性≤±0.05cm-1</w:t>
      </w:r>
    </w:p>
    <w:p>
      <w:pPr>
        <w:spacing w:line="360" w:lineRule="auto"/>
        <w:ind w:firstLine="480" w:firstLineChars="200"/>
        <w:jc w:val="left"/>
        <w:rPr>
          <w:rFonts w:hint="eastAsia" w:ascii="仿宋" w:hAnsi="仿宋" w:eastAsia="仿宋"/>
          <w:sz w:val="24"/>
        </w:rPr>
      </w:pPr>
      <w:r>
        <w:rPr>
          <w:rFonts w:hint="eastAsia" w:ascii="仿宋" w:hAnsi="仿宋" w:eastAsia="仿宋"/>
          <w:sz w:val="24"/>
        </w:rPr>
        <w:t>（2） 灵敏度≥30（硅三阶峰强度与噪声波动标准偏差比值）</w:t>
      </w:r>
    </w:p>
    <w:p>
      <w:pPr>
        <w:spacing w:line="360" w:lineRule="auto"/>
        <w:ind w:firstLine="480" w:firstLineChars="200"/>
        <w:jc w:val="left"/>
        <w:rPr>
          <w:rFonts w:hint="eastAsia" w:ascii="仿宋" w:hAnsi="仿宋" w:eastAsia="仿宋"/>
          <w:sz w:val="24"/>
        </w:rPr>
      </w:pPr>
      <w:r>
        <w:rPr>
          <w:rFonts w:hint="eastAsia" w:ascii="仿宋" w:hAnsi="仿宋" w:eastAsia="仿宋"/>
          <w:sz w:val="24"/>
        </w:rPr>
        <w:t>（3） 光谱分辨率≤1cm-1</w:t>
      </w:r>
    </w:p>
    <w:p>
      <w:pPr>
        <w:spacing w:line="360" w:lineRule="auto"/>
        <w:ind w:firstLine="480" w:firstLineChars="200"/>
        <w:jc w:val="left"/>
        <w:rPr>
          <w:rFonts w:ascii="仿宋" w:hAnsi="仿宋" w:eastAsia="仿宋"/>
          <w:sz w:val="24"/>
        </w:rPr>
      </w:pPr>
      <w:bookmarkStart w:id="1" w:name="_GoBack"/>
      <w:bookmarkEnd w:id="1"/>
      <w:r>
        <w:rPr>
          <w:rFonts w:hint="eastAsia" w:ascii="仿宋" w:hAnsi="仿宋" w:eastAsia="仿宋"/>
          <w:sz w:val="24"/>
        </w:rPr>
        <w:t>（</w:t>
      </w:r>
      <w:r>
        <w:rPr>
          <w:rFonts w:ascii="仿宋" w:hAnsi="仿宋" w:eastAsia="仿宋"/>
          <w:sz w:val="24"/>
        </w:rPr>
        <w:t>4</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测定每个激光器最小功率下的信号强度，保证搬迁前后一致</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sz w:val="24"/>
        </w:rPr>
      </w:pPr>
      <w:r>
        <w:rPr>
          <w:rFonts w:hint="eastAsia" w:ascii="仿宋" w:hAnsi="仿宋" w:eastAsia="仿宋"/>
          <w:b/>
          <w:sz w:val="24"/>
        </w:rPr>
        <w:t>（</w:t>
      </w:r>
      <w:r>
        <w:rPr>
          <w:rFonts w:ascii="仿宋" w:hAnsi="仿宋" w:eastAsia="仿宋"/>
          <w:b/>
          <w:sz w:val="24"/>
        </w:rPr>
        <w:t>6</w:t>
      </w:r>
      <w:r>
        <w:rPr>
          <w:rFonts w:hint="eastAsia" w:ascii="仿宋" w:hAnsi="仿宋" w:eastAsia="仿宋"/>
          <w:b/>
          <w:sz w:val="24"/>
        </w:rPr>
        <w:t>）厂家工程师认为有必要检测的其他参数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6</w:t>
      </w:r>
      <w:r>
        <w:rPr>
          <w:rFonts w:hint="eastAsia" w:ascii="仿宋" w:hAnsi="仿宋" w:eastAsia="仿宋"/>
          <w:b/>
          <w:sz w:val="24"/>
        </w:rPr>
        <w:t>、紫外光刻机（搬迁工程师，仪器管理老师及仪器厂家工程师共同到场）</w:t>
      </w:r>
    </w:p>
    <w:p>
      <w:pPr>
        <w:spacing w:line="360" w:lineRule="auto"/>
        <w:ind w:firstLine="482" w:firstLineChars="200"/>
        <w:jc w:val="left"/>
        <w:rPr>
          <w:rFonts w:hint="eastAsia" w:ascii="仿宋" w:hAnsi="仿宋" w:eastAsia="仿宋"/>
          <w:b/>
          <w:sz w:val="24"/>
        </w:rPr>
      </w:pPr>
      <w:r>
        <w:rPr>
          <w:rFonts w:hint="eastAsia" w:ascii="仿宋" w:hAnsi="仿宋" w:eastAsia="仿宋"/>
          <w:b/>
          <w:sz w:val="24"/>
        </w:rPr>
        <w:t>（要求使用气垫防震车运输）</w:t>
      </w:r>
    </w:p>
    <w:p>
      <w:pPr>
        <w:spacing w:line="360" w:lineRule="auto"/>
        <w:ind w:firstLine="480" w:firstLineChars="200"/>
        <w:jc w:val="left"/>
        <w:rPr>
          <w:rFonts w:ascii="仿宋" w:hAnsi="仿宋" w:eastAsia="仿宋"/>
          <w:sz w:val="24"/>
        </w:rPr>
      </w:pPr>
      <w:r>
        <w:rPr>
          <w:rFonts w:hint="eastAsia" w:ascii="仿宋" w:hAnsi="仿宋" w:eastAsia="仿宋"/>
          <w:sz w:val="24"/>
        </w:rPr>
        <w:t>（1）检查氮气通气量大于</w:t>
      </w:r>
      <w:r>
        <w:rPr>
          <w:rFonts w:ascii="仿宋" w:hAnsi="仿宋" w:eastAsia="仿宋"/>
          <w:sz w:val="24"/>
        </w:rPr>
        <w:t>20psi</w:t>
      </w:r>
      <w:r>
        <w:rPr>
          <w:rFonts w:hint="eastAsia" w:ascii="仿宋" w:hAnsi="仿宋" w:eastAsia="仿宋"/>
          <w:sz w:val="24"/>
        </w:rPr>
        <w:t>，压缩空气</w:t>
      </w:r>
      <w:r>
        <w:rPr>
          <w:rFonts w:ascii="仿宋" w:hAnsi="仿宋" w:eastAsia="仿宋"/>
          <w:sz w:val="24"/>
        </w:rPr>
        <w:t>0.5-0.6Mpa</w:t>
      </w:r>
      <w:r>
        <w:rPr>
          <w:rFonts w:hint="eastAsia" w:ascii="仿宋" w:hAnsi="仿宋" w:eastAsia="仿宋"/>
          <w:sz w:val="24"/>
        </w:rPr>
        <w:t>。</w:t>
      </w:r>
    </w:p>
    <w:p>
      <w:pPr>
        <w:spacing w:line="360" w:lineRule="auto"/>
        <w:ind w:firstLine="480" w:firstLineChars="200"/>
        <w:jc w:val="left"/>
        <w:rPr>
          <w:rFonts w:ascii="仿宋" w:hAnsi="仿宋" w:eastAsia="仿宋"/>
          <w:sz w:val="24"/>
        </w:rPr>
      </w:pPr>
      <w:r>
        <w:rPr>
          <w:rFonts w:hint="eastAsia" w:ascii="仿宋" w:hAnsi="仿宋" w:eastAsia="仿宋"/>
          <w:sz w:val="24"/>
        </w:rPr>
        <w:t>（2）开机后</w:t>
      </w:r>
      <w:r>
        <w:rPr>
          <w:rFonts w:ascii="仿宋" w:hAnsi="仿宋" w:eastAsia="仿宋"/>
          <w:sz w:val="24"/>
        </w:rPr>
        <w:t>lampcooling</w:t>
      </w:r>
      <w:r>
        <w:rPr>
          <w:rFonts w:hint="eastAsia" w:ascii="仿宋" w:hAnsi="仿宋" w:eastAsia="仿宋"/>
          <w:sz w:val="24"/>
        </w:rPr>
        <w:t>大于</w:t>
      </w:r>
      <w:r>
        <w:rPr>
          <w:rFonts w:ascii="仿宋" w:hAnsi="仿宋" w:eastAsia="仿宋"/>
          <w:sz w:val="24"/>
        </w:rPr>
        <w:t>3 L/min</w:t>
      </w:r>
      <w:r>
        <w:rPr>
          <w:rFonts w:hint="eastAsia" w:ascii="仿宋" w:hAnsi="仿宋" w:eastAsia="仿宋"/>
          <w:sz w:val="24"/>
        </w:rPr>
        <w:t>，光源冷却</w:t>
      </w:r>
      <w:r>
        <w:rPr>
          <w:rFonts w:ascii="仿宋" w:hAnsi="仿宋" w:eastAsia="仿宋"/>
          <w:sz w:val="24"/>
        </w:rPr>
        <w:t>10min</w:t>
      </w:r>
      <w:r>
        <w:rPr>
          <w:rFonts w:hint="eastAsia" w:ascii="仿宋" w:hAnsi="仿宋" w:eastAsia="仿宋"/>
          <w:sz w:val="24"/>
        </w:rPr>
        <w:t>后可以进行曝光。</w:t>
      </w:r>
    </w:p>
    <w:p>
      <w:pPr>
        <w:spacing w:line="360" w:lineRule="auto"/>
        <w:ind w:firstLine="480" w:firstLineChars="200"/>
        <w:jc w:val="left"/>
        <w:rPr>
          <w:rFonts w:ascii="仿宋" w:hAnsi="仿宋" w:eastAsia="仿宋"/>
          <w:sz w:val="24"/>
        </w:rPr>
      </w:pPr>
      <w:r>
        <w:rPr>
          <w:rFonts w:hint="eastAsia" w:ascii="仿宋" w:hAnsi="仿宋" w:eastAsia="仿宋"/>
          <w:sz w:val="24"/>
        </w:rPr>
        <w:t>（3）操作平台有气囊保护，注意气囊的充气情况。</w:t>
      </w:r>
    </w:p>
    <w:p>
      <w:pPr>
        <w:spacing w:line="360" w:lineRule="auto"/>
        <w:ind w:firstLine="480" w:firstLineChars="200"/>
        <w:jc w:val="left"/>
        <w:rPr>
          <w:rFonts w:ascii="仿宋" w:hAnsi="仿宋" w:eastAsia="仿宋"/>
          <w:sz w:val="24"/>
        </w:rPr>
      </w:pPr>
      <w:r>
        <w:rPr>
          <w:rFonts w:hint="eastAsia" w:ascii="仿宋" w:hAnsi="仿宋" w:eastAsia="仿宋"/>
          <w:sz w:val="24"/>
        </w:rPr>
        <w:t>（4）仪器包装箱加用于监测倾斜和震动的标识</w:t>
      </w:r>
    </w:p>
    <w:p>
      <w:pPr>
        <w:spacing w:line="360" w:lineRule="auto"/>
        <w:ind w:firstLine="482" w:firstLineChars="200"/>
        <w:jc w:val="left"/>
        <w:rPr>
          <w:rFonts w:ascii="仿宋" w:hAnsi="仿宋" w:eastAsia="仿宋"/>
          <w:sz w:val="24"/>
        </w:rPr>
      </w:pPr>
      <w:r>
        <w:rPr>
          <w:rFonts w:hint="eastAsia" w:ascii="仿宋" w:hAnsi="仿宋" w:eastAsia="仿宋"/>
          <w:b/>
          <w:sz w:val="24"/>
        </w:rPr>
        <w:t>（5）厂家工程师认为有必要检测的其他参数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7</w:t>
      </w:r>
      <w:r>
        <w:rPr>
          <w:rFonts w:hint="eastAsia" w:ascii="仿宋" w:hAnsi="仿宋" w:eastAsia="仿宋"/>
          <w:b/>
          <w:sz w:val="24"/>
        </w:rPr>
        <w:t>、热阻蒸发镀膜系统（搬迁工程师，仪器管理老师及仪器厂家工程师共同到场）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）搬迁之后检查水冷机可以正常工作；</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）热蒸发操作面板及各部分按钮正常；</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）开机后，</w:t>
      </w:r>
      <w:r>
        <w:rPr>
          <w:rFonts w:ascii="仿宋" w:hAnsi="仿宋" w:eastAsia="仿宋"/>
          <w:sz w:val="24"/>
        </w:rPr>
        <w:t>1</w:t>
      </w:r>
      <w:r>
        <w:rPr>
          <w:rFonts w:hint="eastAsia" w:ascii="仿宋" w:hAnsi="仿宋" w:eastAsia="仿宋"/>
          <w:sz w:val="24"/>
        </w:rPr>
        <w:t>小时抽真空大约可到</w:t>
      </w:r>
      <w:r>
        <w:rPr>
          <w:rFonts w:ascii="仿宋" w:hAnsi="仿宋" w:eastAsia="仿宋"/>
          <w:sz w:val="24"/>
        </w:rPr>
        <w:t>7E-6 torr</w:t>
      </w:r>
      <w:r>
        <w:rPr>
          <w:rFonts w:hint="eastAsia" w:ascii="仿宋" w:hAnsi="仿宋" w:eastAsia="仿宋"/>
          <w:sz w:val="24"/>
        </w:rPr>
        <w:t>，不同材料蒸发时的参数与之前波动范围</w:t>
      </w:r>
      <w:r>
        <w:rPr>
          <w:rFonts w:ascii="仿宋" w:hAnsi="仿宋" w:eastAsia="仿宋"/>
          <w:sz w:val="24"/>
        </w:rPr>
        <w:t>10%以内</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b/>
          <w:sz w:val="24"/>
        </w:rPr>
      </w:pPr>
      <w:r>
        <w:rPr>
          <w:rFonts w:hint="eastAsia" w:ascii="仿宋" w:hAnsi="仿宋" w:eastAsia="仿宋"/>
          <w:b/>
          <w:sz w:val="24"/>
        </w:rPr>
        <w:t>（</w:t>
      </w:r>
      <w:r>
        <w:rPr>
          <w:rFonts w:ascii="仿宋" w:hAnsi="仿宋" w:eastAsia="仿宋"/>
          <w:b/>
          <w:sz w:val="24"/>
        </w:rPr>
        <w:t>5</w:t>
      </w:r>
      <w:r>
        <w:rPr>
          <w:rFonts w:hint="eastAsia" w:ascii="仿宋" w:hAnsi="仿宋" w:eastAsia="仿宋"/>
          <w:b/>
          <w:sz w:val="24"/>
        </w:rPr>
        <w:t>）厂家工程师认为有必要检测的其他参数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8</w:t>
      </w:r>
      <w:r>
        <w:rPr>
          <w:rFonts w:hint="eastAsia" w:ascii="仿宋" w:hAnsi="仿宋" w:eastAsia="仿宋"/>
          <w:b/>
          <w:sz w:val="24"/>
        </w:rPr>
        <w:t>、电子束蒸发镀膜系统（搬迁工程师，仪器管理老师及仪器厂家工程师共同到场）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真空极限</w:t>
      </w:r>
      <w:r>
        <w:rPr>
          <w:rFonts w:ascii="仿宋" w:hAnsi="仿宋" w:eastAsia="仿宋"/>
          <w:sz w:val="24"/>
        </w:rPr>
        <w:t>10</w:t>
      </w:r>
      <w:r>
        <w:rPr>
          <w:rFonts w:ascii="仿宋" w:hAnsi="仿宋" w:eastAsia="仿宋"/>
          <w:sz w:val="24"/>
          <w:vertAlign w:val="superscript"/>
        </w:rPr>
        <w:t xml:space="preserve">-7 </w:t>
      </w:r>
      <w:r>
        <w:rPr>
          <w:rFonts w:ascii="仿宋" w:hAnsi="仿宋" w:eastAsia="仿宋"/>
          <w:sz w:val="24"/>
        </w:rPr>
        <w:t>Torr以下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开高阀后抽真空一小时达到</w:t>
      </w:r>
      <w:r>
        <w:rPr>
          <w:rFonts w:ascii="仿宋" w:hAnsi="仿宋" w:eastAsia="仿宋"/>
          <w:sz w:val="24"/>
        </w:rPr>
        <w:t>8高阀后</w:t>
      </w:r>
      <w:r>
        <w:rPr>
          <w:rFonts w:ascii="仿宋" w:hAnsi="仿宋" w:eastAsia="仿宋"/>
          <w:sz w:val="24"/>
          <w:vertAlign w:val="superscript"/>
        </w:rPr>
        <w:t xml:space="preserve">-6 </w:t>
      </w:r>
      <w:r>
        <w:rPr>
          <w:rFonts w:ascii="仿宋" w:hAnsi="仿宋" w:eastAsia="仿宋"/>
          <w:sz w:val="24"/>
        </w:rPr>
        <w:t>Torr</w:t>
      </w:r>
      <w:r>
        <w:rPr>
          <w:rFonts w:hint="eastAsia" w:ascii="仿宋" w:hAnsi="仿宋" w:eastAsia="仿宋"/>
          <w:sz w:val="24"/>
        </w:rPr>
        <w:t>以下，</w:t>
      </w:r>
      <w:r>
        <w:rPr>
          <w:rFonts w:ascii="仿宋" w:hAnsi="仿宋" w:eastAsia="仿宋"/>
          <w:sz w:val="24"/>
        </w:rPr>
        <w:t>12</w:t>
      </w:r>
      <w:r>
        <w:rPr>
          <w:rFonts w:hint="eastAsia" w:ascii="仿宋" w:hAnsi="仿宋" w:eastAsia="仿宋"/>
          <w:sz w:val="24"/>
        </w:rPr>
        <w:t>小时达到</w:t>
      </w:r>
      <w:r>
        <w:rPr>
          <w:rFonts w:ascii="仿宋" w:hAnsi="仿宋" w:eastAsia="仿宋"/>
          <w:sz w:val="24"/>
        </w:rPr>
        <w:t>10</w:t>
      </w:r>
      <w:r>
        <w:rPr>
          <w:rFonts w:ascii="仿宋" w:hAnsi="仿宋" w:eastAsia="仿宋"/>
          <w:sz w:val="24"/>
          <w:vertAlign w:val="superscript"/>
        </w:rPr>
        <w:t xml:space="preserve">-7 </w:t>
      </w:r>
      <w:r>
        <w:rPr>
          <w:rFonts w:ascii="仿宋" w:hAnsi="仿宋" w:eastAsia="仿宋"/>
          <w:sz w:val="24"/>
        </w:rPr>
        <w:t>Torr以下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机械泵从大气压到</w:t>
      </w:r>
      <w:r>
        <w:rPr>
          <w:rFonts w:ascii="仿宋" w:hAnsi="仿宋" w:eastAsia="仿宋"/>
          <w:sz w:val="24"/>
        </w:rPr>
        <w:t>0.1 Torr以下耗时6</w:t>
      </w:r>
      <w:r>
        <w:rPr>
          <w:rFonts w:hint="eastAsia" w:ascii="仿宋" w:hAnsi="仿宋" w:eastAsia="仿宋"/>
          <w:sz w:val="24"/>
        </w:rPr>
        <w:t>分钟以内</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薄膜蒸发速率稳定，波动范围</w:t>
      </w:r>
      <w:r>
        <w:rPr>
          <w:rFonts w:ascii="仿宋" w:hAnsi="仿宋" w:eastAsia="仿宋"/>
          <w:sz w:val="24"/>
        </w:rPr>
        <w:t>10%以内</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sz w:val="24"/>
        </w:rPr>
      </w:pPr>
      <w:r>
        <w:rPr>
          <w:rFonts w:hint="eastAsia" w:ascii="仿宋" w:hAnsi="仿宋" w:eastAsia="仿宋"/>
          <w:b/>
          <w:sz w:val="24"/>
        </w:rPr>
        <w:t>（</w:t>
      </w:r>
      <w:r>
        <w:rPr>
          <w:rFonts w:ascii="仿宋" w:hAnsi="仿宋" w:eastAsia="仿宋"/>
          <w:b/>
          <w:sz w:val="24"/>
        </w:rPr>
        <w:t>6</w:t>
      </w:r>
      <w:r>
        <w:rPr>
          <w:rFonts w:hint="eastAsia" w:ascii="仿宋" w:hAnsi="仿宋" w:eastAsia="仿宋"/>
          <w:b/>
          <w:sz w:val="24"/>
        </w:rPr>
        <w:t>）厂家工程师认为有必要检测的其他参数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9</w:t>
      </w:r>
      <w:r>
        <w:rPr>
          <w:rFonts w:hint="eastAsia" w:ascii="仿宋" w:hAnsi="仿宋" w:eastAsia="仿宋"/>
          <w:b/>
          <w:sz w:val="24"/>
        </w:rPr>
        <w:t>、</w:t>
      </w:r>
      <w:r>
        <w:rPr>
          <w:rFonts w:ascii="仿宋" w:hAnsi="仿宋" w:eastAsia="仿宋"/>
          <w:b/>
          <w:sz w:val="24"/>
        </w:rPr>
        <w:t>ICP</w:t>
      </w:r>
      <w:r>
        <w:rPr>
          <w:rFonts w:hint="eastAsia" w:ascii="仿宋" w:hAnsi="仿宋" w:eastAsia="仿宋"/>
          <w:b/>
          <w:sz w:val="24"/>
        </w:rPr>
        <w:t>刻蚀系统（搬迁工程师，仪器管理老师及仪器厂家工程师共同到场）</w:t>
      </w:r>
    </w:p>
    <w:p>
      <w:pPr>
        <w:spacing w:line="360" w:lineRule="auto"/>
        <w:ind w:firstLine="482" w:firstLineChars="200"/>
        <w:jc w:val="left"/>
        <w:rPr>
          <w:rFonts w:hint="eastAsia" w:ascii="仿宋" w:hAnsi="仿宋" w:eastAsia="仿宋"/>
          <w:b/>
          <w:sz w:val="24"/>
        </w:rPr>
      </w:pPr>
      <w:r>
        <w:rPr>
          <w:rFonts w:hint="eastAsia" w:ascii="仿宋" w:hAnsi="仿宋" w:eastAsia="仿宋"/>
          <w:b/>
          <w:sz w:val="24"/>
        </w:rPr>
        <w:t>（要求使用气垫防震车运输）</w:t>
      </w:r>
    </w:p>
    <w:p>
      <w:pPr>
        <w:spacing w:line="360" w:lineRule="auto"/>
        <w:ind w:firstLine="480" w:firstLineChars="200"/>
        <w:jc w:val="left"/>
        <w:rPr>
          <w:rFonts w:ascii="仿宋" w:hAnsi="仿宋" w:eastAsia="仿宋"/>
          <w:sz w:val="24"/>
        </w:rPr>
      </w:pPr>
      <w:r>
        <w:rPr>
          <w:rFonts w:hint="eastAsia" w:ascii="仿宋" w:hAnsi="仿宋" w:eastAsia="仿宋"/>
          <w:sz w:val="24"/>
        </w:rPr>
        <w:t>（1）氮气压力大于</w:t>
      </w:r>
      <w:r>
        <w:rPr>
          <w:rFonts w:ascii="仿宋" w:hAnsi="仿宋" w:eastAsia="仿宋"/>
          <w:sz w:val="24"/>
        </w:rPr>
        <w:t>30psi</w:t>
      </w:r>
      <w:r>
        <w:rPr>
          <w:rFonts w:hint="eastAsia" w:ascii="仿宋" w:hAnsi="仿宋" w:eastAsia="仿宋"/>
          <w:sz w:val="24"/>
        </w:rPr>
        <w:t>，压缩空气</w:t>
      </w:r>
      <w:r>
        <w:rPr>
          <w:rFonts w:ascii="仿宋" w:hAnsi="仿宋" w:eastAsia="仿宋"/>
          <w:sz w:val="24"/>
        </w:rPr>
        <w:t>0.5-0.6Mpa</w:t>
      </w:r>
      <w:r>
        <w:rPr>
          <w:rFonts w:hint="eastAsia" w:ascii="仿宋" w:hAnsi="仿宋" w:eastAsia="仿宋"/>
          <w:sz w:val="24"/>
        </w:rPr>
        <w:t>。</w:t>
      </w:r>
    </w:p>
    <w:p>
      <w:pPr>
        <w:spacing w:line="360" w:lineRule="auto"/>
        <w:ind w:firstLine="480" w:firstLineChars="200"/>
        <w:jc w:val="left"/>
        <w:rPr>
          <w:rFonts w:ascii="仿宋" w:hAnsi="仿宋" w:eastAsia="仿宋"/>
          <w:sz w:val="24"/>
        </w:rPr>
      </w:pPr>
      <w:r>
        <w:rPr>
          <w:rFonts w:hint="eastAsia" w:ascii="仿宋" w:hAnsi="仿宋" w:eastAsia="仿宋"/>
          <w:sz w:val="24"/>
        </w:rPr>
        <w:t>（2）检查水冷、油冷是否开机正常工作。</w:t>
      </w:r>
    </w:p>
    <w:p>
      <w:pPr>
        <w:spacing w:line="360" w:lineRule="auto"/>
        <w:ind w:firstLine="480" w:firstLineChars="200"/>
        <w:jc w:val="left"/>
        <w:rPr>
          <w:rFonts w:ascii="仿宋" w:hAnsi="仿宋" w:eastAsia="仿宋"/>
          <w:sz w:val="24"/>
        </w:rPr>
      </w:pPr>
      <w:r>
        <w:rPr>
          <w:rFonts w:hint="eastAsia" w:ascii="仿宋" w:hAnsi="仿宋" w:eastAsia="仿宋"/>
          <w:sz w:val="24"/>
        </w:rPr>
        <w:t>（3）</w:t>
      </w:r>
      <w:r>
        <w:rPr>
          <w:rFonts w:ascii="仿宋" w:hAnsi="仿宋" w:eastAsia="仿宋"/>
          <w:sz w:val="24"/>
        </w:rPr>
        <w:t>ICP</w:t>
      </w:r>
      <w:r>
        <w:rPr>
          <w:rFonts w:hint="eastAsia" w:ascii="仿宋" w:hAnsi="仿宋" w:eastAsia="仿宋"/>
          <w:sz w:val="24"/>
        </w:rPr>
        <w:t>连接有</w:t>
      </w:r>
      <w:r>
        <w:rPr>
          <w:rFonts w:ascii="仿宋" w:hAnsi="仿宋" w:eastAsia="仿宋"/>
          <w:sz w:val="24"/>
        </w:rPr>
        <w:t>9</w:t>
      </w:r>
      <w:r>
        <w:rPr>
          <w:rFonts w:hint="eastAsia" w:ascii="仿宋" w:hAnsi="仿宋" w:eastAsia="仿宋"/>
          <w:sz w:val="24"/>
        </w:rPr>
        <w:t>路气体通道，并且配有特气系统，需检查各端口连接是否正常。</w:t>
      </w:r>
    </w:p>
    <w:p>
      <w:pPr>
        <w:spacing w:line="360" w:lineRule="auto"/>
        <w:ind w:firstLine="480" w:firstLineChars="200"/>
        <w:jc w:val="left"/>
        <w:rPr>
          <w:rFonts w:ascii="仿宋" w:hAnsi="仿宋" w:eastAsia="仿宋"/>
          <w:sz w:val="24"/>
        </w:rPr>
      </w:pPr>
      <w:r>
        <w:rPr>
          <w:rFonts w:hint="eastAsia" w:ascii="仿宋" w:hAnsi="仿宋" w:eastAsia="仿宋"/>
          <w:sz w:val="24"/>
        </w:rPr>
        <w:t>（4）</w:t>
      </w:r>
      <w:r>
        <w:rPr>
          <w:rFonts w:ascii="仿宋" w:hAnsi="仿宋" w:eastAsia="仿宋"/>
          <w:sz w:val="24"/>
        </w:rPr>
        <w:t>Loadlock配有机械泵，通常在2min</w:t>
      </w:r>
      <w:r>
        <w:rPr>
          <w:rFonts w:hint="eastAsia" w:ascii="仿宋" w:hAnsi="仿宋" w:eastAsia="仿宋"/>
          <w:sz w:val="24"/>
        </w:rPr>
        <w:t>以内可以抽真空到</w:t>
      </w:r>
      <w:r>
        <w:rPr>
          <w:rFonts w:ascii="仿宋" w:hAnsi="仿宋" w:eastAsia="仿宋"/>
          <w:sz w:val="24"/>
        </w:rPr>
        <w:t>0.1mT</w:t>
      </w:r>
      <w:r>
        <w:rPr>
          <w:rFonts w:hint="eastAsia" w:ascii="仿宋" w:hAnsi="仿宋" w:eastAsia="仿宋"/>
          <w:sz w:val="24"/>
        </w:rPr>
        <w:t>。</w:t>
      </w:r>
      <w:r>
        <w:rPr>
          <w:rFonts w:ascii="仿宋" w:hAnsi="仿宋" w:eastAsia="仿宋"/>
          <w:sz w:val="24"/>
        </w:rPr>
        <w:t xml:space="preserve">Process chamber </w:t>
      </w:r>
      <w:r>
        <w:rPr>
          <w:rFonts w:hint="eastAsia" w:ascii="仿宋" w:hAnsi="仿宋" w:eastAsia="仿宋"/>
          <w:sz w:val="24"/>
        </w:rPr>
        <w:t>配有机械泵和分子泵，通常在</w:t>
      </w:r>
      <w:r>
        <w:rPr>
          <w:rFonts w:ascii="仿宋" w:hAnsi="仿宋" w:eastAsia="仿宋"/>
          <w:sz w:val="24"/>
        </w:rPr>
        <w:t>30min</w:t>
      </w:r>
      <w:r>
        <w:rPr>
          <w:rFonts w:hint="eastAsia" w:ascii="仿宋" w:hAnsi="仿宋" w:eastAsia="仿宋"/>
          <w:sz w:val="24"/>
        </w:rPr>
        <w:t>内可以抽真空到</w:t>
      </w:r>
      <w:r>
        <w:rPr>
          <w:rFonts w:ascii="仿宋" w:hAnsi="仿宋" w:eastAsia="仿宋"/>
          <w:sz w:val="24"/>
        </w:rPr>
        <w:t>10</w:t>
      </w:r>
      <w:r>
        <w:rPr>
          <w:rFonts w:ascii="仿宋" w:hAnsi="仿宋" w:eastAsia="仿宋"/>
          <w:sz w:val="24"/>
          <w:vertAlign w:val="superscript"/>
        </w:rPr>
        <w:t>-6</w:t>
      </w:r>
      <w:r>
        <w:rPr>
          <w:rFonts w:ascii="仿宋" w:hAnsi="仿宋" w:eastAsia="仿宋"/>
          <w:sz w:val="24"/>
        </w:rPr>
        <w:t xml:space="preserve"> T</w:t>
      </w:r>
      <w:r>
        <w:rPr>
          <w:rFonts w:hint="eastAsia" w:ascii="仿宋" w:hAnsi="仿宋" w:eastAsia="仿宋"/>
          <w:sz w:val="24"/>
        </w:rPr>
        <w:t>，机械泵转速在</w:t>
      </w:r>
      <w:r>
        <w:rPr>
          <w:rFonts w:ascii="仿宋" w:hAnsi="仿宋" w:eastAsia="仿宋"/>
          <w:sz w:val="24"/>
        </w:rPr>
        <w:t>38912 rpm</w:t>
      </w:r>
      <w:r>
        <w:rPr>
          <w:rFonts w:hint="eastAsia" w:ascii="仿宋" w:hAnsi="仿宋" w:eastAsia="仿宋"/>
          <w:sz w:val="24"/>
        </w:rPr>
        <w:t>，</w:t>
      </w:r>
      <w:r>
        <w:rPr>
          <w:rFonts w:ascii="仿宋" w:hAnsi="仿宋" w:eastAsia="仿宋"/>
          <w:sz w:val="24"/>
        </w:rPr>
        <w:t xml:space="preserve"> Power 1.5 A</w:t>
      </w:r>
      <w:r>
        <w:rPr>
          <w:rFonts w:hint="eastAsia" w:ascii="仿宋" w:hAnsi="仿宋" w:eastAsia="仿宋"/>
          <w:sz w:val="24"/>
        </w:rPr>
        <w:t>，</w:t>
      </w:r>
      <w:r>
        <w:rPr>
          <w:rFonts w:ascii="仿宋" w:hAnsi="仿宋" w:eastAsia="仿宋"/>
          <w:sz w:val="24"/>
        </w:rPr>
        <w:t xml:space="preserve">temp在60 </w:t>
      </w:r>
      <w:r>
        <w:rPr>
          <w:rFonts w:ascii="仿宋" w:hAnsi="仿宋" w:eastAsia="仿宋"/>
          <w:sz w:val="24"/>
          <w:vertAlign w:val="superscript"/>
        </w:rPr>
        <w:t>o</w:t>
      </w:r>
      <w:r>
        <w:rPr>
          <w:rFonts w:ascii="仿宋" w:hAnsi="仿宋" w:eastAsia="仿宋"/>
          <w:sz w:val="24"/>
        </w:rPr>
        <w:t>C</w:t>
      </w:r>
      <w:r>
        <w:rPr>
          <w:rFonts w:hint="eastAsia" w:ascii="仿宋" w:hAnsi="仿宋" w:eastAsia="仿宋"/>
          <w:sz w:val="24"/>
        </w:rPr>
        <w:t>，</w:t>
      </w:r>
      <w:r>
        <w:rPr>
          <w:rFonts w:ascii="仿宋" w:hAnsi="仿宋" w:eastAsia="仿宋"/>
          <w:sz w:val="24"/>
        </w:rPr>
        <w:t>purge 60 sccm</w:t>
      </w:r>
      <w:r>
        <w:rPr>
          <w:rFonts w:hint="eastAsia" w:ascii="仿宋" w:hAnsi="仿宋" w:eastAsia="仿宋"/>
          <w:sz w:val="24"/>
        </w:rPr>
        <w:t>。</w:t>
      </w:r>
      <w:r>
        <w:rPr>
          <w:rFonts w:ascii="仿宋" w:hAnsi="仿宋" w:eastAsia="仿宋"/>
          <w:sz w:val="24"/>
        </w:rPr>
        <w:t>Recipe内有不同气体的刻蚀条件。</w:t>
      </w:r>
    </w:p>
    <w:p>
      <w:pPr>
        <w:spacing w:line="360" w:lineRule="auto"/>
        <w:ind w:firstLine="480" w:firstLineChars="200"/>
        <w:jc w:val="left"/>
        <w:rPr>
          <w:rFonts w:ascii="仿宋" w:hAnsi="仿宋" w:eastAsia="仿宋"/>
          <w:sz w:val="24"/>
        </w:rPr>
      </w:pPr>
      <w:r>
        <w:rPr>
          <w:rFonts w:hint="eastAsia" w:ascii="仿宋" w:hAnsi="仿宋" w:eastAsia="仿宋"/>
          <w:sz w:val="24"/>
        </w:rPr>
        <w:t>（5）仪器包装箱加用于监测倾斜和震动的标识</w:t>
      </w:r>
    </w:p>
    <w:p>
      <w:pPr>
        <w:spacing w:line="360" w:lineRule="auto"/>
        <w:ind w:firstLine="482" w:firstLineChars="200"/>
        <w:jc w:val="left"/>
        <w:rPr>
          <w:rFonts w:ascii="仿宋" w:hAnsi="仿宋" w:eastAsia="仿宋"/>
          <w:sz w:val="24"/>
        </w:rPr>
      </w:pPr>
      <w:r>
        <w:rPr>
          <w:rFonts w:hint="eastAsia" w:ascii="仿宋" w:hAnsi="仿宋" w:eastAsia="仿宋"/>
          <w:b/>
          <w:sz w:val="24"/>
        </w:rPr>
        <w:t>（6）厂家工程师认为有必要检测的其他参数</w:t>
      </w:r>
    </w:p>
    <w:p>
      <w:pPr>
        <w:spacing w:line="360" w:lineRule="auto"/>
        <w:ind w:firstLine="482" w:firstLineChars="200"/>
        <w:jc w:val="left"/>
        <w:rPr>
          <w:rFonts w:ascii="仿宋" w:hAnsi="仿宋" w:eastAsia="仿宋"/>
          <w:b/>
          <w:sz w:val="24"/>
        </w:rPr>
      </w:pPr>
      <w:r>
        <w:rPr>
          <w:rFonts w:ascii="仿宋" w:hAnsi="仿宋" w:eastAsia="仿宋"/>
          <w:b/>
          <w:sz w:val="24"/>
        </w:rPr>
        <w:t>10</w:t>
      </w:r>
      <w:r>
        <w:rPr>
          <w:rFonts w:hint="eastAsia" w:ascii="仿宋" w:hAnsi="仿宋" w:eastAsia="仿宋"/>
          <w:b/>
          <w:sz w:val="24"/>
        </w:rPr>
        <w:t>、原子层沉积设备</w:t>
      </w:r>
      <w:r>
        <w:rPr>
          <w:rFonts w:ascii="仿宋" w:hAnsi="仿宋" w:eastAsia="仿宋"/>
          <w:b/>
          <w:sz w:val="24"/>
        </w:rPr>
        <w:t>ALD</w:t>
      </w:r>
      <w:r>
        <w:rPr>
          <w:rFonts w:hint="eastAsia" w:ascii="仿宋" w:hAnsi="仿宋" w:eastAsia="仿宋"/>
          <w:b/>
          <w:sz w:val="24"/>
        </w:rPr>
        <w:t>（搬迁工程师，仪器管理老师及仪器厂家工程师共同到场）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（1）极限真空能到</w:t>
      </w:r>
      <w:r>
        <w:rPr>
          <w:rFonts w:ascii="仿宋" w:hAnsi="仿宋" w:eastAsia="仿宋"/>
          <w:sz w:val="24"/>
        </w:rPr>
        <w:t>0.005torr</w:t>
      </w:r>
      <w:r>
        <w:rPr>
          <w:rFonts w:hint="eastAsia" w:ascii="仿宋" w:hAnsi="仿宋" w:eastAsia="仿宋"/>
          <w:sz w:val="24"/>
        </w:rPr>
        <w:t>，抽真空一小时看真空度数值，差值不超过</w:t>
      </w:r>
      <w:r>
        <w:rPr>
          <w:rFonts w:ascii="仿宋" w:hAnsi="仿宋" w:eastAsia="仿宋"/>
          <w:sz w:val="24"/>
        </w:rPr>
        <w:t>0.1%</w:t>
      </w:r>
      <w:r>
        <w:rPr>
          <w:rFonts w:hint="eastAsia" w:ascii="仿宋" w:hAnsi="仿宋" w:eastAsia="仿宋"/>
          <w:sz w:val="24"/>
        </w:rPr>
        <w:t>；</w:t>
      </w:r>
    </w:p>
    <w:p>
      <w:pPr>
        <w:spacing w:line="360" w:lineRule="auto"/>
        <w:ind w:firstLine="480" w:firstLineChars="200"/>
        <w:jc w:val="left"/>
        <w:rPr>
          <w:rFonts w:ascii="仿宋" w:hAnsi="仿宋" w:eastAsia="仿宋"/>
          <w:sz w:val="24"/>
        </w:rPr>
      </w:pPr>
      <w:r>
        <w:rPr>
          <w:rFonts w:hint="eastAsia" w:ascii="仿宋" w:hAnsi="仿宋" w:eastAsia="仿宋"/>
          <w:sz w:val="24"/>
        </w:rPr>
        <w:t>（2）</w:t>
      </w:r>
      <w:r>
        <w:rPr>
          <w:rFonts w:ascii="仿宋" w:hAnsi="仿宋" w:eastAsia="仿宋"/>
          <w:sz w:val="24"/>
        </w:rPr>
        <w:t>以AI</w:t>
      </w:r>
      <w:r>
        <w:rPr>
          <w:rFonts w:ascii="仿宋" w:hAnsi="仿宋" w:eastAsia="仿宋"/>
          <w:sz w:val="24"/>
          <w:vertAlign w:val="subscript"/>
        </w:rPr>
        <w:t>2</w:t>
      </w:r>
      <w:r>
        <w:rPr>
          <w:rFonts w:ascii="仿宋" w:hAnsi="仿宋" w:eastAsia="仿宋"/>
          <w:sz w:val="24"/>
        </w:rPr>
        <w:t>O</w:t>
      </w:r>
      <w:r>
        <w:rPr>
          <w:rFonts w:ascii="仿宋" w:hAnsi="仿宋" w:eastAsia="仿宋"/>
          <w:sz w:val="24"/>
          <w:vertAlign w:val="subscript"/>
        </w:rPr>
        <w:t>3</w:t>
      </w:r>
      <w:r>
        <w:rPr>
          <w:rFonts w:ascii="仿宋" w:hAnsi="仿宋" w:eastAsia="仿宋"/>
          <w:sz w:val="24"/>
        </w:rPr>
        <w:t>为例，蒸镀同样厚度薄膜，对表面进行表征，无异常；</w:t>
      </w:r>
    </w:p>
    <w:p>
      <w:pPr>
        <w:spacing w:line="360" w:lineRule="auto"/>
        <w:ind w:firstLine="480" w:firstLineChars="200"/>
        <w:jc w:val="left"/>
        <w:rPr>
          <w:rFonts w:ascii="仿宋" w:hAnsi="仿宋" w:eastAsia="仿宋"/>
          <w:sz w:val="24"/>
        </w:rPr>
      </w:pPr>
      <w:r>
        <w:rPr>
          <w:rFonts w:hint="eastAsia" w:ascii="仿宋" w:hAnsi="仿宋" w:eastAsia="仿宋"/>
          <w:sz w:val="24"/>
        </w:rPr>
        <w:t>（3）设备比较敏感的有两部分，一个是电脑主机和操作屏，第二个是臭氧发生器。加热以及温度检测，搬迁后开机检查，可正常工作；</w:t>
      </w:r>
    </w:p>
    <w:p>
      <w:pPr>
        <w:spacing w:line="360" w:lineRule="auto"/>
        <w:ind w:firstLine="480" w:firstLineChars="200"/>
        <w:jc w:val="left"/>
        <w:rPr>
          <w:rFonts w:ascii="仿宋" w:hAnsi="仿宋" w:eastAsia="仿宋"/>
          <w:sz w:val="24"/>
        </w:rPr>
      </w:pPr>
      <w:r>
        <w:rPr>
          <w:rFonts w:hint="eastAsia" w:ascii="仿宋" w:hAnsi="仿宋" w:eastAsia="仿宋"/>
          <w:sz w:val="24"/>
        </w:rPr>
        <w:t>（4）仪器包装箱加用于监测倾斜和震动的标识</w:t>
      </w:r>
    </w:p>
    <w:p>
      <w:pPr>
        <w:spacing w:line="360" w:lineRule="auto"/>
        <w:ind w:firstLine="482" w:firstLineChars="200"/>
        <w:jc w:val="left"/>
        <w:rPr>
          <w:rFonts w:ascii="仿宋" w:hAnsi="仿宋" w:eastAsia="仿宋"/>
          <w:b/>
          <w:sz w:val="24"/>
        </w:rPr>
      </w:pPr>
      <w:r>
        <w:rPr>
          <w:rFonts w:hint="eastAsia" w:ascii="仿宋" w:hAnsi="仿宋" w:eastAsia="仿宋"/>
          <w:b/>
          <w:sz w:val="24"/>
        </w:rPr>
        <w:t>（5）厂家工程师认为有必要检测的其他参数</w:t>
      </w:r>
    </w:p>
    <w:p>
      <w:pPr>
        <w:spacing w:line="360" w:lineRule="auto"/>
        <w:ind w:firstLine="482" w:firstLineChars="200"/>
        <w:jc w:val="left"/>
        <w:rPr>
          <w:rFonts w:ascii="仿宋" w:hAnsi="仿宋" w:eastAsia="仿宋"/>
          <w:b/>
          <w:sz w:val="24"/>
        </w:rPr>
      </w:pPr>
      <w:r>
        <w:rPr>
          <w:rFonts w:hint="eastAsia" w:ascii="仿宋" w:hAnsi="仿宋" w:eastAsia="仿宋"/>
          <w:b/>
          <w:sz w:val="24"/>
        </w:rPr>
        <w:t>以下三台为光电所设备：</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kern w:val="2"/>
        </w:rPr>
      </w:pPr>
      <w:r>
        <w:rPr>
          <w:rFonts w:ascii="仿宋" w:hAnsi="仿宋" w:eastAsia="仿宋" w:cs="Times New Roman"/>
          <w:b/>
          <w:kern w:val="2"/>
        </w:rPr>
        <w:t>1</w:t>
      </w:r>
      <w:r>
        <w:rPr>
          <w:rFonts w:hint="eastAsia" w:ascii="仿宋" w:hAnsi="仿宋" w:eastAsia="仿宋" w:cs="Times New Roman"/>
          <w:b/>
          <w:kern w:val="2"/>
        </w:rPr>
        <w:t>．高温高真空化学气相沉积设备（</w:t>
      </w:r>
      <w:r>
        <w:rPr>
          <w:rFonts w:ascii="仿宋" w:hAnsi="仿宋" w:eastAsia="仿宋" w:cs="Times New Roman"/>
          <w:b/>
          <w:kern w:val="2"/>
        </w:rPr>
        <w:t>MOCVD</w:t>
      </w:r>
      <w:r>
        <w:rPr>
          <w:rFonts w:hint="eastAsia" w:ascii="仿宋" w:hAnsi="仿宋" w:eastAsia="仿宋" w:cs="Times New Roman"/>
          <w:b/>
          <w:kern w:val="2"/>
        </w:rPr>
        <w:t>）（搬迁工程师，仪器管理老师及仪器厂家工程师共同到场）：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反应室和进样室真空可以抽到</w:t>
      </w:r>
      <w:r>
        <w:rPr>
          <w:rFonts w:ascii="仿宋" w:hAnsi="仿宋" w:eastAsia="仿宋"/>
          <w:sz w:val="24"/>
        </w:rPr>
        <w:t>1×10</w:t>
      </w:r>
      <w:r>
        <w:rPr>
          <w:rFonts w:ascii="仿宋" w:hAnsi="仿宋" w:eastAsia="仿宋"/>
          <w:sz w:val="24"/>
          <w:vertAlign w:val="superscript"/>
        </w:rPr>
        <w:t>-3</w:t>
      </w:r>
      <w:r>
        <w:rPr>
          <w:rFonts w:ascii="仿宋" w:hAnsi="仿宋" w:eastAsia="仿宋"/>
          <w:sz w:val="24"/>
        </w:rPr>
        <w:t xml:space="preserve"> Pa</w:t>
      </w:r>
      <w:r>
        <w:rPr>
          <w:rFonts w:hint="eastAsia" w:ascii="仿宋" w:hAnsi="仿宋" w:eastAsia="仿宋"/>
          <w:sz w:val="24"/>
        </w:rPr>
        <w:t>以下。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w:t>
      </w:r>
      <w:r>
        <w:rPr>
          <w:rFonts w:ascii="仿宋" w:hAnsi="仿宋" w:eastAsia="仿宋"/>
          <w:sz w:val="24"/>
        </w:rPr>
        <w:t xml:space="preserve"> </w:t>
      </w:r>
      <w:r>
        <w:rPr>
          <w:rFonts w:hint="eastAsia" w:ascii="仿宋" w:hAnsi="仿宋" w:eastAsia="仿宋"/>
          <w:sz w:val="24"/>
        </w:rPr>
        <w:t>二六族反应室加热可以升温至</w:t>
      </w:r>
      <w:r>
        <w:rPr>
          <w:rFonts w:ascii="仿宋" w:hAnsi="仿宋" w:eastAsia="仿宋"/>
          <w:sz w:val="24"/>
        </w:rPr>
        <w:t>900</w:t>
      </w:r>
      <w:r>
        <w:rPr>
          <w:rFonts w:hint="eastAsia" w:ascii="仿宋" w:hAnsi="仿宋" w:eastAsia="仿宋" w:cs="宋体"/>
          <w:sz w:val="24"/>
        </w:rPr>
        <w:t>℃</w:t>
      </w:r>
      <w:r>
        <w:rPr>
          <w:rFonts w:hint="eastAsia" w:ascii="仿宋" w:hAnsi="仿宋" w:eastAsia="仿宋"/>
          <w:sz w:val="24"/>
        </w:rPr>
        <w:t>，三五族反应室可以升温至</w:t>
      </w:r>
      <w:r>
        <w:rPr>
          <w:rFonts w:ascii="仿宋" w:hAnsi="仿宋" w:eastAsia="仿宋"/>
          <w:sz w:val="24"/>
        </w:rPr>
        <w:t>950</w:t>
      </w:r>
      <w:r>
        <w:rPr>
          <w:rFonts w:hint="eastAsia" w:ascii="仿宋" w:hAnsi="仿宋" w:eastAsia="仿宋" w:cs="宋体"/>
          <w:sz w:val="24"/>
        </w:rPr>
        <w:t>℃</w:t>
      </w:r>
      <w:r>
        <w:rPr>
          <w:rFonts w:hint="eastAsia" w:ascii="仿宋" w:hAnsi="仿宋" w:eastAsia="仿宋"/>
          <w:sz w:val="24"/>
        </w:rPr>
        <w:t>。</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w:t>
      </w:r>
      <w:r>
        <w:rPr>
          <w:rFonts w:ascii="仿宋" w:hAnsi="仿宋" w:eastAsia="仿宋"/>
          <w:sz w:val="24"/>
        </w:rPr>
        <w:t xml:space="preserve"> 8</w:t>
      </w:r>
      <w:r>
        <w:rPr>
          <w:rFonts w:hint="eastAsia" w:ascii="仿宋" w:hAnsi="仿宋" w:eastAsia="仿宋"/>
          <w:sz w:val="24"/>
        </w:rPr>
        <w:t>个冷阱可以降温至</w:t>
      </w:r>
      <w:r>
        <w:rPr>
          <w:rFonts w:ascii="仿宋" w:hAnsi="仿宋" w:eastAsia="仿宋"/>
          <w:sz w:val="24"/>
        </w:rPr>
        <w:t>-15</w:t>
      </w:r>
      <w:r>
        <w:rPr>
          <w:rFonts w:hint="eastAsia" w:ascii="仿宋" w:hAnsi="仿宋" w:eastAsia="仿宋" w:cs="宋体"/>
          <w:sz w:val="24"/>
        </w:rPr>
        <w:t>℃</w:t>
      </w:r>
      <w:r>
        <w:rPr>
          <w:rFonts w:hint="eastAsia" w:ascii="仿宋" w:hAnsi="仿宋" w:eastAsia="仿宋"/>
          <w:sz w:val="24"/>
        </w:rPr>
        <w:t>并维持稳定。</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）仪器厂家工程师现场提供反应腔室各项参数测试</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b/>
          <w:sz w:val="24"/>
        </w:rPr>
      </w:pPr>
      <w:r>
        <w:rPr>
          <w:rFonts w:ascii="仿宋" w:hAnsi="仿宋" w:eastAsia="仿宋"/>
          <w:b/>
          <w:sz w:val="24"/>
        </w:rPr>
        <w:t xml:space="preserve">2. </w:t>
      </w:r>
      <w:r>
        <w:rPr>
          <w:rFonts w:hint="eastAsia" w:ascii="仿宋" w:hAnsi="仿宋" w:eastAsia="仿宋"/>
          <w:b/>
          <w:sz w:val="24"/>
        </w:rPr>
        <w:t>激光脉冲沉积设备（</w:t>
      </w:r>
      <w:r>
        <w:rPr>
          <w:rFonts w:ascii="仿宋" w:hAnsi="仿宋" w:eastAsia="仿宋"/>
          <w:b/>
          <w:sz w:val="24"/>
        </w:rPr>
        <w:t>PLD</w:t>
      </w:r>
      <w:r>
        <w:rPr>
          <w:rFonts w:hint="eastAsia" w:ascii="仿宋" w:hAnsi="仿宋" w:eastAsia="仿宋"/>
          <w:b/>
          <w:sz w:val="24"/>
        </w:rPr>
        <w:t>）（沈科仪）（搬迁工程师，仪器管理老师及仪器厂家工程师共同到场）：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）循环冷凝水开启：温度可降至</w:t>
      </w:r>
      <w:r>
        <w:rPr>
          <w:rFonts w:ascii="仿宋" w:hAnsi="仿宋" w:eastAsia="仿宋"/>
          <w:sz w:val="24"/>
        </w:rPr>
        <w:t>20</w:t>
      </w:r>
      <w:r>
        <w:rPr>
          <w:rFonts w:hint="eastAsia" w:ascii="仿宋" w:hAnsi="仿宋" w:eastAsia="仿宋"/>
          <w:sz w:val="24"/>
        </w:rPr>
        <w:t>度以下，压强为</w:t>
      </w:r>
      <w:r>
        <w:rPr>
          <w:rFonts w:ascii="仿宋" w:hAnsi="仿宋" w:eastAsia="仿宋"/>
          <w:sz w:val="24"/>
        </w:rPr>
        <w:t>3-5</w:t>
      </w:r>
      <w:r>
        <w:rPr>
          <w:rFonts w:hint="eastAsia" w:ascii="仿宋" w:hAnsi="仿宋" w:eastAsia="仿宋"/>
          <w:sz w:val="24"/>
        </w:rPr>
        <w:t>大气压。</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）激光器正常开启：激光器运行状态</w:t>
      </w:r>
      <w:r>
        <w:rPr>
          <w:rFonts w:ascii="仿宋" w:hAnsi="仿宋" w:eastAsia="仿宋"/>
          <w:sz w:val="24"/>
        </w:rPr>
        <w:t>standby</w:t>
      </w:r>
      <w:r>
        <w:rPr>
          <w:rFonts w:hint="eastAsia" w:ascii="仿宋" w:hAnsi="仿宋" w:eastAsia="仿宋"/>
          <w:sz w:val="24"/>
        </w:rPr>
        <w:t>，工作电压</w:t>
      </w:r>
      <w:r>
        <w:rPr>
          <w:rFonts w:ascii="仿宋" w:hAnsi="仿宋" w:eastAsia="仿宋"/>
          <w:sz w:val="24"/>
        </w:rPr>
        <w:t>24-39 KV</w:t>
      </w:r>
      <w:r>
        <w:rPr>
          <w:rFonts w:hint="eastAsia" w:ascii="仿宋" w:hAnsi="仿宋" w:eastAsia="仿宋"/>
          <w:sz w:val="24"/>
        </w:rPr>
        <w:t>，输出频率</w:t>
      </w:r>
      <w:r>
        <w:rPr>
          <w:rFonts w:ascii="仿宋" w:hAnsi="仿宋" w:eastAsia="仿宋"/>
          <w:sz w:val="24"/>
        </w:rPr>
        <w:t>1-30Hz</w:t>
      </w:r>
      <w:r>
        <w:rPr>
          <w:rFonts w:hint="eastAsia" w:ascii="仿宋" w:hAnsi="仿宋" w:eastAsia="仿宋"/>
          <w:sz w:val="24"/>
        </w:rPr>
        <w:t>，激光器腔体压力</w:t>
      </w:r>
      <w:r>
        <w:rPr>
          <w:rFonts w:ascii="仿宋" w:hAnsi="仿宋" w:eastAsia="仿宋"/>
          <w:sz w:val="24"/>
        </w:rPr>
        <w:t>5000-5400</w:t>
      </w:r>
      <w:r>
        <w:rPr>
          <w:rFonts w:hint="eastAsia" w:ascii="仿宋" w:hAnsi="仿宋" w:eastAsia="仿宋"/>
          <w:sz w:val="24"/>
        </w:rPr>
        <w:t>，激光器自主换气正常。</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）沉积腔室：</w:t>
      </w:r>
      <w:r>
        <w:rPr>
          <w:rFonts w:ascii="仿宋" w:hAnsi="仿宋" w:eastAsia="仿宋"/>
          <w:sz w:val="24"/>
        </w:rPr>
        <w:t>1.</w:t>
      </w:r>
      <w:r>
        <w:rPr>
          <w:rFonts w:hint="eastAsia" w:ascii="仿宋" w:hAnsi="仿宋" w:eastAsia="仿宋"/>
          <w:sz w:val="24"/>
        </w:rPr>
        <w:t>反应室真空计，干泵，分子泵，流量显示仪，加热电源，</w:t>
      </w:r>
      <w:r>
        <w:rPr>
          <w:rFonts w:ascii="仿宋" w:hAnsi="仿宋" w:eastAsia="仿宋"/>
          <w:sz w:val="24"/>
        </w:rPr>
        <w:t>X</w:t>
      </w:r>
      <w:r>
        <w:rPr>
          <w:rFonts w:hint="eastAsia" w:ascii="仿宋" w:hAnsi="仿宋" w:eastAsia="仿宋"/>
          <w:sz w:val="24"/>
        </w:rPr>
        <w:t>轴、</w:t>
      </w:r>
      <w:r>
        <w:rPr>
          <w:rFonts w:ascii="仿宋" w:hAnsi="仿宋" w:eastAsia="仿宋"/>
          <w:sz w:val="24"/>
        </w:rPr>
        <w:t>Y</w:t>
      </w:r>
      <w:r>
        <w:rPr>
          <w:rFonts w:hint="eastAsia" w:ascii="仿宋" w:hAnsi="仿宋" w:eastAsia="仿宋"/>
          <w:sz w:val="24"/>
        </w:rPr>
        <w:t>轴扫描，靶台自转、公转，样品台自转运行正常。</w:t>
      </w:r>
      <w:r>
        <w:rPr>
          <w:rFonts w:ascii="仿宋" w:hAnsi="仿宋" w:eastAsia="仿宋"/>
          <w:sz w:val="24"/>
        </w:rPr>
        <w:t>2.</w:t>
      </w:r>
      <w:r>
        <w:rPr>
          <w:rFonts w:hint="eastAsia" w:ascii="仿宋" w:hAnsi="仿宋" w:eastAsia="仿宋"/>
          <w:sz w:val="24"/>
        </w:rPr>
        <w:t>在封闭腔室开启干泵情况下，</w:t>
      </w:r>
      <w:r>
        <w:rPr>
          <w:rFonts w:ascii="仿宋" w:hAnsi="仿宋" w:eastAsia="仿宋"/>
          <w:sz w:val="24"/>
        </w:rPr>
        <w:t>30min</w:t>
      </w:r>
      <w:r>
        <w:rPr>
          <w:rFonts w:hint="eastAsia" w:ascii="仿宋" w:hAnsi="仿宋" w:eastAsia="仿宋"/>
          <w:sz w:val="24"/>
        </w:rPr>
        <w:t>内真空度抽至</w:t>
      </w:r>
      <w:r>
        <w:rPr>
          <w:rFonts w:ascii="仿宋" w:hAnsi="仿宋" w:eastAsia="仿宋"/>
          <w:sz w:val="24"/>
        </w:rPr>
        <w:t>10Pa</w:t>
      </w:r>
      <w:r>
        <w:rPr>
          <w:rFonts w:hint="eastAsia" w:ascii="仿宋" w:hAnsi="仿宋" w:eastAsia="仿宋"/>
          <w:sz w:val="24"/>
        </w:rPr>
        <w:t>以下。</w:t>
      </w:r>
      <w:r>
        <w:rPr>
          <w:rFonts w:ascii="仿宋" w:hAnsi="仿宋" w:eastAsia="仿宋"/>
          <w:sz w:val="24"/>
        </w:rPr>
        <w:t>3.</w:t>
      </w:r>
      <w:r>
        <w:rPr>
          <w:rFonts w:hint="eastAsia" w:ascii="仿宋" w:hAnsi="仿宋" w:eastAsia="仿宋"/>
          <w:sz w:val="24"/>
        </w:rPr>
        <w:t>封闭腔室开启干泵、分子泵的情况下，</w:t>
      </w:r>
      <w:r>
        <w:rPr>
          <w:rFonts w:ascii="仿宋" w:hAnsi="仿宋" w:eastAsia="仿宋"/>
          <w:sz w:val="24"/>
        </w:rPr>
        <w:t>30min</w:t>
      </w:r>
      <w:r>
        <w:rPr>
          <w:rFonts w:hint="eastAsia" w:ascii="仿宋" w:hAnsi="仿宋" w:eastAsia="仿宋"/>
          <w:sz w:val="24"/>
        </w:rPr>
        <w:t>内真空度可抽至</w:t>
      </w:r>
      <w:r>
        <w:rPr>
          <w:rFonts w:ascii="仿宋" w:hAnsi="仿宋" w:eastAsia="仿宋"/>
          <w:sz w:val="24"/>
        </w:rPr>
        <w:t>10-4 Pa</w:t>
      </w:r>
      <w:r>
        <w:rPr>
          <w:rFonts w:hint="eastAsia" w:ascii="仿宋" w:hAnsi="仿宋" w:eastAsia="仿宋"/>
          <w:sz w:val="24"/>
        </w:rPr>
        <w:t>。</w:t>
      </w:r>
      <w:r>
        <w:rPr>
          <w:rFonts w:ascii="仿宋" w:hAnsi="仿宋" w:eastAsia="仿宋"/>
          <w:sz w:val="24"/>
        </w:rPr>
        <w:t>4.</w:t>
      </w:r>
      <w:r>
        <w:rPr>
          <w:rFonts w:hint="eastAsia" w:ascii="仿宋" w:hAnsi="仿宋" w:eastAsia="仿宋"/>
          <w:sz w:val="24"/>
        </w:rPr>
        <w:t>在通入反应气体的情况下，腔室可稳定在</w:t>
      </w:r>
      <w:r>
        <w:rPr>
          <w:rFonts w:ascii="仿宋" w:hAnsi="仿宋" w:eastAsia="仿宋"/>
          <w:sz w:val="24"/>
        </w:rPr>
        <w:t>10-10-3Pa</w:t>
      </w:r>
      <w:r>
        <w:rPr>
          <w:rFonts w:hint="eastAsia" w:ascii="仿宋" w:hAnsi="仿宋" w:eastAsia="仿宋"/>
          <w:sz w:val="24"/>
        </w:rPr>
        <w:t>，并保持稳定，误差为</w:t>
      </w:r>
      <w:r>
        <w:rPr>
          <w:rFonts w:ascii="仿宋" w:hAnsi="仿宋" w:eastAsia="仿宋"/>
          <w:sz w:val="24"/>
        </w:rPr>
        <w:t>3</w:t>
      </w:r>
      <w:r>
        <w:rPr>
          <w:rFonts w:hint="eastAsia" w:ascii="仿宋" w:hAnsi="仿宋" w:eastAsia="仿宋"/>
          <w:sz w:val="24"/>
        </w:rPr>
        <w:t>并保持稳定，误。</w:t>
      </w:r>
      <w:r>
        <w:rPr>
          <w:rFonts w:ascii="仿宋" w:hAnsi="仿宋" w:eastAsia="仿宋"/>
          <w:sz w:val="24"/>
        </w:rPr>
        <w:t>5.</w:t>
      </w:r>
      <w:r>
        <w:rPr>
          <w:rFonts w:hint="eastAsia" w:ascii="仿宋" w:hAnsi="仿宋" w:eastAsia="仿宋"/>
          <w:sz w:val="24"/>
        </w:rPr>
        <w:t>开启加热电源，</w:t>
      </w:r>
      <w:r>
        <w:rPr>
          <w:rFonts w:ascii="仿宋" w:hAnsi="仿宋" w:eastAsia="仿宋"/>
          <w:sz w:val="24"/>
        </w:rPr>
        <w:t>90min</w:t>
      </w:r>
      <w:r>
        <w:rPr>
          <w:rFonts w:hint="eastAsia" w:ascii="仿宋" w:hAnsi="仿宋" w:eastAsia="仿宋"/>
          <w:sz w:val="24"/>
        </w:rPr>
        <w:t>内可加热至</w:t>
      </w:r>
      <w:r>
        <w:rPr>
          <w:rFonts w:ascii="仿宋" w:hAnsi="仿宋" w:eastAsia="仿宋"/>
          <w:sz w:val="24"/>
        </w:rPr>
        <w:t>680</w:t>
      </w:r>
      <w:r>
        <w:rPr>
          <w:rFonts w:hint="eastAsia" w:ascii="仿宋" w:hAnsi="仿宋" w:eastAsia="仿宋" w:cs="宋体"/>
          <w:sz w:val="24"/>
        </w:rPr>
        <w:t>℃</w:t>
      </w:r>
      <w:r>
        <w:rPr>
          <w:rFonts w:hint="eastAsia" w:ascii="仿宋" w:hAnsi="仿宋" w:eastAsia="仿宋"/>
          <w:sz w:val="24"/>
        </w:rPr>
        <w:t>，并保持稳定。</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sz w:val="24"/>
        </w:rPr>
      </w:pPr>
      <w:r>
        <w:rPr>
          <w:rFonts w:hint="eastAsia" w:ascii="仿宋" w:hAnsi="仿宋" w:eastAsia="仿宋"/>
          <w:b/>
          <w:sz w:val="24"/>
        </w:rPr>
        <w:t>（5）厂家工程师认为有必要检测的其他参数</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kern w:val="2"/>
        </w:rPr>
      </w:pPr>
      <w:r>
        <w:rPr>
          <w:rFonts w:ascii="仿宋" w:hAnsi="仿宋" w:eastAsia="仿宋" w:cs="Times New Roman"/>
          <w:b/>
          <w:kern w:val="2"/>
        </w:rPr>
        <w:t xml:space="preserve">3. </w:t>
      </w:r>
      <w:r>
        <w:rPr>
          <w:rFonts w:hint="eastAsia" w:ascii="仿宋" w:hAnsi="仿宋" w:eastAsia="仿宋" w:cs="Times New Roman"/>
          <w:b/>
          <w:kern w:val="2"/>
        </w:rPr>
        <w:t>电子束蒸发镀膜机（沈科仪）（搬迁工程师，仪器管理老师及仪器厂家工程师共同到场）：</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1</w:t>
      </w:r>
      <w:r>
        <w:rPr>
          <w:rFonts w:hint="eastAsia" w:ascii="仿宋" w:hAnsi="仿宋" w:eastAsia="仿宋"/>
          <w:sz w:val="24"/>
        </w:rPr>
        <w:t>）反应腔室一级真空小于</w:t>
      </w:r>
      <w:r>
        <w:rPr>
          <w:rFonts w:ascii="仿宋" w:hAnsi="仿宋" w:eastAsia="仿宋"/>
          <w:sz w:val="24"/>
        </w:rPr>
        <w:t>10Pa</w:t>
      </w:r>
      <w:r>
        <w:rPr>
          <w:rFonts w:hint="eastAsia" w:ascii="仿宋" w:hAnsi="仿宋" w:eastAsia="仿宋"/>
          <w:sz w:val="24"/>
        </w:rPr>
        <w:t>，二级真空小于</w:t>
      </w:r>
      <w:r>
        <w:rPr>
          <w:rFonts w:ascii="仿宋" w:hAnsi="仿宋" w:eastAsia="仿宋"/>
          <w:sz w:val="24"/>
        </w:rPr>
        <w:t>1</w:t>
      </w:r>
      <w:r>
        <w:rPr>
          <w:rFonts w:hint="eastAsia" w:ascii="仿宋" w:hAnsi="仿宋" w:eastAsia="仿宋"/>
          <w:sz w:val="24"/>
        </w:rPr>
        <w:t>二级真</w:t>
      </w:r>
      <w:r>
        <w:rPr>
          <w:rFonts w:ascii="仿宋" w:hAnsi="仿宋" w:eastAsia="仿宋"/>
          <w:sz w:val="24"/>
          <w:vertAlign w:val="superscript"/>
        </w:rPr>
        <w:t>-3</w:t>
      </w:r>
      <w:r>
        <w:rPr>
          <w:rFonts w:ascii="仿宋" w:hAnsi="仿宋" w:eastAsia="仿宋"/>
          <w:sz w:val="24"/>
        </w:rPr>
        <w:t>Pa</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）高压系统可正常工作，高压可加至</w:t>
      </w:r>
      <w:r>
        <w:rPr>
          <w:rFonts w:ascii="仿宋" w:hAnsi="仿宋" w:eastAsia="仿宋"/>
          <w:sz w:val="24"/>
        </w:rPr>
        <w:t>10kV</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3</w:t>
      </w:r>
      <w:r>
        <w:rPr>
          <w:rFonts w:hint="eastAsia" w:ascii="仿宋" w:hAnsi="仿宋" w:eastAsia="仿宋"/>
          <w:sz w:val="24"/>
        </w:rPr>
        <w:t>）电子枪灯丝可正常工作，扫描电流可控制电子束光斑打至坩埚中央</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）可正常蒸发熔点</w:t>
      </w:r>
      <w:r>
        <w:rPr>
          <w:rFonts w:ascii="仿宋" w:hAnsi="仿宋" w:eastAsia="仿宋"/>
          <w:sz w:val="24"/>
        </w:rPr>
        <w:t>2000</w:t>
      </w:r>
      <w:r>
        <w:rPr>
          <w:rFonts w:hint="eastAsia" w:ascii="仿宋" w:hAnsi="仿宋" w:eastAsia="仿宋"/>
          <w:sz w:val="24"/>
        </w:rPr>
        <w:t>度的金属，可蒸镀</w:t>
      </w:r>
      <w:r>
        <w:rPr>
          <w:rFonts w:ascii="仿宋" w:hAnsi="仿宋" w:eastAsia="仿宋"/>
          <w:sz w:val="24"/>
        </w:rPr>
        <w:t>Ti</w:t>
      </w:r>
      <w:r>
        <w:rPr>
          <w:rFonts w:hint="eastAsia" w:ascii="仿宋" w:hAnsi="仿宋" w:eastAsia="仿宋"/>
          <w:sz w:val="24"/>
        </w:rPr>
        <w:t>、</w:t>
      </w:r>
      <w:r>
        <w:rPr>
          <w:rFonts w:ascii="仿宋" w:hAnsi="仿宋" w:eastAsia="仿宋"/>
          <w:sz w:val="24"/>
        </w:rPr>
        <w:t>Al</w:t>
      </w:r>
      <w:r>
        <w:rPr>
          <w:rFonts w:hint="eastAsia" w:ascii="仿宋" w:hAnsi="仿宋" w:eastAsia="仿宋"/>
          <w:sz w:val="24"/>
        </w:rPr>
        <w:t>、</w:t>
      </w:r>
      <w:r>
        <w:rPr>
          <w:rFonts w:ascii="仿宋" w:hAnsi="仿宋" w:eastAsia="仿宋"/>
          <w:sz w:val="24"/>
        </w:rPr>
        <w:t>Ni</w:t>
      </w:r>
      <w:r>
        <w:rPr>
          <w:rFonts w:hint="eastAsia" w:ascii="仿宋" w:hAnsi="仿宋" w:eastAsia="仿宋"/>
          <w:sz w:val="24"/>
        </w:rPr>
        <w:t>、</w:t>
      </w:r>
      <w:r>
        <w:rPr>
          <w:rFonts w:ascii="仿宋" w:hAnsi="仿宋" w:eastAsia="仿宋"/>
          <w:sz w:val="24"/>
        </w:rPr>
        <w:t>Au</w:t>
      </w:r>
      <w:r>
        <w:rPr>
          <w:rFonts w:hint="eastAsia" w:ascii="仿宋" w:hAnsi="仿宋" w:eastAsia="仿宋"/>
          <w:sz w:val="24"/>
        </w:rPr>
        <w:t>等金属</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5</w:t>
      </w:r>
      <w:r>
        <w:rPr>
          <w:rFonts w:hint="eastAsia" w:ascii="仿宋" w:hAnsi="仿宋" w:eastAsia="仿宋"/>
          <w:sz w:val="24"/>
        </w:rPr>
        <w:t>）膜厚检测系统可正常工作，可实时监测蒸镀金属膜的厚度，量程范围在</w:t>
      </w:r>
      <w:r>
        <w:rPr>
          <w:rFonts w:ascii="仿宋" w:hAnsi="仿宋" w:eastAsia="仿宋"/>
          <w:sz w:val="24"/>
        </w:rPr>
        <w:t>10nm-3um</w:t>
      </w:r>
      <w:r>
        <w:rPr>
          <w:rFonts w:hint="eastAsia" w:ascii="仿宋" w:hAnsi="仿宋" w:eastAsia="仿宋"/>
          <w:sz w:val="24"/>
        </w:rPr>
        <w:t>。</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6</w:t>
      </w:r>
      <w:r>
        <w:rPr>
          <w:rFonts w:hint="eastAsia" w:ascii="仿宋" w:hAnsi="仿宋" w:eastAsia="仿宋"/>
          <w:sz w:val="24"/>
        </w:rPr>
        <w:t>）仪器包装箱加用于监测倾斜和震动的标识</w:t>
      </w:r>
    </w:p>
    <w:p>
      <w:pPr>
        <w:spacing w:line="360" w:lineRule="auto"/>
        <w:ind w:firstLine="482" w:firstLineChars="200"/>
        <w:jc w:val="left"/>
        <w:rPr>
          <w:rFonts w:ascii="仿宋" w:hAnsi="仿宋" w:eastAsia="仿宋"/>
          <w:b/>
          <w:sz w:val="24"/>
        </w:rPr>
      </w:pPr>
      <w:r>
        <w:rPr>
          <w:rFonts w:hint="eastAsia" w:ascii="仿宋" w:hAnsi="仿宋" w:eastAsia="仿宋"/>
          <w:b/>
          <w:sz w:val="24"/>
        </w:rPr>
        <w:t>（</w:t>
      </w:r>
      <w:r>
        <w:rPr>
          <w:rFonts w:ascii="仿宋" w:hAnsi="仿宋" w:eastAsia="仿宋"/>
          <w:b/>
          <w:sz w:val="24"/>
        </w:rPr>
        <w:t>7</w:t>
      </w:r>
      <w:r>
        <w:rPr>
          <w:rFonts w:hint="eastAsia" w:ascii="仿宋" w:hAnsi="仿宋" w:eastAsia="仿宋"/>
          <w:b/>
          <w:sz w:val="24"/>
        </w:rPr>
        <w:t>）厂家工程师认为有必要检测的其他参数</w:t>
      </w:r>
    </w:p>
    <w:p>
      <w:pPr>
        <w:spacing w:line="360" w:lineRule="auto"/>
        <w:ind w:firstLine="482" w:firstLineChars="200"/>
        <w:jc w:val="left"/>
        <w:rPr>
          <w:rFonts w:ascii="仿宋" w:hAnsi="仿宋" w:eastAsia="仿宋"/>
          <w:b/>
          <w:sz w:val="24"/>
        </w:rPr>
      </w:pPr>
      <w:r>
        <w:rPr>
          <w:rFonts w:hint="eastAsia" w:ascii="仿宋" w:hAnsi="仿宋" w:eastAsia="仿宋"/>
          <w:b/>
          <w:sz w:val="24"/>
        </w:rPr>
        <w:t>二</w:t>
      </w:r>
      <w:r>
        <w:rPr>
          <w:rFonts w:ascii="仿宋" w:hAnsi="仿宋" w:eastAsia="仿宋"/>
          <w:b/>
          <w:sz w:val="24"/>
        </w:rPr>
        <w:t>、</w:t>
      </w:r>
      <w:r>
        <w:rPr>
          <w:rFonts w:hint="eastAsia" w:ascii="仿宋" w:hAnsi="仿宋" w:eastAsia="仿宋"/>
          <w:b/>
          <w:sz w:val="24"/>
        </w:rPr>
        <w:t>不需要原厂工程师到场的仪器</w:t>
      </w:r>
      <w:r>
        <w:rPr>
          <w:rFonts w:ascii="仿宋" w:hAnsi="仿宋" w:eastAsia="仿宋"/>
          <w:b/>
          <w:sz w:val="24"/>
        </w:rPr>
        <w:t xml:space="preserve"> (搬迁前后搬迁</w:t>
      </w:r>
      <w:r>
        <w:rPr>
          <w:rFonts w:hint="eastAsia" w:ascii="仿宋" w:hAnsi="仿宋" w:eastAsia="仿宋"/>
          <w:b/>
          <w:sz w:val="24"/>
        </w:rPr>
        <w:t>工程师和仪器管理老师共同在场检测</w:t>
      </w:r>
      <w:r>
        <w:rPr>
          <w:rFonts w:ascii="仿宋" w:hAnsi="仿宋" w:eastAsia="仿宋"/>
          <w:b/>
          <w:sz w:val="24"/>
        </w:rPr>
        <w:t>)</w:t>
      </w:r>
    </w:p>
    <w:p>
      <w:pPr>
        <w:spacing w:line="360" w:lineRule="auto"/>
        <w:ind w:firstLine="482" w:firstLineChars="200"/>
        <w:jc w:val="left"/>
        <w:rPr>
          <w:rFonts w:ascii="仿宋" w:hAnsi="仿宋" w:eastAsia="仿宋"/>
          <w:b/>
          <w:sz w:val="24"/>
        </w:rPr>
      </w:pPr>
      <w:r>
        <w:rPr>
          <w:rFonts w:ascii="仿宋" w:hAnsi="仿宋" w:eastAsia="仿宋"/>
          <w:b/>
          <w:sz w:val="24"/>
        </w:rPr>
        <w:t>知新楼设备</w:t>
      </w:r>
      <w:r>
        <w:rPr>
          <w:rFonts w:hint="eastAsia" w:ascii="仿宋" w:hAnsi="仿宋" w:eastAsia="仿宋"/>
          <w:b/>
          <w:sz w:val="24"/>
        </w:rPr>
        <w:t>：</w:t>
      </w:r>
    </w:p>
    <w:p>
      <w:pPr>
        <w:spacing w:line="360" w:lineRule="auto"/>
        <w:ind w:firstLine="482" w:firstLineChars="200"/>
        <w:jc w:val="left"/>
        <w:rPr>
          <w:rFonts w:ascii="仿宋" w:hAnsi="仿宋" w:eastAsia="仿宋"/>
          <w:b/>
          <w:sz w:val="24"/>
        </w:rPr>
      </w:pPr>
      <w:r>
        <w:rPr>
          <w:rFonts w:ascii="仿宋" w:hAnsi="仿宋" w:eastAsia="仿宋"/>
          <w:b/>
          <w:sz w:val="24"/>
        </w:rPr>
        <w:t>1</w:t>
      </w:r>
      <w:r>
        <w:rPr>
          <w:rFonts w:hint="eastAsia" w:ascii="仿宋" w:hAnsi="仿宋" w:eastAsia="仿宋"/>
          <w:b/>
          <w:sz w:val="24"/>
        </w:rPr>
        <w:t>、原子力显微镜（要求使用气垫防震车运输）</w:t>
      </w:r>
    </w:p>
    <w:p>
      <w:pPr>
        <w:spacing w:line="360" w:lineRule="auto"/>
        <w:ind w:firstLine="480" w:firstLineChars="200"/>
        <w:jc w:val="left"/>
        <w:rPr>
          <w:rFonts w:ascii="仿宋" w:hAnsi="仿宋" w:eastAsia="仿宋"/>
          <w:sz w:val="24"/>
        </w:rPr>
      </w:pPr>
      <w:r>
        <w:rPr>
          <w:rFonts w:hint="eastAsia" w:ascii="仿宋" w:hAnsi="仿宋" w:eastAsia="仿宋"/>
          <w:sz w:val="24"/>
        </w:rPr>
        <w:t>（1）</w:t>
      </w:r>
      <w:r>
        <w:rPr>
          <w:rFonts w:ascii="仿宋" w:hAnsi="仿宋" w:eastAsia="仿宋"/>
          <w:sz w:val="24"/>
        </w:rPr>
        <w:t>注意搬运过程中</w:t>
      </w:r>
      <w:r>
        <w:rPr>
          <w:rFonts w:hint="eastAsia" w:ascii="仿宋" w:hAnsi="仿宋" w:eastAsia="仿宋"/>
          <w:sz w:val="24"/>
        </w:rPr>
        <w:t>避免</w:t>
      </w:r>
      <w:r>
        <w:rPr>
          <w:rFonts w:ascii="仿宋" w:hAnsi="仿宋" w:eastAsia="仿宋"/>
          <w:sz w:val="24"/>
        </w:rPr>
        <w:t>磕碰，</w:t>
      </w:r>
      <w:r>
        <w:rPr>
          <w:rFonts w:hint="eastAsia" w:ascii="仿宋" w:hAnsi="仿宋" w:eastAsia="仿宋"/>
          <w:sz w:val="24"/>
        </w:rPr>
        <w:t>运输扫描器，必须将保护盖盖好并使用减震缓冲材料进行包装。</w:t>
      </w:r>
    </w:p>
    <w:p>
      <w:pPr>
        <w:spacing w:line="360" w:lineRule="auto"/>
        <w:ind w:firstLine="480" w:firstLineChars="200"/>
        <w:jc w:val="left"/>
        <w:rPr>
          <w:rFonts w:ascii="仿宋" w:hAnsi="仿宋" w:eastAsia="仿宋"/>
          <w:sz w:val="24"/>
        </w:rPr>
      </w:pPr>
      <w:r>
        <w:rPr>
          <w:rFonts w:hint="eastAsia" w:ascii="仿宋" w:hAnsi="仿宋" w:eastAsia="仿宋"/>
          <w:sz w:val="24"/>
        </w:rPr>
        <w:t>（2）扫描器在潮湿环境中极易损坏，若使用损坏的扫描器，可能会导致主控机箱电路的损坏。</w:t>
      </w:r>
    </w:p>
    <w:p>
      <w:pPr>
        <w:spacing w:line="360" w:lineRule="auto"/>
        <w:ind w:firstLine="480" w:firstLineChars="200"/>
        <w:jc w:val="left"/>
        <w:rPr>
          <w:rFonts w:ascii="仿宋" w:hAnsi="仿宋" w:eastAsia="仿宋"/>
          <w:sz w:val="24"/>
        </w:rPr>
      </w:pPr>
      <w:r>
        <w:rPr>
          <w:rFonts w:hint="eastAsia" w:ascii="仿宋" w:hAnsi="仿宋" w:eastAsia="仿宋"/>
          <w:sz w:val="24"/>
        </w:rPr>
        <w:t>（3）运输</w:t>
      </w:r>
      <w:r>
        <w:rPr>
          <w:rFonts w:ascii="仿宋" w:hAnsi="仿宋" w:eastAsia="仿宋"/>
          <w:sz w:val="24"/>
        </w:rPr>
        <w:t>过程减震、控制湿度。</w:t>
      </w:r>
    </w:p>
    <w:p>
      <w:pPr>
        <w:spacing w:line="360" w:lineRule="auto"/>
        <w:ind w:firstLine="482" w:firstLineChars="200"/>
        <w:jc w:val="left"/>
        <w:rPr>
          <w:rFonts w:ascii="仿宋" w:hAnsi="仿宋" w:eastAsia="仿宋"/>
          <w:b/>
          <w:sz w:val="24"/>
        </w:rPr>
      </w:pPr>
      <w:r>
        <w:rPr>
          <w:rFonts w:ascii="仿宋" w:hAnsi="仿宋" w:eastAsia="仿宋"/>
          <w:b/>
          <w:sz w:val="24"/>
        </w:rPr>
        <w:t>2</w:t>
      </w:r>
      <w:r>
        <w:rPr>
          <w:rFonts w:hint="eastAsia" w:ascii="仿宋" w:hAnsi="仿宋" w:eastAsia="仿宋"/>
          <w:b/>
          <w:sz w:val="24"/>
        </w:rPr>
        <w:t>、超临界清洗系统、氧等离子体清洗、、超声波清洗机、RTP快速热处理设备、紫外臭氧清洗机、清洗台（2台）、</w:t>
      </w:r>
      <w:r>
        <w:rPr>
          <w:rFonts w:ascii="仿宋" w:hAnsi="仿宋" w:eastAsia="仿宋"/>
          <w:b/>
          <w:sz w:val="24"/>
        </w:rPr>
        <w:t>hotplatex3</w:t>
      </w:r>
      <w:r>
        <w:rPr>
          <w:rFonts w:hint="eastAsia" w:ascii="仿宋" w:hAnsi="仿宋" w:eastAsia="仿宋"/>
          <w:b/>
          <w:sz w:val="24"/>
        </w:rPr>
        <w:t>、除湿机、偏光显微镜、金相显微镜、小型探针台、光学平台（石墨烯转移）、超纯水机、电热鼓风干燥箱、匀胶机、台式高速冷冻离心机、小型离心机、除湿机、烘箱2台、匀胶旋涂仪、</w:t>
      </w:r>
      <w:r>
        <w:rPr>
          <w:rFonts w:ascii="仿宋" w:hAnsi="仿宋" w:eastAsia="仿宋"/>
          <w:b/>
          <w:sz w:val="24"/>
        </w:rPr>
        <w:t>Lock-inAmplifier</w:t>
      </w:r>
      <w:r>
        <w:rPr>
          <w:rFonts w:hint="eastAsia" w:ascii="仿宋" w:hAnsi="仿宋" w:eastAsia="仿宋"/>
          <w:b/>
          <w:sz w:val="24"/>
        </w:rPr>
        <w:t>、示波器、源表、保险柜、防爆冰箱</w:t>
      </w:r>
    </w:p>
    <w:p>
      <w:pPr>
        <w:spacing w:line="360" w:lineRule="auto"/>
        <w:ind w:firstLine="480" w:firstLineChars="200"/>
        <w:jc w:val="left"/>
        <w:rPr>
          <w:rFonts w:ascii="仿宋" w:hAnsi="仿宋" w:eastAsia="仿宋"/>
          <w:sz w:val="24"/>
        </w:rPr>
      </w:pPr>
      <w:r>
        <w:rPr>
          <w:rFonts w:hint="eastAsia" w:ascii="仿宋" w:hAnsi="仿宋" w:eastAsia="仿宋"/>
          <w:sz w:val="24"/>
        </w:rPr>
        <w:t>（1）无需检测，插电能用即可</w:t>
      </w:r>
    </w:p>
    <w:p>
      <w:pPr>
        <w:spacing w:line="360" w:lineRule="auto"/>
        <w:ind w:firstLine="480" w:firstLineChars="200"/>
        <w:jc w:val="left"/>
        <w:rPr>
          <w:rFonts w:ascii="仿宋" w:hAnsi="仿宋" w:eastAsia="仿宋"/>
          <w:sz w:val="24"/>
        </w:rPr>
      </w:pPr>
      <w:r>
        <w:rPr>
          <w:rFonts w:hint="eastAsia" w:ascii="仿宋" w:hAnsi="仿宋" w:eastAsia="仿宋"/>
          <w:sz w:val="24"/>
        </w:rPr>
        <w:t>（2）只需平稳搬迁即可（仪器包装箱加用于监测倾斜和震动的标识）</w:t>
      </w:r>
    </w:p>
    <w:p>
      <w:pPr>
        <w:spacing w:line="360" w:lineRule="auto"/>
        <w:ind w:firstLine="482" w:firstLineChars="200"/>
        <w:jc w:val="left"/>
        <w:rPr>
          <w:rFonts w:hint="eastAsia" w:ascii="仿宋" w:hAnsi="仿宋" w:eastAsia="仿宋"/>
          <w:b/>
          <w:sz w:val="24"/>
        </w:rPr>
      </w:pPr>
      <w:r>
        <w:rPr>
          <w:rFonts w:hint="eastAsia" w:ascii="仿宋" w:hAnsi="仿宋" w:eastAsia="仿宋"/>
          <w:b/>
          <w:sz w:val="24"/>
        </w:rPr>
        <w:t>（其中</w:t>
      </w:r>
      <w:r>
        <w:rPr>
          <w:rFonts w:ascii="仿宋" w:hAnsi="仿宋" w:eastAsia="仿宋"/>
          <w:b/>
          <w:sz w:val="24"/>
        </w:rPr>
        <w:t>探针台</w:t>
      </w:r>
      <w:r>
        <w:rPr>
          <w:rFonts w:hint="eastAsia" w:ascii="仿宋" w:hAnsi="仿宋" w:eastAsia="仿宋"/>
          <w:b/>
          <w:sz w:val="24"/>
        </w:rPr>
        <w:t>要求使用气垫防震车运输）</w:t>
      </w:r>
    </w:p>
    <w:p>
      <w:pPr>
        <w:pStyle w:val="2"/>
        <w:rPr>
          <w:rFonts w:hint="eastAsia"/>
          <w:color w:val="auto"/>
        </w:rPr>
      </w:pPr>
    </w:p>
    <w:p>
      <w:pPr>
        <w:spacing w:line="360" w:lineRule="auto"/>
        <w:ind w:firstLine="482" w:firstLineChars="200"/>
        <w:jc w:val="left"/>
        <w:rPr>
          <w:rFonts w:ascii="仿宋" w:hAnsi="仿宋" w:eastAsia="仿宋"/>
          <w:b/>
          <w:sz w:val="24"/>
        </w:rPr>
      </w:pPr>
      <w:r>
        <w:rPr>
          <w:rFonts w:hint="eastAsia" w:ascii="仿宋" w:hAnsi="仿宋" w:eastAsia="仿宋"/>
          <w:b/>
          <w:sz w:val="24"/>
        </w:rPr>
        <w:t>光电所</w:t>
      </w:r>
      <w:r>
        <w:rPr>
          <w:rFonts w:ascii="仿宋" w:hAnsi="仿宋" w:eastAsia="仿宋"/>
          <w:b/>
          <w:sz w:val="24"/>
        </w:rPr>
        <w:t>楼设备</w:t>
      </w:r>
      <w:r>
        <w:rPr>
          <w:rFonts w:hint="eastAsia" w:ascii="仿宋" w:hAnsi="仿宋" w:eastAsia="仿宋"/>
          <w:b/>
          <w:sz w:val="24"/>
        </w:rPr>
        <w:t>：</w:t>
      </w:r>
    </w:p>
    <w:p>
      <w:pPr>
        <w:spacing w:line="360" w:lineRule="auto"/>
        <w:ind w:firstLine="482" w:firstLineChars="200"/>
        <w:jc w:val="left"/>
        <w:rPr>
          <w:rFonts w:ascii="仿宋" w:hAnsi="仿宋" w:eastAsia="仿宋"/>
          <w:b/>
          <w:sz w:val="24"/>
        </w:rPr>
      </w:pPr>
      <w:r>
        <w:rPr>
          <w:rFonts w:ascii="仿宋" w:hAnsi="仿宋" w:eastAsia="仿宋"/>
          <w:b/>
          <w:sz w:val="24"/>
        </w:rPr>
        <w:t xml:space="preserve">1. </w:t>
      </w:r>
      <w:r>
        <w:rPr>
          <w:rFonts w:hint="eastAsia" w:ascii="仿宋" w:hAnsi="仿宋" w:eastAsia="仿宋"/>
          <w:b/>
          <w:sz w:val="24"/>
        </w:rPr>
        <w:t>掩膜对准曝光机（搬迁工程师和仪器使用人员共同在场）</w:t>
      </w:r>
    </w:p>
    <w:p>
      <w:pPr>
        <w:spacing w:line="360" w:lineRule="auto"/>
        <w:ind w:firstLine="480" w:firstLineChars="200"/>
        <w:jc w:val="left"/>
        <w:rPr>
          <w:rFonts w:ascii="仿宋" w:hAnsi="仿宋" w:eastAsia="仿宋"/>
          <w:sz w:val="24"/>
        </w:rPr>
      </w:pPr>
      <w:r>
        <w:rPr>
          <w:rFonts w:hint="eastAsia" w:ascii="仿宋" w:hAnsi="仿宋" w:eastAsia="仿宋"/>
          <w:sz w:val="24"/>
        </w:rPr>
        <w:t>（1）搬迁工程师现场提供参数测试</w:t>
      </w:r>
    </w:p>
    <w:p>
      <w:pPr>
        <w:spacing w:line="360" w:lineRule="auto"/>
        <w:ind w:firstLine="480" w:firstLineChars="200"/>
        <w:jc w:val="left"/>
        <w:rPr>
          <w:rFonts w:ascii="仿宋" w:hAnsi="仿宋" w:eastAsia="仿宋"/>
          <w:sz w:val="24"/>
        </w:rPr>
      </w:pPr>
      <w:r>
        <w:rPr>
          <w:rFonts w:hint="eastAsia" w:ascii="仿宋" w:hAnsi="仿宋" w:eastAsia="仿宋"/>
          <w:sz w:val="24"/>
        </w:rPr>
        <w:t>（2）仪器包装箱加用于监测倾斜和震动的标识</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2</w:t>
      </w:r>
      <w:r>
        <w:rPr>
          <w:rFonts w:hint="eastAsia" w:ascii="仿宋" w:hAnsi="仿宋" w:eastAsia="仿宋" w:cs="Times New Roman"/>
          <w:b/>
          <w:kern w:val="2"/>
        </w:rPr>
        <w:t>．螺杆式空压机</w:t>
      </w:r>
      <w:r>
        <w:rPr>
          <w:rFonts w:ascii="仿宋" w:hAnsi="仿宋" w:eastAsia="仿宋" w:cs="Times New Roman"/>
          <w:b/>
          <w:kern w:val="2"/>
        </w:rPr>
        <w:t>*</w:t>
      </w:r>
      <w:r>
        <w:rPr>
          <w:rFonts w:hint="eastAsia" w:ascii="仿宋" w:hAnsi="仿宋" w:eastAsia="仿宋" w:cs="Times New Roman"/>
          <w:b/>
          <w:kern w:val="2"/>
        </w:rPr>
        <w:t>过滤器（搬迁工程师和仪器管理老师共同在场）</w:t>
      </w:r>
    </w:p>
    <w:p>
      <w:pPr>
        <w:spacing w:line="360" w:lineRule="auto"/>
        <w:ind w:firstLine="480" w:firstLineChars="200"/>
        <w:jc w:val="left"/>
        <w:rPr>
          <w:rFonts w:ascii="仿宋" w:hAnsi="仿宋" w:eastAsia="仿宋"/>
          <w:sz w:val="24"/>
        </w:rPr>
      </w:pPr>
      <w:r>
        <w:rPr>
          <w:rFonts w:hint="eastAsia" w:ascii="仿宋" w:hAnsi="仿宋" w:eastAsia="仿宋"/>
          <w:sz w:val="24"/>
        </w:rPr>
        <w:t>（1）放置在千级区特期间，密封连接接进普通洁净区实验室，空压机压缩空气压力（5MPa-10MPa)，4台设备需要用的压力为0.6MPa，各设备自带减压阀。</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3</w:t>
      </w:r>
      <w:r>
        <w:rPr>
          <w:rFonts w:hint="eastAsia" w:ascii="仿宋" w:hAnsi="仿宋" w:eastAsia="仿宋" w:cs="Times New Roman"/>
          <w:b/>
          <w:kern w:val="2"/>
        </w:rPr>
        <w:t>．红外快速退火炉</w:t>
      </w:r>
    </w:p>
    <w:p>
      <w:pPr>
        <w:spacing w:line="360" w:lineRule="auto"/>
        <w:ind w:firstLine="480" w:firstLineChars="200"/>
        <w:jc w:val="left"/>
        <w:rPr>
          <w:rFonts w:ascii="仿宋" w:hAnsi="仿宋" w:eastAsia="仿宋"/>
          <w:sz w:val="24"/>
        </w:rPr>
      </w:pPr>
      <w:r>
        <w:rPr>
          <w:rFonts w:hint="eastAsia" w:ascii="仿宋" w:hAnsi="仿宋" w:eastAsia="仿宋"/>
          <w:sz w:val="24"/>
        </w:rPr>
        <w:t>（1）搬迁工程师按照仪器使用说明检测：升温情况，气路(特气高纯氮与通风橱共用），需有循环冷却水水。</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4</w:t>
      </w:r>
      <w:r>
        <w:rPr>
          <w:rFonts w:hint="eastAsia" w:ascii="仿宋" w:hAnsi="仿宋" w:eastAsia="仿宋" w:cs="Times New Roman"/>
          <w:b/>
          <w:kern w:val="2"/>
        </w:rPr>
        <w:t>、防腐离心风机</w:t>
      </w:r>
    </w:p>
    <w:p>
      <w:pPr>
        <w:spacing w:line="360" w:lineRule="auto"/>
        <w:ind w:firstLine="480" w:firstLineChars="200"/>
        <w:jc w:val="left"/>
        <w:rPr>
          <w:rFonts w:ascii="仿宋" w:hAnsi="仿宋" w:eastAsia="仿宋"/>
          <w:sz w:val="24"/>
        </w:rPr>
      </w:pPr>
      <w:r>
        <w:rPr>
          <w:rFonts w:hint="eastAsia" w:ascii="仿宋" w:hAnsi="仿宋" w:eastAsia="仿宋"/>
          <w:sz w:val="24"/>
        </w:rPr>
        <w:t>（1）屋顶风机，安装测试排风状态</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5</w:t>
      </w:r>
      <w:r>
        <w:rPr>
          <w:rFonts w:hint="eastAsia" w:ascii="仿宋" w:hAnsi="仿宋" w:eastAsia="仿宋" w:cs="Times New Roman"/>
          <w:b/>
          <w:kern w:val="2"/>
        </w:rPr>
        <w:t>、半导体参数分析仪（搬迁工程师和仪器使用老师共同在场）</w:t>
      </w:r>
    </w:p>
    <w:p>
      <w:pPr>
        <w:spacing w:line="360" w:lineRule="auto"/>
        <w:ind w:firstLine="480" w:firstLineChars="200"/>
        <w:jc w:val="left"/>
        <w:rPr>
          <w:rFonts w:ascii="仿宋" w:hAnsi="仿宋" w:eastAsia="仿宋"/>
          <w:sz w:val="24"/>
        </w:rPr>
      </w:pPr>
      <w:r>
        <w:rPr>
          <w:rFonts w:hint="eastAsia" w:ascii="仿宋" w:hAnsi="仿宋" w:eastAsia="仿宋"/>
          <w:sz w:val="24"/>
        </w:rPr>
        <w:t>（1）搬迁工程师现场提供参数测试</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2</w:t>
      </w:r>
      <w:r>
        <w:rPr>
          <w:rFonts w:hint="eastAsia" w:ascii="仿宋" w:hAnsi="仿宋" w:eastAsia="仿宋"/>
          <w:sz w:val="24"/>
        </w:rPr>
        <w:t>）仪器包装箱加用于监测倾斜和震动的标识</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6</w:t>
      </w:r>
      <w:r>
        <w:rPr>
          <w:rFonts w:hint="eastAsia" w:ascii="仿宋" w:hAnsi="仿宋" w:eastAsia="仿宋" w:cs="Times New Roman"/>
          <w:b/>
          <w:kern w:val="2"/>
        </w:rPr>
        <w:t>、探针台（搬迁工程师和仪器管理老师共同在场）</w:t>
      </w:r>
    </w:p>
    <w:p>
      <w:pPr>
        <w:spacing w:line="360" w:lineRule="auto"/>
        <w:ind w:firstLine="480" w:firstLineChars="200"/>
        <w:jc w:val="left"/>
        <w:rPr>
          <w:rFonts w:ascii="仿宋" w:hAnsi="仿宋" w:eastAsia="仿宋"/>
          <w:sz w:val="24"/>
        </w:rPr>
      </w:pPr>
      <w:r>
        <w:rPr>
          <w:rFonts w:hint="eastAsia" w:ascii="仿宋" w:hAnsi="仿宋" w:eastAsia="仿宋"/>
          <w:sz w:val="24"/>
        </w:rPr>
        <w:t>（1）搬迁工程师现场提供参数测试</w:t>
      </w:r>
    </w:p>
    <w:p>
      <w:pPr>
        <w:spacing w:line="360" w:lineRule="auto"/>
        <w:ind w:firstLine="480" w:firstLineChars="200"/>
        <w:jc w:val="left"/>
        <w:rPr>
          <w:rFonts w:ascii="仿宋" w:hAnsi="仿宋" w:eastAsia="仿宋"/>
          <w:sz w:val="24"/>
        </w:rPr>
      </w:pPr>
      <w:r>
        <w:rPr>
          <w:rFonts w:hint="eastAsia" w:ascii="仿宋" w:hAnsi="仿宋" w:eastAsia="仿宋"/>
          <w:sz w:val="24"/>
        </w:rPr>
        <w:t>（2）仪器包装箱加用于监测倾斜和震动的标识</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7</w:t>
      </w:r>
      <w:r>
        <w:rPr>
          <w:rFonts w:hint="eastAsia" w:ascii="仿宋" w:hAnsi="仿宋" w:eastAsia="仿宋" w:cs="Times New Roman"/>
          <w:b/>
          <w:kern w:val="2"/>
        </w:rPr>
        <w:t>、电子防潮柜、实验室除湿机、匀胶机，烘胶台、正置金相显微镜（</w:t>
      </w:r>
      <w:r>
        <w:rPr>
          <w:rFonts w:ascii="仿宋" w:hAnsi="仿宋" w:eastAsia="仿宋" w:cs="Times New Roman"/>
          <w:b/>
          <w:kern w:val="2"/>
        </w:rPr>
        <w:t>2</w:t>
      </w:r>
      <w:r>
        <w:rPr>
          <w:rFonts w:hint="eastAsia" w:ascii="仿宋" w:hAnsi="仿宋" w:eastAsia="仿宋" w:cs="Times New Roman"/>
          <w:b/>
          <w:kern w:val="2"/>
        </w:rPr>
        <w:t>台）、超声清洗机、紫外辐照计、支架式气流罩、电子防潮柜</w:t>
      </w:r>
    </w:p>
    <w:p>
      <w:pPr>
        <w:spacing w:line="360" w:lineRule="auto"/>
        <w:ind w:firstLine="480" w:firstLineChars="200"/>
        <w:jc w:val="left"/>
        <w:rPr>
          <w:rFonts w:ascii="仿宋" w:hAnsi="仿宋" w:eastAsia="仿宋"/>
          <w:sz w:val="24"/>
        </w:rPr>
      </w:pPr>
      <w:r>
        <w:rPr>
          <w:rFonts w:hint="eastAsia" w:ascii="仿宋" w:hAnsi="仿宋" w:eastAsia="仿宋"/>
          <w:sz w:val="24"/>
        </w:rPr>
        <w:t>（1）无需检测，插电能用即可</w:t>
      </w:r>
    </w:p>
    <w:p>
      <w:pPr>
        <w:spacing w:line="360" w:lineRule="auto"/>
        <w:ind w:firstLine="480" w:firstLineChars="200"/>
        <w:jc w:val="left"/>
        <w:rPr>
          <w:rFonts w:ascii="仿宋" w:hAnsi="仿宋" w:eastAsia="仿宋"/>
          <w:sz w:val="24"/>
        </w:rPr>
      </w:pPr>
      <w:r>
        <w:rPr>
          <w:rFonts w:hint="eastAsia" w:ascii="仿宋" w:hAnsi="仿宋" w:eastAsia="仿宋"/>
          <w:sz w:val="24"/>
        </w:rPr>
        <w:t>（2）只需平稳搬迁即可（仪器包装箱加用于监测倾斜和震动的标识）</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8</w:t>
      </w:r>
      <w:r>
        <w:rPr>
          <w:rFonts w:hint="eastAsia" w:ascii="仿宋" w:hAnsi="仿宋" w:eastAsia="仿宋" w:cs="Times New Roman"/>
          <w:b/>
          <w:kern w:val="2"/>
        </w:rPr>
        <w:t>、高效空气自净器、水泵电机、绝缘电阻测试仪、紫外分光光度计、退火炉、霍尔测试仪</w:t>
      </w:r>
    </w:p>
    <w:p>
      <w:pPr>
        <w:spacing w:line="360" w:lineRule="auto"/>
        <w:ind w:firstLine="480" w:firstLineChars="200"/>
        <w:jc w:val="left"/>
        <w:rPr>
          <w:rFonts w:ascii="仿宋" w:hAnsi="仿宋" w:eastAsia="仿宋"/>
          <w:sz w:val="24"/>
        </w:rPr>
      </w:pPr>
      <w:r>
        <w:rPr>
          <w:rFonts w:hint="eastAsia" w:ascii="仿宋" w:hAnsi="仿宋" w:eastAsia="仿宋"/>
          <w:sz w:val="24"/>
        </w:rPr>
        <w:t>（1）无需检测，插电能用即可</w:t>
      </w:r>
    </w:p>
    <w:p>
      <w:pPr>
        <w:pStyle w:val="69"/>
        <w:shd w:val="clear" w:color="auto" w:fill="FFFFFF"/>
        <w:snapToGrid w:val="0"/>
        <w:spacing w:before="0" w:beforeAutospacing="0" w:after="0" w:afterAutospacing="0" w:line="360" w:lineRule="auto"/>
        <w:ind w:firstLine="482" w:firstLineChars="200"/>
        <w:rPr>
          <w:rFonts w:ascii="仿宋" w:hAnsi="仿宋" w:eastAsia="仿宋" w:cs="Times New Roman"/>
          <w:b/>
        </w:rPr>
      </w:pPr>
      <w:r>
        <w:rPr>
          <w:rFonts w:ascii="仿宋" w:hAnsi="仿宋" w:eastAsia="仿宋" w:cs="Times New Roman"/>
          <w:b/>
          <w:kern w:val="2"/>
        </w:rPr>
        <w:t>9</w:t>
      </w:r>
      <w:r>
        <w:rPr>
          <w:rFonts w:hint="eastAsia" w:ascii="仿宋" w:hAnsi="仿宋" w:eastAsia="仿宋" w:cs="Times New Roman"/>
          <w:b/>
          <w:kern w:val="2"/>
        </w:rPr>
        <w:t>、管式炉</w:t>
      </w:r>
    </w:p>
    <w:p>
      <w:pPr>
        <w:spacing w:line="360" w:lineRule="auto"/>
        <w:ind w:firstLine="480" w:firstLineChars="200"/>
        <w:jc w:val="left"/>
        <w:rPr>
          <w:rFonts w:ascii="仿宋" w:hAnsi="仿宋" w:eastAsia="仿宋"/>
          <w:sz w:val="24"/>
        </w:rPr>
      </w:pPr>
      <w:r>
        <w:rPr>
          <w:rFonts w:hint="eastAsia" w:ascii="仿宋" w:hAnsi="仿宋" w:eastAsia="仿宋"/>
          <w:sz w:val="24"/>
        </w:rPr>
        <w:t>（1）流量计及泵，气瓶，注意排放。</w:t>
      </w:r>
    </w:p>
    <w:p>
      <w:pPr>
        <w:spacing w:line="360" w:lineRule="auto"/>
        <w:ind w:firstLine="482" w:firstLineChars="200"/>
        <w:jc w:val="left"/>
        <w:rPr>
          <w:rFonts w:ascii="仿宋" w:hAnsi="仿宋" w:eastAsia="仿宋"/>
          <w:b/>
          <w:sz w:val="24"/>
        </w:rPr>
      </w:pPr>
      <w:r>
        <w:rPr>
          <w:rFonts w:hint="eastAsia" w:ascii="仿宋" w:hAnsi="仿宋" w:eastAsia="仿宋"/>
          <w:b/>
          <w:sz w:val="24"/>
        </w:rPr>
        <w:t>文史</w:t>
      </w:r>
      <w:r>
        <w:rPr>
          <w:rFonts w:ascii="仿宋" w:hAnsi="仿宋" w:eastAsia="仿宋"/>
          <w:b/>
          <w:sz w:val="24"/>
        </w:rPr>
        <w:t>楼设备</w:t>
      </w:r>
      <w:r>
        <w:rPr>
          <w:rFonts w:hint="eastAsia" w:ascii="仿宋" w:hAnsi="仿宋" w:eastAsia="仿宋"/>
          <w:b/>
          <w:sz w:val="24"/>
        </w:rPr>
        <w:t>：</w:t>
      </w:r>
    </w:p>
    <w:p>
      <w:pPr>
        <w:spacing w:line="360" w:lineRule="auto"/>
        <w:ind w:firstLine="482" w:firstLineChars="200"/>
        <w:jc w:val="left"/>
        <w:rPr>
          <w:rFonts w:ascii="仿宋" w:hAnsi="仿宋" w:eastAsia="仿宋" w:cs="宋体"/>
          <w:b/>
          <w:sz w:val="24"/>
        </w:rPr>
      </w:pPr>
      <w:r>
        <w:rPr>
          <w:rFonts w:hint="eastAsia" w:ascii="仿宋" w:hAnsi="仿宋" w:eastAsia="仿宋" w:cs="宋体"/>
          <w:b/>
          <w:sz w:val="24"/>
        </w:rPr>
        <w:t>1</w:t>
      </w:r>
      <w:r>
        <w:rPr>
          <w:rFonts w:ascii="仿宋" w:hAnsi="仿宋" w:eastAsia="仿宋" w:cs="宋体"/>
          <w:b/>
          <w:sz w:val="24"/>
        </w:rPr>
        <w:t>.</w:t>
      </w:r>
      <w:r>
        <w:rPr>
          <w:rFonts w:hint="eastAsia" w:ascii="仿宋" w:hAnsi="仿宋" w:eastAsia="仿宋" w:cs="宋体"/>
          <w:b/>
          <w:sz w:val="24"/>
        </w:rPr>
        <w:t>真空烘箱系统、清洗台设备</w:t>
      </w:r>
      <w:bookmarkStart w:id="0" w:name="OLE_LINK5"/>
      <w:r>
        <w:rPr>
          <w:rFonts w:hint="eastAsia" w:ascii="仿宋" w:hAnsi="仿宋" w:eastAsia="仿宋" w:cs="宋体"/>
          <w:b/>
          <w:sz w:val="24"/>
        </w:rPr>
        <w:t>、精密天平、干泵、真空泵、光学显微镜、蠕动泵设备、光电测试平台、气体报警器、气压计、减压阀、</w:t>
      </w:r>
      <w:r>
        <w:rPr>
          <w:rFonts w:hint="eastAsia" w:ascii="仿宋" w:hAnsi="仿宋" w:eastAsia="仿宋"/>
          <w:b/>
          <w:bCs/>
          <w:sz w:val="24"/>
        </w:rPr>
        <w:t>离心机、鼓风干燥箱、真空干燥箱、磁力搅拌器、pH计、</w:t>
      </w:r>
      <w:r>
        <w:rPr>
          <w:rFonts w:hint="eastAsia" w:ascii="仿宋" w:hAnsi="仿宋" w:eastAsia="仿宋" w:cs="宋体"/>
          <w:b/>
          <w:sz w:val="24"/>
        </w:rPr>
        <w:t>电化学工作站、干燥柜、等离子体化学气相沉积系统、化学气相沉积系统2、化学气相沉积系统3、三温区管式炉1：</w:t>
      </w:r>
    </w:p>
    <w:p>
      <w:pPr>
        <w:pStyle w:val="315"/>
        <w:spacing w:line="360" w:lineRule="auto"/>
        <w:ind w:firstLineChars="0"/>
        <w:jc w:val="left"/>
        <w:rPr>
          <w:rFonts w:ascii="仿宋" w:hAnsi="仿宋" w:eastAsia="仿宋" w:cs="宋体"/>
          <w:bCs/>
          <w:sz w:val="24"/>
          <w:szCs w:val="24"/>
        </w:rPr>
      </w:pPr>
      <w:r>
        <w:rPr>
          <w:rFonts w:hint="eastAsia" w:ascii="仿宋" w:hAnsi="仿宋" w:eastAsia="仿宋"/>
          <w:sz w:val="24"/>
          <w:szCs w:val="24"/>
        </w:rPr>
        <w:t>（1）平稳搬迁，</w:t>
      </w:r>
      <w:r>
        <w:rPr>
          <w:rFonts w:hint="eastAsia" w:ascii="仿宋" w:hAnsi="仿宋" w:eastAsia="仿宋" w:cs="宋体"/>
          <w:bCs/>
          <w:sz w:val="24"/>
          <w:szCs w:val="24"/>
        </w:rPr>
        <w:t>严禁碰撞磨损；</w:t>
      </w:r>
    </w:p>
    <w:p>
      <w:pPr>
        <w:pStyle w:val="315"/>
        <w:spacing w:line="360" w:lineRule="auto"/>
        <w:ind w:firstLineChars="0"/>
        <w:jc w:val="left"/>
        <w:rPr>
          <w:rFonts w:ascii="仿宋" w:hAnsi="仿宋" w:eastAsia="仿宋" w:cs="宋体"/>
          <w:sz w:val="24"/>
          <w:szCs w:val="24"/>
        </w:rPr>
      </w:pPr>
      <w:r>
        <w:rPr>
          <w:rFonts w:hint="eastAsia" w:ascii="仿宋" w:hAnsi="仿宋" w:eastAsia="仿宋"/>
          <w:sz w:val="24"/>
          <w:szCs w:val="24"/>
        </w:rPr>
        <w:t>（2）无需检测</w:t>
      </w:r>
      <w:r>
        <w:rPr>
          <w:rFonts w:ascii="仿宋" w:hAnsi="仿宋" w:eastAsia="仿宋"/>
          <w:sz w:val="24"/>
          <w:szCs w:val="24"/>
        </w:rPr>
        <w:t>，</w:t>
      </w:r>
      <w:r>
        <w:rPr>
          <w:rFonts w:hint="eastAsia" w:ascii="仿宋" w:hAnsi="仿宋" w:eastAsia="仿宋"/>
          <w:sz w:val="24"/>
          <w:szCs w:val="24"/>
        </w:rPr>
        <w:t>插电可正常运行；</w:t>
      </w:r>
    </w:p>
    <w:p>
      <w:pPr>
        <w:spacing w:line="360" w:lineRule="auto"/>
        <w:ind w:firstLine="480" w:firstLineChars="200"/>
        <w:jc w:val="left"/>
        <w:rPr>
          <w:rFonts w:ascii="仿宋" w:hAnsi="仿宋" w:eastAsia="仿宋" w:cs="宋体"/>
          <w:bCs/>
          <w:sz w:val="24"/>
        </w:rPr>
      </w:pPr>
      <w:r>
        <w:rPr>
          <w:rFonts w:hint="eastAsia" w:ascii="仿宋" w:hAnsi="仿宋" w:eastAsia="仿宋" w:cs="宋体"/>
          <w:bCs/>
          <w:sz w:val="24"/>
        </w:rPr>
        <w:t>（</w:t>
      </w:r>
      <w:r>
        <w:rPr>
          <w:rFonts w:ascii="仿宋" w:hAnsi="仿宋" w:eastAsia="仿宋" w:cs="宋体"/>
          <w:bCs/>
          <w:sz w:val="24"/>
        </w:rPr>
        <w:t>3</w:t>
      </w:r>
      <w:r>
        <w:rPr>
          <w:rFonts w:hint="eastAsia" w:ascii="仿宋" w:hAnsi="仿宋" w:eastAsia="仿宋" w:cs="宋体"/>
          <w:bCs/>
          <w:sz w:val="24"/>
        </w:rPr>
        <w:t>）特定设备安装程序后，可正常运行；</w:t>
      </w:r>
    </w:p>
    <w:p>
      <w:pPr>
        <w:spacing w:line="360" w:lineRule="auto"/>
        <w:ind w:firstLine="480" w:firstLineChars="200"/>
        <w:jc w:val="left"/>
        <w:rPr>
          <w:rFonts w:ascii="仿宋" w:hAnsi="仿宋" w:eastAsia="仿宋"/>
          <w:sz w:val="24"/>
        </w:rPr>
      </w:pPr>
      <w:r>
        <w:rPr>
          <w:rFonts w:hint="eastAsia" w:ascii="仿宋" w:hAnsi="仿宋" w:eastAsia="仿宋"/>
          <w:sz w:val="24"/>
        </w:rPr>
        <w:t>（</w:t>
      </w:r>
      <w:r>
        <w:rPr>
          <w:rFonts w:ascii="仿宋" w:hAnsi="仿宋" w:eastAsia="仿宋"/>
          <w:sz w:val="24"/>
        </w:rPr>
        <w:t>4</w:t>
      </w:r>
      <w:r>
        <w:rPr>
          <w:rFonts w:hint="eastAsia" w:ascii="仿宋" w:hAnsi="仿宋" w:eastAsia="仿宋"/>
          <w:sz w:val="24"/>
        </w:rPr>
        <w:t>）仪器包装箱加用于监测倾斜和震动的标识；</w:t>
      </w:r>
    </w:p>
    <w:bookmarkEnd w:id="0"/>
    <w:p>
      <w:pPr>
        <w:spacing w:line="360" w:lineRule="auto"/>
        <w:ind w:firstLine="480" w:firstLineChars="200"/>
        <w:jc w:val="left"/>
        <w:rPr>
          <w:rFonts w:ascii="仿宋" w:hAnsi="仿宋" w:eastAsia="仿宋"/>
          <w:sz w:val="24"/>
        </w:rPr>
      </w:pPr>
      <w:r>
        <w:rPr>
          <w:rFonts w:ascii="仿宋" w:hAnsi="仿宋" w:eastAsia="仿宋"/>
          <w:sz w:val="24"/>
        </w:rPr>
        <w:t>注：</w:t>
      </w:r>
      <w:r>
        <w:rPr>
          <w:rFonts w:hint="eastAsia" w:ascii="仿宋" w:hAnsi="仿宋" w:eastAsia="仿宋"/>
          <w:sz w:val="24"/>
        </w:rPr>
        <w:t>搬迁过程中轻拿轻放，注意干燥，需要粘贴相关标签</w:t>
      </w:r>
    </w:p>
    <w:p>
      <w:pPr>
        <w:ind w:firstLine="267" w:firstLineChars="83"/>
        <w:rPr>
          <w:rFonts w:ascii="仿宋" w:hAnsi="仿宋" w:eastAsia="仿宋"/>
          <w:b/>
          <w:sz w:val="32"/>
        </w:rPr>
      </w:pPr>
      <w:r>
        <w:rPr>
          <w:rFonts w:hint="eastAsia" w:ascii="仿宋" w:hAnsi="仿宋" w:eastAsia="仿宋"/>
          <w:b/>
          <w:sz w:val="32"/>
        </w:rPr>
        <w:t>附件清单</w:t>
      </w:r>
    </w:p>
    <w:p>
      <w:pPr>
        <w:ind w:firstLine="174" w:firstLineChars="83"/>
        <w:rPr>
          <w:rFonts w:ascii="仿宋" w:hAnsi="仿宋" w:eastAsia="仿宋"/>
        </w:rPr>
      </w:pPr>
    </w:p>
    <w:tbl>
      <w:tblPr>
        <w:tblStyle w:val="75"/>
        <w:tblW w:w="9073" w:type="dxa"/>
        <w:jc w:val="center"/>
        <w:tblLayout w:type="autofit"/>
        <w:tblCellMar>
          <w:top w:w="0" w:type="dxa"/>
          <w:left w:w="108" w:type="dxa"/>
          <w:bottom w:w="0" w:type="dxa"/>
          <w:right w:w="108" w:type="dxa"/>
        </w:tblCellMar>
      </w:tblPr>
      <w:tblGrid>
        <w:gridCol w:w="709"/>
        <w:gridCol w:w="993"/>
        <w:gridCol w:w="3118"/>
        <w:gridCol w:w="709"/>
        <w:gridCol w:w="2551"/>
        <w:gridCol w:w="993"/>
      </w:tblGrid>
      <w:tr>
        <w:tblPrEx>
          <w:tblCellMar>
            <w:top w:w="0" w:type="dxa"/>
            <w:left w:w="108" w:type="dxa"/>
            <w:bottom w:w="0" w:type="dxa"/>
            <w:right w:w="108" w:type="dxa"/>
          </w:tblCellMar>
        </w:tblPrEx>
        <w:trPr>
          <w:trHeight w:val="406" w:hRule="atLeast"/>
          <w:jc w:val="center"/>
        </w:trPr>
        <w:tc>
          <w:tcPr>
            <w:tcW w:w="9073" w:type="dxa"/>
            <w:gridSpan w:val="6"/>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32"/>
                <w:szCs w:val="32"/>
              </w:rPr>
            </w:pPr>
            <w:r>
              <w:rPr>
                <w:rFonts w:hint="eastAsia" w:ascii="仿宋" w:hAnsi="仿宋" w:eastAsia="仿宋" w:cs="宋体"/>
                <w:b/>
                <w:bCs/>
                <w:kern w:val="0"/>
                <w:sz w:val="32"/>
                <w:szCs w:val="32"/>
              </w:rPr>
              <w:t>大型仪器设备清单</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序号</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实验室</w:t>
            </w:r>
          </w:p>
        </w:tc>
        <w:tc>
          <w:tcPr>
            <w:tcW w:w="3118"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设备名称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数量</w:t>
            </w:r>
          </w:p>
        </w:tc>
        <w:tc>
          <w:tcPr>
            <w:tcW w:w="2551"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设备型号</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原厂</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电子束曝光系统（EBL）</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e_Line plus</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场发射扫描电子显微镜（SEM）</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FEI</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单磁控溅射仪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EXPLORER14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共磁控溅射仪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EXPLORER14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激光显微拉曼光谱仪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雷尼绍 inVia</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紫外光刻机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MJB4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热阻蒸发镀膜系统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Auto306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电子束蒸发镀膜系统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HHVauto</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ICP刻蚀系统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PlasmaPro System100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原子层沉积设备</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TALD-150A-O3-5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激光直写</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Micro write II</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否</w:t>
            </w:r>
          </w:p>
        </w:tc>
      </w:tr>
      <w:tr>
        <w:tblPrEx>
          <w:tblCellMar>
            <w:top w:w="0" w:type="dxa"/>
            <w:left w:w="108" w:type="dxa"/>
            <w:bottom w:w="0" w:type="dxa"/>
            <w:right w:w="108" w:type="dxa"/>
          </w:tblCellMar>
        </w:tblPrEx>
        <w:trPr>
          <w:trHeight w:val="707"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金属有机化学气相沉积系统（MOCVD）</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ZDF-5227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激光脉冲沉积系统（PLD）</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PLD-450C</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电子束蒸发镀膜机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DZS-500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是</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防爆冰箱</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上海亿思</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探针台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signatone</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金相显微镜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Nikon，Lv150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金相显微镜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Nikon，Lv150N</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小型探针台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PRCBE</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光学平台（石墨烯转移）</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除湿机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烘箱2台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DHG-9015A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氧等离子体清洗</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PDC-32G-2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保险柜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报废水冷机2台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匀胶旋涂仪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WS-650Mz</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匀胶旋涂仪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WS-650Mz</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紫外臭氧清洗机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ProCleaner</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原子力显微镜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本原</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Lock-inAmplifier</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斯坦福SR830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示波器</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keysightMSOX6004A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源表</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keysight2901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除湿机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hotplatex3</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除湿机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MCH-7156B</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等离子体清洗机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超声波清洗机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KQ-100DE</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RTP快速热处理设备</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HQ-RTA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电子束蒸发镀膜系统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HHVauto</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焊接绝热气瓶</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DPL450-175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清洗台（2台）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超纯水机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QPTIONQ7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超临界清洗系统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ISCO500D</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电热鼓风干燥箱</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101-1A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匀胶机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TA-280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台式高速冷冻离心机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TGL-16M</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小型离心机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偏光显微镜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XP-201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掩膜对准曝光机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H94-25C</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螺杆式空压机*过滤器</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LUD5MINI</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红外线退火炉</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MILA-5000-P-N</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高效空气自净器</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ZJ-600A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电子防潮箱</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CTA1436BFD</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实验室除湿机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DH-858C</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匀胶机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SC-1B</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烘胶台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BP-2B</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正置金相显微镜*物镜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C2003B</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正置金相显微镜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C2003A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超声清洗机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VGT-1730T</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水泵电机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fuh</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离心风机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F4-72-4.5A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xml:space="preserve"> 紫外辐照计 </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xml:space="preserve"> UV-A型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xml:space="preserve"> 防腐离心风机 </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xml:space="preserve"> F4-72-4.5A-1.1kw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双温区管式炉</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xml:space="preserve"> OTF-1200X-II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支架式气流罩</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ACB-211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探针台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PL-EX4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半导体参数分析仪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B1500A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电子防潮箱（1500）</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CTA98FD</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绝缘电阻测试仪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ZC-36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紫外分光光度计</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退火炉</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GXF1600-20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霍尔测试仪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霍尔分析仪</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东方辰景</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33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荧光分光光度计</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WFY-28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鼓风干燥箱</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DHG-9015A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真空烘箱系统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DZF-6020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电化学工作站</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CHI 760E</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离心机</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H2-16K-II</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清洗台设备</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KQ-100DE</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干燥柜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AX-106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精密天平</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FA2004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化学气相沉积系统3</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OTF-1200X-III-S</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化学气相沉积系统2</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OTF-1200X-III-S</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真空干燥器</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VDR-30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干泵</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VTE-3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87</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真空泵</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2XZ-4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88</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等离子体化学气相沉积系统</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OTF-1200X-II</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89</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光学显微镜</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NMM-800TRF</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三温区管式炉</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OTF-1200X-III-S</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91</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蠕动泵设备</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LSP01-1A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光电测试平台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B1500A</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93</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气体报警器</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94</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气压计</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947-A-220-TR</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95</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减压阀</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SP25K(C33355000)</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96</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真空泵</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RV12</w:t>
            </w:r>
          </w:p>
        </w:tc>
        <w:tc>
          <w:tcPr>
            <w:tcW w:w="993"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否</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3118"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2551"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406" w:hRule="atLeast"/>
          <w:jc w:val="center"/>
        </w:trPr>
        <w:tc>
          <w:tcPr>
            <w:tcW w:w="9073" w:type="dxa"/>
            <w:gridSpan w:val="6"/>
            <w:tcBorders>
              <w:top w:val="single" w:color="auto" w:sz="4" w:space="0"/>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32"/>
                <w:szCs w:val="32"/>
              </w:rPr>
            </w:pPr>
            <w:r>
              <w:rPr>
                <w:rFonts w:hint="eastAsia" w:ascii="仿宋" w:hAnsi="仿宋" w:eastAsia="仿宋" w:cs="宋体"/>
                <w:b/>
                <w:bCs/>
                <w:kern w:val="0"/>
                <w:sz w:val="32"/>
                <w:szCs w:val="32"/>
              </w:rPr>
              <w:t>一般物资清单</w:t>
            </w:r>
          </w:p>
        </w:tc>
      </w:tr>
      <w:tr>
        <w:tblPrEx>
          <w:tblCellMar>
            <w:top w:w="0" w:type="dxa"/>
            <w:left w:w="108" w:type="dxa"/>
            <w:bottom w:w="0" w:type="dxa"/>
            <w:right w:w="108" w:type="dxa"/>
          </w:tblCellMar>
        </w:tblPrEx>
        <w:trPr>
          <w:trHeight w:val="270"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序号</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实验室</w:t>
            </w:r>
          </w:p>
        </w:tc>
        <w:tc>
          <w:tcPr>
            <w:tcW w:w="3118"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物资名称</w:t>
            </w:r>
          </w:p>
        </w:tc>
        <w:tc>
          <w:tcPr>
            <w:tcW w:w="709"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数量</w:t>
            </w:r>
          </w:p>
        </w:tc>
        <w:tc>
          <w:tcPr>
            <w:tcW w:w="2551"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尺寸</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b/>
                <w:bCs/>
                <w:kern w:val="0"/>
                <w:sz w:val="22"/>
              </w:rPr>
            </w:pPr>
            <w:r>
              <w:rPr>
                <w:rFonts w:hint="eastAsia" w:ascii="仿宋" w:hAnsi="仿宋" w:eastAsia="仿宋" w:cs="宋体"/>
                <w:b/>
                <w:bCs/>
                <w:kern w:val="0"/>
                <w:sz w:val="22"/>
              </w:rPr>
              <w:t>备注</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钢瓶</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15</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柜子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桌子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椅子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长条木柜</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100*50*50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铁皮文件柜</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普通冰箱</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50*50*180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保险柜</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50*50*150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小保险柜</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33*38*59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实验桌</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120*80*77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除湿机</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41*48*100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知新楼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长条桌</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200*40*60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钢瓶</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铁皮橱</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全钢双瓶气瓶柜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90*45*190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电脑桌</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80*80*80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试验台</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150*80*80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铁皮柜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4</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85x182x39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19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文件橱</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85x182x39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铁鞋橱</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85x182x39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分体铁橱</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90*45*190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保险柜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50*50*40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铁衣橱</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90*45*190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椅子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若干</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会议桌</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会议室椅子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15</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微机桌</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椅子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10</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总重100公斤</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29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微机桌</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10</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150*80*90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大铁柜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6</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85*215*39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光电所</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机柜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60*55*175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桌底柜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400*450*600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投影仪</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270*220*160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电脑</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4</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410*170*375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显示器</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4</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460*220*380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加湿器</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270*220*360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打印机</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270*220*360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旋转小椅</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600*550*950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39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办公桌</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1600*800*750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沙发</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1800*800*350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办公椅</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600*550*950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办公柜</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800*400*700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空气净化器</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270*220*360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衣架</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200*200*1800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白板</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2100*600*1800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碎纸机</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270*220*500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饮水机</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270*220*360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黑腿桌子不可拆卸</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9</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1200*600*750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49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vMerge w:val="restart"/>
            <w:tcBorders>
              <w:top w:val="nil"/>
              <w:left w:val="single" w:color="auto" w:sz="4" w:space="0"/>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实验桌白可拆卸</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1400*700*750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kern w:val="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2400*800*750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51</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vMerge w:val="continue"/>
            <w:tcBorders>
              <w:top w:val="nil"/>
              <w:left w:val="single" w:color="auto" w:sz="4" w:space="0"/>
              <w:bottom w:val="single" w:color="auto" w:sz="4" w:space="0"/>
              <w:right w:val="single" w:color="auto" w:sz="4" w:space="0"/>
            </w:tcBorders>
            <w:shd w:val="clear" w:color="auto" w:fill="auto"/>
            <w:vAlign w:val="center"/>
          </w:tcPr>
          <w:p>
            <w:pPr>
              <w:widowControl/>
              <w:jc w:val="left"/>
              <w:rPr>
                <w:rFonts w:ascii="仿宋" w:hAnsi="仿宋" w:eastAsia="仿宋" w:cs="宋体"/>
                <w:kern w:val="0"/>
              </w:rPr>
            </w:pP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2400*700*750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52</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办公桌子白可拆卸</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1200*600*750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53</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实验桌圆腿</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1400*700*750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54</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柜子</w:t>
            </w:r>
          </w:p>
        </w:tc>
        <w:tc>
          <w:tcPr>
            <w:tcW w:w="709"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3</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850*400*1800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55</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格子柜</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4</w:t>
            </w:r>
          </w:p>
        </w:tc>
        <w:tc>
          <w:tcPr>
            <w:tcW w:w="2551"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850*400*1800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56</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烘箱架子</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57</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气瓶</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5</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200*200*1400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58</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金属板凳</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4</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59</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塑料板凳</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6</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　</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r>
        <w:tblPrEx>
          <w:tblCellMar>
            <w:top w:w="0" w:type="dxa"/>
            <w:left w:w="108" w:type="dxa"/>
            <w:bottom w:w="0" w:type="dxa"/>
            <w:right w:w="108" w:type="dxa"/>
          </w:tblCellMar>
        </w:tblPrEx>
        <w:trPr>
          <w:trHeight w:val="285" w:hRule="atLeast"/>
          <w:jc w:val="center"/>
        </w:trPr>
        <w:tc>
          <w:tcPr>
            <w:tcW w:w="709" w:type="dxa"/>
            <w:tcBorders>
              <w:top w:val="nil"/>
              <w:left w:val="single" w:color="auto" w:sz="4" w:space="0"/>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60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文史楼</w:t>
            </w:r>
          </w:p>
        </w:tc>
        <w:tc>
          <w:tcPr>
            <w:tcW w:w="3118" w:type="dxa"/>
            <w:tcBorders>
              <w:top w:val="nil"/>
              <w:left w:val="nil"/>
              <w:bottom w:val="single" w:color="auto" w:sz="4" w:space="0"/>
              <w:right w:val="single" w:color="auto" w:sz="4" w:space="0"/>
            </w:tcBorders>
            <w:shd w:val="clear" w:color="auto" w:fill="auto"/>
            <w:vAlign w:val="center"/>
          </w:tcPr>
          <w:p>
            <w:pPr>
              <w:widowControl/>
              <w:jc w:val="center"/>
              <w:rPr>
                <w:rFonts w:ascii="仿宋" w:hAnsi="仿宋" w:eastAsia="仿宋" w:cs="宋体"/>
                <w:kern w:val="0"/>
              </w:rPr>
            </w:pPr>
            <w:r>
              <w:rPr>
                <w:rFonts w:hint="eastAsia" w:ascii="仿宋" w:hAnsi="仿宋" w:eastAsia="仿宋" w:cs="宋体"/>
                <w:kern w:val="0"/>
              </w:rPr>
              <w:t>液氮</w:t>
            </w:r>
          </w:p>
        </w:tc>
        <w:tc>
          <w:tcPr>
            <w:tcW w:w="709"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2</w:t>
            </w:r>
          </w:p>
        </w:tc>
        <w:tc>
          <w:tcPr>
            <w:tcW w:w="2551" w:type="dxa"/>
            <w:tcBorders>
              <w:top w:val="nil"/>
              <w:left w:val="nil"/>
              <w:bottom w:val="single" w:color="auto" w:sz="4" w:space="0"/>
              <w:right w:val="single" w:color="auto" w:sz="4" w:space="0"/>
            </w:tcBorders>
            <w:shd w:val="clear" w:color="auto" w:fill="auto"/>
            <w:noWrap/>
            <w:vAlign w:val="center"/>
          </w:tcPr>
          <w:p>
            <w:pPr>
              <w:widowControl/>
              <w:jc w:val="center"/>
              <w:rPr>
                <w:rFonts w:ascii="仿宋" w:hAnsi="仿宋" w:eastAsia="仿宋" w:cs="宋体"/>
                <w:kern w:val="0"/>
              </w:rPr>
            </w:pPr>
            <w:r>
              <w:rPr>
                <w:rFonts w:hint="eastAsia" w:ascii="仿宋" w:hAnsi="仿宋" w:eastAsia="仿宋" w:cs="宋体"/>
                <w:kern w:val="0"/>
              </w:rPr>
              <w:t>400*400*740</w:t>
            </w:r>
          </w:p>
        </w:tc>
        <w:tc>
          <w:tcPr>
            <w:tcW w:w="993" w:type="dxa"/>
            <w:tcBorders>
              <w:top w:val="nil"/>
              <w:left w:val="nil"/>
              <w:bottom w:val="single" w:color="auto" w:sz="4" w:space="0"/>
              <w:right w:val="single" w:color="auto" w:sz="4" w:space="0"/>
            </w:tcBorders>
            <w:shd w:val="clear" w:color="auto" w:fill="auto"/>
            <w:noWrap/>
            <w:vAlign w:val="bottom"/>
          </w:tcPr>
          <w:p>
            <w:pPr>
              <w:widowControl/>
              <w:jc w:val="center"/>
              <w:rPr>
                <w:rFonts w:ascii="仿宋" w:hAnsi="仿宋" w:eastAsia="仿宋" w:cs="宋体"/>
                <w:kern w:val="0"/>
                <w:sz w:val="22"/>
              </w:rPr>
            </w:pPr>
            <w:r>
              <w:rPr>
                <w:rFonts w:hint="eastAsia" w:ascii="仿宋" w:hAnsi="仿宋" w:eastAsia="仿宋" w:cs="宋体"/>
                <w:kern w:val="0"/>
                <w:sz w:val="22"/>
              </w:rPr>
              <w:t>　</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微软雅黑">
    <w:panose1 w:val="020B0503020204020204"/>
    <w:charset w:val="86"/>
    <w:family w:val="swiss"/>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117352"/>
    <w:multiLevelType w:val="multilevel"/>
    <w:tmpl w:val="1C117352"/>
    <w:lvl w:ilvl="0" w:tentative="0">
      <w:start w:val="1"/>
      <w:numFmt w:val="upperLetter"/>
      <w:lvlText w:val="%1．"/>
      <w:lvlJc w:val="left"/>
      <w:pPr>
        <w:tabs>
          <w:tab w:val="left" w:pos="360"/>
        </w:tabs>
        <w:ind w:left="360" w:hanging="360"/>
      </w:pPr>
    </w:lvl>
    <w:lvl w:ilvl="1" w:tentative="0">
      <w:start w:val="1"/>
      <w:numFmt w:val="decimal"/>
      <w:pStyle w:val="297"/>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29F5DE5"/>
    <w:multiLevelType w:val="multilevel"/>
    <w:tmpl w:val="229F5DE5"/>
    <w:lvl w:ilvl="0" w:tentative="0">
      <w:start w:val="3"/>
      <w:numFmt w:val="decimal"/>
      <w:pStyle w:val="43"/>
      <w:lvlText w:val="%1．"/>
      <w:lvlJc w:val="left"/>
      <w:pPr>
        <w:tabs>
          <w:tab w:val="left" w:pos="360"/>
        </w:tabs>
        <w:ind w:left="360" w:hanging="360"/>
      </w:pPr>
      <w:rPr>
        <w:rFonts w:hint="default" w:cs="Times New Roman"/>
      </w:rPr>
    </w:lvl>
    <w:lvl w:ilvl="1" w:tentative="0">
      <w:start w:val="1"/>
      <w:numFmt w:val="lowerLetter"/>
      <w:pStyle w:val="274"/>
      <w:lvlText w:val="%2)"/>
      <w:lvlJc w:val="left"/>
      <w:pPr>
        <w:tabs>
          <w:tab w:val="left" w:pos="840"/>
        </w:tabs>
        <w:ind w:left="840" w:hanging="420"/>
      </w:pPr>
      <w:rPr>
        <w:rFonts w:cs="Times New Roman"/>
      </w:rPr>
    </w:lvl>
    <w:lvl w:ilvl="2" w:tentative="0">
      <w:start w:val="1"/>
      <w:numFmt w:val="lowerRoman"/>
      <w:pStyle w:val="328"/>
      <w:lvlText w:val="%3."/>
      <w:lvlJc w:val="right"/>
      <w:pPr>
        <w:tabs>
          <w:tab w:val="left" w:pos="1260"/>
        </w:tabs>
        <w:ind w:left="1260" w:hanging="420"/>
      </w:pPr>
      <w:rPr>
        <w:rFonts w:cs="Times New Roman"/>
      </w:rPr>
    </w:lvl>
    <w:lvl w:ilvl="3" w:tentative="0">
      <w:start w:val="1"/>
      <w:numFmt w:val="decimal"/>
      <w:pStyle w:val="261"/>
      <w:lvlText w:val="%4."/>
      <w:lvlJc w:val="left"/>
      <w:pPr>
        <w:tabs>
          <w:tab w:val="left" w:pos="1680"/>
        </w:tabs>
        <w:ind w:left="1680" w:hanging="420"/>
      </w:pPr>
      <w:rPr>
        <w:rFonts w:cs="Times New Roman"/>
      </w:rPr>
    </w:lvl>
    <w:lvl w:ilvl="4" w:tentative="0">
      <w:start w:val="1"/>
      <w:numFmt w:val="lowerLetter"/>
      <w:pStyle w:val="260"/>
      <w:lvlText w:val="%5)"/>
      <w:lvlJc w:val="left"/>
      <w:pPr>
        <w:tabs>
          <w:tab w:val="left" w:pos="2100"/>
        </w:tabs>
        <w:ind w:left="2100" w:hanging="420"/>
      </w:pPr>
      <w:rPr>
        <w:rFonts w:cs="Times New Roman"/>
      </w:rPr>
    </w:lvl>
    <w:lvl w:ilvl="5" w:tentative="0">
      <w:start w:val="1"/>
      <w:numFmt w:val="lowerRoman"/>
      <w:pStyle w:val="307"/>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60DBC"/>
    <w:rsid w:val="00106170"/>
    <w:rsid w:val="00493840"/>
    <w:rsid w:val="00560DBC"/>
    <w:rsid w:val="00865ECC"/>
    <w:rsid w:val="00A73BE4"/>
    <w:rsid w:val="00AD4373"/>
    <w:rsid w:val="00AE498F"/>
    <w:rsid w:val="00B954D4"/>
    <w:rsid w:val="00DD2F33"/>
    <w:rsid w:val="00E47E96"/>
    <w:rsid w:val="00F564BF"/>
    <w:rsid w:val="75E55B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nhideWhenUsed="0" w:uiPriority="39" w:semiHidden="0"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unhideWhenUsed="0" w:uiPriority="99" w:name="toc 8"/>
    <w:lsdException w:unhideWhenUsed="0" w:uiPriority="9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nhideWhenUsed="0" w:uiPriority="99" w:semiHidden="0" w:name="caption"/>
    <w:lsdException w:uiPriority="99" w:name="table of figures"/>
    <w:lsdException w:qFormat="1" w:unhideWhenUsed="0" w:uiPriority="99" w:name="envelope address"/>
    <w:lsdException w:qFormat="1" w:unhideWhenUsed="0" w:uiPriority="99" w:name="envelope return"/>
    <w:lsdException w:uiPriority="99"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uiPriority="99" w:name="endnote reference"/>
    <w:lsdException w:uiPriority="99" w:name="endnote text"/>
    <w:lsdException w:qFormat="1" w:unhideWhenUsed="0" w:uiPriority="99" w:name="table of authorities"/>
    <w:lsdException w:uiPriority="99" w:name="macro"/>
    <w:lsdException w:qFormat="1" w:unhideWhenUsed="0" w:uiPriority="99" w:name="toa heading"/>
    <w:lsdException w:qFormat="1" w:unhideWhenUsed="0" w:uiPriority="99" w:semiHidden="0" w:name="List"/>
    <w:lsdException w:qFormat="1" w:unhideWhenUsed="0" w:uiPriority="99" w:name="List Bullet"/>
    <w:lsdException w:qFormat="1" w:unhideWhenUsed="0" w:uiPriority="99"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name="List Bullet 2"/>
    <w:lsdException w:qFormat="1" w:unhideWhenUsed="0" w:uiPriority="99" w:name="List Bullet 3"/>
    <w:lsdException w:unhideWhenUsed="0" w:uiPriority="99" w:name="List Bullet 4"/>
    <w:lsdException w:unhideWhenUsed="0" w:uiPriority="99" w:name="List Bullet 5"/>
    <w:lsdException w:qFormat="1" w:unhideWhenUsed="0" w:uiPriority="99" w:name="List Number 2"/>
    <w:lsdException w:qFormat="1" w:unhideWhenUsed="0" w:uiPriority="99" w:name="List Number 3"/>
    <w:lsdException w:qFormat="1" w:unhideWhenUsed="0" w:uiPriority="99" w:name="List Number 4"/>
    <w:lsdException w:unhideWhenUsed="0" w:uiPriority="99" w:name="List Number 5"/>
    <w:lsdException w:qFormat="1" w:unhideWhenUsed="0" w:uiPriority="0" w:semiHidden="0" w:name="Title"/>
    <w:lsdException w:qFormat="1" w:unhideWhenUsed="0" w:uiPriority="99" w:name="Closing"/>
    <w:lsdException w:qFormat="1" w:unhideWhenUsed="0" w:uiPriority="99" w:semiHidden="0" w:name="Signature"/>
    <w:lsdException w:qFormat="1" w:uiPriority="1" w:name="Default Paragraph Font"/>
    <w:lsdException w:qFormat="1" w:uiPriority="99" w:semiHidden="0" w:name="Body Text"/>
    <w:lsdException w:qFormat="1"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name="List Continue 5"/>
    <w:lsdException w:unhideWhenUsed="0" w:uiPriority="99" w:name="Message Header"/>
    <w:lsdException w:qFormat="1" w:unhideWhenUsed="0" w:uiPriority="11" w:semiHidden="0" w:name="Subtitle"/>
    <w:lsdException w:qFormat="1" w:unhideWhenUsed="0" w:uiPriority="99" w:name="Salutation"/>
    <w:lsdException w:qFormat="1" w:unhideWhenUsed="0" w:uiPriority="99" w:semiHidden="0" w:name="Date"/>
    <w:lsdException w:qFormat="1" w:unhideWhenUsed="0" w:uiPriority="99" w:semiHidden="0" w:name="Body Text First Indent"/>
    <w:lsdException w:qFormat="1" w:unhideWhenUsed="0" w:uiPriority="99" w:name="Body Text First Indent 2"/>
    <w:lsdException w:qFormat="1" w:unhideWhenUsed="0" w:uiPriority="99" w:name="Note Heading"/>
    <w:lsdException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nhideWhenUsed="0" w:uiPriority="99" w:name="Block Text"/>
    <w:lsdException w:qFormat="1" w:unhideWhenUsed="0" w:uiPriority="99" w:semiHidden="0" w:name="Hyperlink"/>
    <w:lsdException w:qFormat="1" w:unhideWhenUsed="0" w:uiPriority="99" w:name="FollowedHyperlink"/>
    <w:lsdException w:qFormat="1" w:unhideWhenUsed="0" w:uiPriority="99" w:semiHidden="0" w:name="Strong"/>
    <w:lsdException w:qFormat="1" w:unhideWhenUsed="0" w:uiPriority="99" w:semiHidden="0" w:name="Emphasis"/>
    <w:lsdException w:qFormat="1" w:unhideWhenUsed="0" w:uiPriority="99" w:name="Document Map"/>
    <w:lsdException w:unhideWhenUsed="0" w:uiPriority="99" w:semiHidden="0" w:name="Plain Text"/>
    <w:lsdException w:qFormat="1" w:unhideWhenUsed="0" w:uiPriority="99" w:name="E-mail Signature"/>
    <w:lsdException w:qFormat="1" w:unhideWhenUsed="0" w:uiPriority="99" w:semiHidden="0" w:name="Normal (Web)"/>
    <w:lsdException w:qFormat="1" w:unhideWhenUsed="0" w:uiPriority="99" w:name="HTML Acronym"/>
    <w:lsdException w:qFormat="1" w:unhideWhenUsed="0" w:uiPriority="99" w:name="HTML Address"/>
    <w:lsdException w:qFormat="1" w:unhideWhenUsed="0" w:uiPriority="99" w:name="HTML Cite"/>
    <w:lsdException w:qFormat="1" w:unhideWhenUsed="0" w:uiPriority="99" w:name="HTML Code"/>
    <w:lsdException w:qFormat="1" w:unhideWhenUsed="0" w:uiPriority="99" w:name="HTML Definition"/>
    <w:lsdException w:qFormat="1" w:unhideWhenUsed="0" w:uiPriority="99" w:name="HTML Keyboard"/>
    <w:lsdException w:qFormat="1" w:unhideWhenUsed="0" w:uiPriority="99" w:name="HTML Preformatted"/>
    <w:lsdException w:qFormat="1" w:unhideWhenUsed="0" w:uiPriority="99" w:name="HTML Sample"/>
    <w:lsdException w:qFormat="1" w:unhideWhenUsed="0" w:uiPriority="99" w:name="HTML Typewriter"/>
    <w:lsdException w:qFormat="1" w:unhideWhenUsed="0" w:uiPriority="99" w:name="HTML Variable"/>
    <w:lsdException w:qFormat="1" w:uiPriority="99" w:name="Normal Table"/>
    <w:lsdException w:qFormat="1" w:unhideWhenUsed="0" w:uiPriority="99" w:name="annotation subject"/>
    <w:lsdException w:qFormat="1" w:unhideWhenUsed="0" w:uiPriority="99" w:name="Table Simple 1"/>
    <w:lsdException w:qFormat="1" w:unhideWhenUsed="0" w:uiPriority="99" w:name="Table Simple 2"/>
    <w:lsdException w:unhideWhenUsed="0" w:uiPriority="99" w:name="Table Simple 3"/>
    <w:lsdException w:qFormat="1" w:unhideWhenUsed="0" w:uiPriority="99" w:name="Table Classic 1"/>
    <w:lsdException w:qFormat="1" w:unhideWhenUsed="0" w:uiPriority="99" w:name="Table Classic 2"/>
    <w:lsdException w:qFormat="1" w:unhideWhenUsed="0" w:uiPriority="99" w:name="Table Classic 3"/>
    <w:lsdException w:unhideWhenUsed="0" w:uiPriority="99" w:name="Table Classic 4"/>
    <w:lsdException w:unhideWhenUsed="0" w:uiPriority="99" w:name="Table Colorful 1"/>
    <w:lsdException w:qFormat="1" w:unhideWhenUsed="0" w:uiPriority="99" w:name="Table Colorful 2"/>
    <w:lsdException w:unhideWhenUsed="0" w:uiPriority="99" w:name="Table Colorful 3"/>
    <w:lsdException w:qFormat="1" w:unhideWhenUsed="0" w:uiPriority="99" w:name="Table Columns 1"/>
    <w:lsdException w:qFormat="1" w:unhideWhenUsed="0" w:uiPriority="99" w:name="Table Columns 2"/>
    <w:lsdException w:qFormat="1" w:unhideWhenUsed="0" w:uiPriority="99" w:name="Table Columns 3"/>
    <w:lsdException w:qFormat="1" w:unhideWhenUsed="0" w:uiPriority="99" w:name="Table Columns 4"/>
    <w:lsdException w:qFormat="1" w:unhideWhenUsed="0" w:uiPriority="99" w:name="Table Columns 5"/>
    <w:lsdException w:qFormat="1" w:unhideWhenUsed="0" w:uiPriority="99" w:name="Table Grid 1"/>
    <w:lsdException w:qFormat="1" w:unhideWhenUsed="0" w:uiPriority="99" w:name="Table Grid 2"/>
    <w:lsdException w:qFormat="1" w:unhideWhenUsed="0" w:uiPriority="99" w:name="Table Grid 3"/>
    <w:lsdException w:qFormat="1" w:unhideWhenUsed="0" w:uiPriority="99" w:name="Table Grid 4"/>
    <w:lsdException w:qFormat="1" w:unhideWhenUsed="0" w:uiPriority="99" w:name="Table Grid 5"/>
    <w:lsdException w:qFormat="1" w:unhideWhenUsed="0" w:uiPriority="99" w:name="Table Grid 6"/>
    <w:lsdException w:qFormat="1" w:unhideWhenUsed="0" w:uiPriority="99" w:name="Table Grid 7"/>
    <w:lsdException w:qFormat="1" w:unhideWhenUsed="0" w:uiPriority="99" w:name="Table Grid 8"/>
    <w:lsdException w:qFormat="1" w:unhideWhenUsed="0" w:uiPriority="99" w:name="Table List 1"/>
    <w:lsdException w:qFormat="1" w:unhideWhenUsed="0" w:uiPriority="99" w:name="Table List 2"/>
    <w:lsdException w:qFormat="1" w:unhideWhenUsed="0" w:uiPriority="99" w:name="Table List 3"/>
    <w:lsdException w:qFormat="1" w:unhideWhenUsed="0" w:uiPriority="99" w:name="Table List 4"/>
    <w:lsdException w:qFormat="1" w:unhideWhenUsed="0" w:uiPriority="99" w:name="Table List 5"/>
    <w:lsdException w:qFormat="1" w:unhideWhenUsed="0" w:uiPriority="99" w:name="Table List 6"/>
    <w:lsdException w:qFormat="1" w:unhideWhenUsed="0" w:uiPriority="99" w:name="Table List 7"/>
    <w:lsdException w:qFormat="1" w:unhideWhenUsed="0" w:uiPriority="99" w:name="Table List 8"/>
    <w:lsdException w:qFormat="1" w:unhideWhenUsed="0" w:uiPriority="99" w:name="Table 3D effects 1"/>
    <w:lsdException w:unhideWhenUsed="0" w:uiPriority="99" w:name="Table 3D effects 2"/>
    <w:lsdException w:unhideWhenUsed="0" w:uiPriority="99" w:name="Table 3D effects 3"/>
    <w:lsdException w:qFormat="1" w:unhideWhenUsed="0" w:uiPriority="99" w:name="Table Contemporary"/>
    <w:lsdException w:unhideWhenUsed="0" w:uiPriority="99" w:name="Table Elegant"/>
    <w:lsdException w:qFormat="1" w:unhideWhenUsed="0" w:uiPriority="99" w:name="Table Professional"/>
    <w:lsdException w:qFormat="1" w:unhideWhenUsed="0" w:uiPriority="99" w:name="Table Subtle 1"/>
    <w:lsdException w:qFormat="1" w:unhideWhenUsed="0" w:uiPriority="99" w:name="Table Subtle 2"/>
    <w:lsdException w:qFormat="1" w:unhideWhenUsed="0" w:uiPriority="99" w:name="Table Web 1"/>
    <w:lsdException w:qFormat="1" w:unhideWhenUsed="0" w:uiPriority="99" w:name="Table Web 2"/>
    <w:lsdException w:qFormat="1" w:unhideWhenUsed="0" w:uiPriority="99" w:name="Table Web 3"/>
    <w:lsdException w:unhideWhenUsed="0" w:uiPriority="99" w:semiHidden="0" w:name="Balloon Text"/>
    <w:lsdException w:qFormat="1" w:unhideWhenUsed="0" w:uiPriority="59" w:semiHidden="0" w:name="Table Grid"/>
    <w:lsdException w:unhideWhenUsed="0"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99"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188"/>
    <w:qFormat/>
    <w:uiPriority w:val="99"/>
    <w:pPr>
      <w:keepNext/>
      <w:keepLines/>
      <w:spacing w:before="340" w:after="330" w:line="578" w:lineRule="auto"/>
      <w:outlineLvl w:val="0"/>
    </w:pPr>
    <w:rPr>
      <w:b/>
      <w:bCs/>
      <w:kern w:val="44"/>
      <w:sz w:val="44"/>
      <w:szCs w:val="44"/>
    </w:rPr>
  </w:style>
  <w:style w:type="paragraph" w:styleId="4">
    <w:name w:val="heading 2"/>
    <w:basedOn w:val="1"/>
    <w:next w:val="1"/>
    <w:link w:val="139"/>
    <w:qFormat/>
    <w:uiPriority w:val="99"/>
    <w:pPr>
      <w:keepNext/>
      <w:keepLines/>
      <w:spacing w:before="260" w:after="260" w:line="416" w:lineRule="auto"/>
      <w:outlineLvl w:val="1"/>
    </w:pPr>
    <w:rPr>
      <w:rFonts w:ascii="Arial" w:hAnsi="Arial" w:eastAsia="黑体"/>
      <w:b/>
      <w:bCs/>
      <w:kern w:val="0"/>
      <w:sz w:val="32"/>
      <w:szCs w:val="32"/>
    </w:rPr>
  </w:style>
  <w:style w:type="paragraph" w:styleId="5">
    <w:name w:val="heading 3"/>
    <w:basedOn w:val="1"/>
    <w:next w:val="1"/>
    <w:link w:val="140"/>
    <w:qFormat/>
    <w:uiPriority w:val="99"/>
    <w:pPr>
      <w:keepNext/>
      <w:keepLines/>
      <w:spacing w:before="260" w:after="260" w:line="416" w:lineRule="auto"/>
      <w:outlineLvl w:val="2"/>
    </w:pPr>
    <w:rPr>
      <w:b/>
      <w:bCs/>
      <w:kern w:val="0"/>
      <w:sz w:val="32"/>
      <w:szCs w:val="32"/>
    </w:rPr>
  </w:style>
  <w:style w:type="paragraph" w:styleId="6">
    <w:name w:val="heading 4"/>
    <w:basedOn w:val="1"/>
    <w:next w:val="1"/>
    <w:link w:val="141"/>
    <w:qFormat/>
    <w:uiPriority w:val="99"/>
    <w:pPr>
      <w:keepNext/>
      <w:keepLines/>
      <w:spacing w:before="280" w:after="290" w:line="376" w:lineRule="auto"/>
      <w:outlineLvl w:val="3"/>
    </w:pPr>
    <w:rPr>
      <w:rFonts w:ascii="Arial" w:hAnsi="Arial" w:eastAsia="黑体"/>
      <w:b/>
      <w:bCs/>
      <w:kern w:val="0"/>
      <w:sz w:val="28"/>
      <w:szCs w:val="28"/>
    </w:rPr>
  </w:style>
  <w:style w:type="paragraph" w:styleId="7">
    <w:name w:val="heading 5"/>
    <w:basedOn w:val="1"/>
    <w:next w:val="1"/>
    <w:link w:val="142"/>
    <w:qFormat/>
    <w:uiPriority w:val="99"/>
    <w:pPr>
      <w:keepNext/>
      <w:keepLines/>
      <w:spacing w:before="280" w:after="290" w:line="376" w:lineRule="auto"/>
      <w:outlineLvl w:val="4"/>
    </w:pPr>
    <w:rPr>
      <w:b/>
      <w:bCs/>
      <w:kern w:val="0"/>
      <w:sz w:val="28"/>
      <w:szCs w:val="28"/>
    </w:rPr>
  </w:style>
  <w:style w:type="paragraph" w:styleId="8">
    <w:name w:val="heading 6"/>
    <w:basedOn w:val="1"/>
    <w:next w:val="1"/>
    <w:link w:val="143"/>
    <w:qFormat/>
    <w:uiPriority w:val="99"/>
    <w:pPr>
      <w:keepNext/>
      <w:keepLines/>
      <w:spacing w:before="240" w:after="64" w:line="320" w:lineRule="auto"/>
      <w:outlineLvl w:val="5"/>
    </w:pPr>
    <w:rPr>
      <w:rFonts w:ascii="Arial" w:hAnsi="Arial" w:eastAsia="黑体"/>
      <w:b/>
      <w:bCs/>
      <w:kern w:val="0"/>
      <w:sz w:val="20"/>
      <w:szCs w:val="20"/>
    </w:rPr>
  </w:style>
  <w:style w:type="paragraph" w:styleId="9">
    <w:name w:val="heading 7"/>
    <w:basedOn w:val="1"/>
    <w:next w:val="1"/>
    <w:link w:val="144"/>
    <w:qFormat/>
    <w:uiPriority w:val="9"/>
    <w:pPr>
      <w:keepNext/>
      <w:keepLines/>
      <w:spacing w:before="240" w:after="64" w:line="320" w:lineRule="auto"/>
      <w:jc w:val="left"/>
      <w:outlineLvl w:val="6"/>
    </w:pPr>
    <w:rPr>
      <w:b/>
      <w:bCs/>
      <w:kern w:val="0"/>
      <w:sz w:val="24"/>
    </w:rPr>
  </w:style>
  <w:style w:type="paragraph" w:styleId="10">
    <w:name w:val="heading 8"/>
    <w:basedOn w:val="1"/>
    <w:next w:val="1"/>
    <w:link w:val="145"/>
    <w:qFormat/>
    <w:uiPriority w:val="9"/>
    <w:pPr>
      <w:keepNext/>
      <w:keepLines/>
      <w:tabs>
        <w:tab w:val="left" w:pos="1440"/>
      </w:tabs>
      <w:adjustRightInd w:val="0"/>
      <w:spacing w:line="360" w:lineRule="atLeast"/>
      <w:ind w:left="1440" w:hanging="1440"/>
      <w:outlineLvl w:val="7"/>
    </w:pPr>
    <w:rPr>
      <w:rFonts w:ascii="Cambria" w:hAnsi="Cambria"/>
      <w:kern w:val="0"/>
      <w:sz w:val="24"/>
    </w:rPr>
  </w:style>
  <w:style w:type="paragraph" w:styleId="11">
    <w:name w:val="heading 9"/>
    <w:basedOn w:val="1"/>
    <w:next w:val="1"/>
    <w:link w:val="146"/>
    <w:qFormat/>
    <w:uiPriority w:val="9"/>
    <w:pPr>
      <w:keepNext/>
      <w:keepLines/>
      <w:tabs>
        <w:tab w:val="left" w:pos="1584"/>
      </w:tabs>
      <w:adjustRightInd w:val="0"/>
      <w:spacing w:line="360" w:lineRule="atLeast"/>
      <w:ind w:left="1584" w:hanging="1584"/>
      <w:outlineLvl w:val="8"/>
    </w:pPr>
    <w:rPr>
      <w:rFonts w:ascii="Cambria" w:hAnsi="Cambria"/>
      <w:kern w:val="0"/>
      <w:sz w:val="20"/>
      <w:szCs w:val="21"/>
    </w:rPr>
  </w:style>
  <w:style w:type="character" w:default="1" w:styleId="120">
    <w:name w:val="Default Paragraph Font"/>
    <w:semiHidden/>
    <w:unhideWhenUsed/>
    <w:qFormat/>
    <w:uiPriority w:val="1"/>
  </w:style>
  <w:style w:type="table" w:default="1" w:styleId="75">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Arial" w:hAnsi="Arial" w:eastAsia="宋体" w:cs="Arial"/>
      <w:color w:val="000000"/>
      <w:kern w:val="0"/>
      <w:sz w:val="24"/>
      <w:szCs w:val="24"/>
      <w:lang w:val="en-US" w:eastAsia="zh-CN" w:bidi="ar-SA"/>
    </w:rPr>
  </w:style>
  <w:style w:type="paragraph" w:styleId="12">
    <w:name w:val="List 3"/>
    <w:basedOn w:val="1"/>
    <w:qFormat/>
    <w:uiPriority w:val="99"/>
    <w:pPr>
      <w:ind w:left="100" w:leftChars="400" w:hanging="200" w:hangingChars="200"/>
    </w:pPr>
  </w:style>
  <w:style w:type="paragraph" w:styleId="13">
    <w:name w:val="toc 7"/>
    <w:basedOn w:val="1"/>
    <w:next w:val="1"/>
    <w:semiHidden/>
    <w:qFormat/>
    <w:uiPriority w:val="99"/>
    <w:pPr>
      <w:ind w:left="1260"/>
      <w:jc w:val="left"/>
    </w:pPr>
    <w:rPr>
      <w:sz w:val="18"/>
      <w:szCs w:val="18"/>
    </w:rPr>
  </w:style>
  <w:style w:type="paragraph" w:styleId="14">
    <w:name w:val="List Number 2"/>
    <w:basedOn w:val="1"/>
    <w:semiHidden/>
    <w:qFormat/>
    <w:uiPriority w:val="99"/>
    <w:pPr>
      <w:tabs>
        <w:tab w:val="left" w:pos="780"/>
      </w:tabs>
      <w:spacing w:after="200" w:line="276" w:lineRule="auto"/>
      <w:ind w:left="780" w:leftChars="200" w:hanging="360" w:hangingChars="200"/>
      <w:jc w:val="left"/>
    </w:pPr>
    <w:rPr>
      <w:kern w:val="0"/>
      <w:sz w:val="22"/>
      <w:szCs w:val="22"/>
      <w:lang w:eastAsia="en-US"/>
    </w:rPr>
  </w:style>
  <w:style w:type="paragraph" w:styleId="15">
    <w:name w:val="table of authorities"/>
    <w:basedOn w:val="1"/>
    <w:next w:val="1"/>
    <w:semiHidden/>
    <w:qFormat/>
    <w:uiPriority w:val="99"/>
    <w:pPr>
      <w:spacing w:after="200" w:line="276" w:lineRule="auto"/>
      <w:ind w:left="420" w:leftChars="200"/>
      <w:jc w:val="left"/>
    </w:pPr>
    <w:rPr>
      <w:kern w:val="0"/>
      <w:sz w:val="22"/>
      <w:szCs w:val="22"/>
      <w:lang w:eastAsia="en-US"/>
    </w:rPr>
  </w:style>
  <w:style w:type="paragraph" w:styleId="16">
    <w:name w:val="Note Heading"/>
    <w:basedOn w:val="1"/>
    <w:next w:val="1"/>
    <w:link w:val="222"/>
    <w:semiHidden/>
    <w:qFormat/>
    <w:uiPriority w:val="99"/>
    <w:pPr>
      <w:spacing w:after="200" w:line="276" w:lineRule="auto"/>
      <w:jc w:val="center"/>
    </w:pPr>
    <w:rPr>
      <w:rFonts w:asciiTheme="minorHAnsi" w:hAnsiTheme="minorHAnsi" w:eastAsiaTheme="minorEastAsia" w:cstheme="minorBidi"/>
    </w:rPr>
  </w:style>
  <w:style w:type="paragraph" w:styleId="17">
    <w:name w:val="List Bullet 4"/>
    <w:basedOn w:val="1"/>
    <w:semiHidden/>
    <w:uiPriority w:val="99"/>
    <w:pPr>
      <w:tabs>
        <w:tab w:val="left" w:pos="360"/>
      </w:tabs>
      <w:spacing w:after="200" w:line="276" w:lineRule="auto"/>
      <w:ind w:left="360" w:hanging="360"/>
      <w:jc w:val="left"/>
    </w:pPr>
    <w:rPr>
      <w:kern w:val="0"/>
      <w:sz w:val="22"/>
      <w:szCs w:val="22"/>
      <w:lang w:eastAsia="en-US"/>
    </w:rPr>
  </w:style>
  <w:style w:type="paragraph" w:styleId="18">
    <w:name w:val="E-mail Signature"/>
    <w:basedOn w:val="1"/>
    <w:link w:val="231"/>
    <w:semiHidden/>
    <w:qFormat/>
    <w:uiPriority w:val="99"/>
    <w:pPr>
      <w:spacing w:after="200" w:line="276" w:lineRule="auto"/>
      <w:jc w:val="left"/>
    </w:pPr>
    <w:rPr>
      <w:rFonts w:asciiTheme="minorHAnsi" w:hAnsiTheme="minorHAnsi" w:eastAsiaTheme="minorEastAsia" w:cstheme="minorBidi"/>
    </w:rPr>
  </w:style>
  <w:style w:type="paragraph" w:styleId="19">
    <w:name w:val="List Number"/>
    <w:basedOn w:val="1"/>
    <w:semiHidden/>
    <w:qFormat/>
    <w:uiPriority w:val="99"/>
    <w:pPr>
      <w:tabs>
        <w:tab w:val="left" w:pos="360"/>
      </w:tabs>
      <w:spacing w:after="200" w:line="276" w:lineRule="auto"/>
      <w:ind w:left="360" w:hanging="360" w:hangingChars="200"/>
      <w:jc w:val="left"/>
    </w:pPr>
    <w:rPr>
      <w:kern w:val="0"/>
      <w:sz w:val="22"/>
      <w:szCs w:val="22"/>
      <w:lang w:eastAsia="en-US"/>
    </w:rPr>
  </w:style>
  <w:style w:type="paragraph" w:styleId="20">
    <w:name w:val="Normal Indent"/>
    <w:basedOn w:val="1"/>
    <w:link w:val="216"/>
    <w:qFormat/>
    <w:uiPriority w:val="99"/>
    <w:pPr>
      <w:ind w:firstLine="420" w:firstLineChars="200"/>
    </w:pPr>
    <w:rPr>
      <w:rFonts w:asciiTheme="minorHAnsi" w:hAnsiTheme="minorHAnsi"/>
      <w:szCs w:val="22"/>
    </w:rPr>
  </w:style>
  <w:style w:type="paragraph" w:styleId="21">
    <w:name w:val="caption"/>
    <w:basedOn w:val="1"/>
    <w:next w:val="1"/>
    <w:qFormat/>
    <w:uiPriority w:val="99"/>
    <w:pPr>
      <w:spacing w:before="152" w:after="160"/>
    </w:pPr>
    <w:rPr>
      <w:rFonts w:ascii="Arial" w:hAnsi="Arial" w:eastAsia="黑体" w:cs="Arial"/>
      <w:sz w:val="20"/>
      <w:szCs w:val="20"/>
    </w:rPr>
  </w:style>
  <w:style w:type="paragraph" w:styleId="22">
    <w:name w:val="List Bullet"/>
    <w:basedOn w:val="1"/>
    <w:semiHidden/>
    <w:qFormat/>
    <w:uiPriority w:val="99"/>
    <w:pPr>
      <w:tabs>
        <w:tab w:val="left" w:pos="360"/>
      </w:tabs>
      <w:spacing w:after="200" w:line="276" w:lineRule="auto"/>
      <w:ind w:left="360" w:hanging="360"/>
      <w:jc w:val="left"/>
    </w:pPr>
    <w:rPr>
      <w:kern w:val="0"/>
      <w:sz w:val="22"/>
      <w:szCs w:val="22"/>
      <w:lang w:eastAsia="en-US"/>
    </w:rPr>
  </w:style>
  <w:style w:type="paragraph" w:styleId="23">
    <w:name w:val="envelope address"/>
    <w:basedOn w:val="1"/>
    <w:semiHidden/>
    <w:qFormat/>
    <w:uiPriority w:val="99"/>
    <w:pPr>
      <w:framePr w:w="7920" w:h="1980" w:hRule="exact" w:hSpace="180" w:wrap="around" w:vAnchor="margin" w:hAnchor="page" w:xAlign="center" w:yAlign="bottom"/>
      <w:snapToGrid w:val="0"/>
      <w:spacing w:after="200" w:line="276" w:lineRule="auto"/>
      <w:ind w:left="100" w:leftChars="1400"/>
      <w:jc w:val="left"/>
    </w:pPr>
    <w:rPr>
      <w:rFonts w:ascii="Arial" w:hAnsi="Arial" w:cs="Arial"/>
      <w:kern w:val="0"/>
      <w:sz w:val="24"/>
      <w:lang w:eastAsia="en-US"/>
    </w:rPr>
  </w:style>
  <w:style w:type="paragraph" w:styleId="24">
    <w:name w:val="Document Map"/>
    <w:basedOn w:val="1"/>
    <w:link w:val="240"/>
    <w:semiHidden/>
    <w:qFormat/>
    <w:uiPriority w:val="99"/>
    <w:pPr>
      <w:shd w:val="clear" w:color="auto" w:fill="000080"/>
    </w:pPr>
    <w:rPr>
      <w:rFonts w:asciiTheme="minorHAnsi" w:hAnsiTheme="minorHAnsi" w:eastAsiaTheme="minorEastAsia" w:cstheme="minorBidi"/>
      <w:sz w:val="16"/>
      <w:szCs w:val="16"/>
    </w:rPr>
  </w:style>
  <w:style w:type="paragraph" w:styleId="25">
    <w:name w:val="toa heading"/>
    <w:basedOn w:val="1"/>
    <w:next w:val="1"/>
    <w:semiHidden/>
    <w:qFormat/>
    <w:uiPriority w:val="99"/>
    <w:pPr>
      <w:spacing w:before="120"/>
    </w:pPr>
    <w:rPr>
      <w:rFonts w:ascii="Arial" w:hAnsi="Arial"/>
      <w:sz w:val="24"/>
      <w:szCs w:val="20"/>
    </w:rPr>
  </w:style>
  <w:style w:type="paragraph" w:styleId="26">
    <w:name w:val="annotation text"/>
    <w:basedOn w:val="1"/>
    <w:link w:val="228"/>
    <w:qFormat/>
    <w:uiPriority w:val="99"/>
    <w:pPr>
      <w:spacing w:after="200" w:line="276" w:lineRule="auto"/>
      <w:jc w:val="left"/>
    </w:pPr>
    <w:rPr>
      <w:rFonts w:asciiTheme="minorHAnsi" w:hAnsiTheme="minorHAnsi" w:eastAsiaTheme="minorEastAsia" w:cstheme="minorBidi"/>
    </w:rPr>
  </w:style>
  <w:style w:type="paragraph" w:styleId="27">
    <w:name w:val="Salutation"/>
    <w:basedOn w:val="1"/>
    <w:next w:val="1"/>
    <w:link w:val="223"/>
    <w:semiHidden/>
    <w:qFormat/>
    <w:uiPriority w:val="99"/>
    <w:pPr>
      <w:spacing w:after="200" w:line="276" w:lineRule="auto"/>
      <w:jc w:val="left"/>
    </w:pPr>
    <w:rPr>
      <w:rFonts w:asciiTheme="minorHAnsi" w:hAnsiTheme="minorHAnsi" w:eastAsiaTheme="minorEastAsia" w:cstheme="minorBidi"/>
    </w:rPr>
  </w:style>
  <w:style w:type="paragraph" w:styleId="28">
    <w:name w:val="Body Text 3"/>
    <w:basedOn w:val="1"/>
    <w:link w:val="239"/>
    <w:qFormat/>
    <w:uiPriority w:val="99"/>
    <w:rPr>
      <w:rFonts w:asciiTheme="minorHAnsi" w:hAnsiTheme="minorHAnsi" w:eastAsiaTheme="minorEastAsia" w:cstheme="minorBidi"/>
      <w:sz w:val="16"/>
      <w:szCs w:val="16"/>
    </w:rPr>
  </w:style>
  <w:style w:type="paragraph" w:styleId="29">
    <w:name w:val="Closing"/>
    <w:basedOn w:val="1"/>
    <w:link w:val="244"/>
    <w:semiHidden/>
    <w:qFormat/>
    <w:uiPriority w:val="99"/>
    <w:pPr>
      <w:spacing w:after="200" w:line="276" w:lineRule="auto"/>
      <w:ind w:left="100" w:leftChars="2100"/>
      <w:jc w:val="left"/>
    </w:pPr>
    <w:rPr>
      <w:rFonts w:asciiTheme="minorHAnsi" w:hAnsiTheme="minorHAnsi" w:eastAsiaTheme="minorEastAsia" w:cstheme="minorBidi"/>
    </w:rPr>
  </w:style>
  <w:style w:type="paragraph" w:styleId="30">
    <w:name w:val="List Bullet 3"/>
    <w:basedOn w:val="1"/>
    <w:semiHidden/>
    <w:qFormat/>
    <w:uiPriority w:val="99"/>
    <w:pPr>
      <w:tabs>
        <w:tab w:val="left" w:pos="360"/>
      </w:tabs>
      <w:spacing w:after="200" w:line="276" w:lineRule="auto"/>
      <w:ind w:left="360" w:hanging="360"/>
      <w:jc w:val="left"/>
    </w:pPr>
    <w:rPr>
      <w:kern w:val="0"/>
      <w:sz w:val="22"/>
      <w:szCs w:val="22"/>
      <w:lang w:eastAsia="en-US"/>
    </w:rPr>
  </w:style>
  <w:style w:type="paragraph" w:styleId="31">
    <w:name w:val="Body Text"/>
    <w:basedOn w:val="1"/>
    <w:link w:val="237"/>
    <w:unhideWhenUsed/>
    <w:qFormat/>
    <w:uiPriority w:val="99"/>
    <w:pPr>
      <w:spacing w:after="120"/>
    </w:pPr>
  </w:style>
  <w:style w:type="paragraph" w:styleId="32">
    <w:name w:val="Body Text Indent"/>
    <w:basedOn w:val="1"/>
    <w:link w:val="226"/>
    <w:unhideWhenUsed/>
    <w:qFormat/>
    <w:uiPriority w:val="99"/>
    <w:pPr>
      <w:spacing w:after="120"/>
      <w:ind w:left="420" w:leftChars="200"/>
    </w:pPr>
  </w:style>
  <w:style w:type="paragraph" w:styleId="33">
    <w:name w:val="List Number 3"/>
    <w:basedOn w:val="1"/>
    <w:semiHidden/>
    <w:qFormat/>
    <w:uiPriority w:val="99"/>
    <w:pPr>
      <w:tabs>
        <w:tab w:val="left" w:pos="360"/>
      </w:tabs>
      <w:spacing w:after="200" w:line="276" w:lineRule="auto"/>
      <w:ind w:left="360" w:hanging="360"/>
      <w:jc w:val="left"/>
    </w:pPr>
    <w:rPr>
      <w:kern w:val="0"/>
      <w:sz w:val="22"/>
      <w:szCs w:val="22"/>
      <w:lang w:eastAsia="en-US"/>
    </w:rPr>
  </w:style>
  <w:style w:type="paragraph" w:styleId="34">
    <w:name w:val="List 2"/>
    <w:basedOn w:val="1"/>
    <w:qFormat/>
    <w:uiPriority w:val="99"/>
    <w:pPr>
      <w:ind w:left="100" w:leftChars="200" w:hanging="200" w:hangingChars="200"/>
    </w:pPr>
  </w:style>
  <w:style w:type="paragraph" w:styleId="35">
    <w:name w:val="List Continue"/>
    <w:basedOn w:val="1"/>
    <w:qFormat/>
    <w:uiPriority w:val="99"/>
    <w:pPr>
      <w:spacing w:after="120"/>
      <w:ind w:left="420" w:leftChars="200"/>
    </w:pPr>
  </w:style>
  <w:style w:type="paragraph" w:styleId="36">
    <w:name w:val="Block Text"/>
    <w:basedOn w:val="1"/>
    <w:semiHidden/>
    <w:uiPriority w:val="99"/>
    <w:pPr>
      <w:spacing w:after="120" w:line="276" w:lineRule="auto"/>
      <w:ind w:left="1440" w:leftChars="700" w:right="1440" w:rightChars="700"/>
      <w:jc w:val="left"/>
    </w:pPr>
    <w:rPr>
      <w:kern w:val="0"/>
      <w:sz w:val="22"/>
      <w:szCs w:val="22"/>
      <w:lang w:eastAsia="en-US"/>
    </w:rPr>
  </w:style>
  <w:style w:type="paragraph" w:styleId="37">
    <w:name w:val="List Bullet 2"/>
    <w:basedOn w:val="1"/>
    <w:semiHidden/>
    <w:qFormat/>
    <w:uiPriority w:val="99"/>
    <w:pPr>
      <w:tabs>
        <w:tab w:val="left" w:pos="360"/>
      </w:tabs>
      <w:spacing w:after="200" w:line="276" w:lineRule="auto"/>
      <w:ind w:left="360" w:hanging="360"/>
      <w:jc w:val="left"/>
    </w:pPr>
    <w:rPr>
      <w:kern w:val="0"/>
      <w:sz w:val="22"/>
      <w:szCs w:val="22"/>
      <w:lang w:eastAsia="en-US"/>
    </w:rPr>
  </w:style>
  <w:style w:type="paragraph" w:styleId="38">
    <w:name w:val="HTML Address"/>
    <w:basedOn w:val="1"/>
    <w:link w:val="225"/>
    <w:semiHidden/>
    <w:qFormat/>
    <w:uiPriority w:val="99"/>
    <w:pPr>
      <w:spacing w:after="200" w:line="276" w:lineRule="auto"/>
      <w:jc w:val="left"/>
    </w:pPr>
    <w:rPr>
      <w:rFonts w:asciiTheme="minorHAnsi" w:hAnsiTheme="minorHAnsi" w:eastAsiaTheme="minorEastAsia" w:cstheme="minorBidi"/>
      <w:i/>
      <w:iCs/>
    </w:rPr>
  </w:style>
  <w:style w:type="paragraph" w:styleId="39">
    <w:name w:val="toc 5"/>
    <w:basedOn w:val="1"/>
    <w:next w:val="1"/>
    <w:semiHidden/>
    <w:qFormat/>
    <w:uiPriority w:val="99"/>
    <w:pPr>
      <w:ind w:left="840"/>
      <w:jc w:val="left"/>
    </w:pPr>
    <w:rPr>
      <w:sz w:val="18"/>
      <w:szCs w:val="18"/>
    </w:rPr>
  </w:style>
  <w:style w:type="paragraph" w:styleId="40">
    <w:name w:val="toc 3"/>
    <w:basedOn w:val="1"/>
    <w:next w:val="1"/>
    <w:uiPriority w:val="39"/>
    <w:pPr>
      <w:ind w:left="420"/>
      <w:jc w:val="left"/>
    </w:pPr>
    <w:rPr>
      <w:i/>
      <w:iCs/>
      <w:sz w:val="20"/>
      <w:szCs w:val="20"/>
    </w:rPr>
  </w:style>
  <w:style w:type="paragraph" w:styleId="41">
    <w:name w:val="Plain Text"/>
    <w:basedOn w:val="1"/>
    <w:link w:val="235"/>
    <w:uiPriority w:val="99"/>
    <w:rPr>
      <w:rFonts w:ascii="宋体" w:hAnsi="Courier New" w:cs="Courier New" w:eastAsiaTheme="minorEastAsia"/>
      <w:szCs w:val="21"/>
    </w:rPr>
  </w:style>
  <w:style w:type="paragraph" w:styleId="42">
    <w:name w:val="List Bullet 5"/>
    <w:basedOn w:val="1"/>
    <w:semiHidden/>
    <w:uiPriority w:val="99"/>
    <w:pPr>
      <w:tabs>
        <w:tab w:val="left" w:pos="360"/>
      </w:tabs>
      <w:spacing w:after="200" w:line="276" w:lineRule="auto"/>
      <w:ind w:left="360" w:hanging="360"/>
      <w:jc w:val="left"/>
    </w:pPr>
    <w:rPr>
      <w:kern w:val="0"/>
      <w:sz w:val="22"/>
      <w:szCs w:val="22"/>
      <w:lang w:eastAsia="en-US"/>
    </w:rPr>
  </w:style>
  <w:style w:type="paragraph" w:styleId="43">
    <w:name w:val="List Number 4"/>
    <w:basedOn w:val="1"/>
    <w:semiHidden/>
    <w:qFormat/>
    <w:uiPriority w:val="99"/>
    <w:pPr>
      <w:numPr>
        <w:ilvl w:val="0"/>
        <w:numId w:val="1"/>
      </w:numPr>
      <w:spacing w:after="200" w:line="276" w:lineRule="auto"/>
      <w:jc w:val="left"/>
    </w:pPr>
    <w:rPr>
      <w:kern w:val="0"/>
      <w:sz w:val="22"/>
      <w:szCs w:val="22"/>
      <w:lang w:eastAsia="en-US"/>
    </w:rPr>
  </w:style>
  <w:style w:type="paragraph" w:styleId="44">
    <w:name w:val="toc 8"/>
    <w:basedOn w:val="1"/>
    <w:next w:val="1"/>
    <w:semiHidden/>
    <w:uiPriority w:val="99"/>
    <w:pPr>
      <w:ind w:left="1470"/>
      <w:jc w:val="left"/>
    </w:pPr>
    <w:rPr>
      <w:sz w:val="18"/>
      <w:szCs w:val="18"/>
    </w:rPr>
  </w:style>
  <w:style w:type="paragraph" w:styleId="45">
    <w:name w:val="Date"/>
    <w:basedOn w:val="1"/>
    <w:next w:val="1"/>
    <w:link w:val="233"/>
    <w:qFormat/>
    <w:uiPriority w:val="99"/>
    <w:pPr>
      <w:ind w:left="100" w:leftChars="2500"/>
    </w:pPr>
    <w:rPr>
      <w:rFonts w:asciiTheme="minorHAnsi" w:hAnsiTheme="minorHAnsi" w:eastAsiaTheme="minorEastAsia" w:cstheme="minorBidi"/>
    </w:rPr>
  </w:style>
  <w:style w:type="paragraph" w:styleId="46">
    <w:name w:val="Body Text Indent 2"/>
    <w:basedOn w:val="1"/>
    <w:link w:val="224"/>
    <w:qFormat/>
    <w:uiPriority w:val="99"/>
    <w:pPr>
      <w:spacing w:line="500" w:lineRule="exact"/>
      <w:ind w:firstLine="442" w:firstLineChars="200"/>
    </w:pPr>
    <w:rPr>
      <w:rFonts w:asciiTheme="minorHAnsi" w:hAnsiTheme="minorHAnsi" w:eastAsiaTheme="minorEastAsia" w:cstheme="minorBidi"/>
    </w:rPr>
  </w:style>
  <w:style w:type="paragraph" w:styleId="47">
    <w:name w:val="List Continue 5"/>
    <w:basedOn w:val="1"/>
    <w:semiHidden/>
    <w:qFormat/>
    <w:uiPriority w:val="99"/>
    <w:pPr>
      <w:spacing w:after="120" w:line="276" w:lineRule="auto"/>
      <w:ind w:left="2100" w:leftChars="1000"/>
      <w:jc w:val="left"/>
    </w:pPr>
    <w:rPr>
      <w:kern w:val="0"/>
      <w:sz w:val="22"/>
      <w:szCs w:val="22"/>
      <w:lang w:eastAsia="en-US"/>
    </w:rPr>
  </w:style>
  <w:style w:type="paragraph" w:styleId="48">
    <w:name w:val="Balloon Text"/>
    <w:basedOn w:val="1"/>
    <w:link w:val="242"/>
    <w:uiPriority w:val="99"/>
    <w:rPr>
      <w:rFonts w:asciiTheme="minorHAnsi" w:hAnsiTheme="minorHAnsi" w:eastAsiaTheme="minorEastAsia" w:cstheme="minorBidi"/>
      <w:sz w:val="16"/>
      <w:szCs w:val="16"/>
    </w:rPr>
  </w:style>
  <w:style w:type="paragraph" w:styleId="49">
    <w:name w:val="footer"/>
    <w:basedOn w:val="1"/>
    <w:link w:val="137"/>
    <w:unhideWhenUsed/>
    <w:qFormat/>
    <w:uiPriority w:val="99"/>
    <w:pPr>
      <w:tabs>
        <w:tab w:val="center" w:pos="4153"/>
        <w:tab w:val="right" w:pos="8306"/>
      </w:tabs>
      <w:snapToGrid w:val="0"/>
      <w:jc w:val="left"/>
    </w:pPr>
    <w:rPr>
      <w:sz w:val="18"/>
      <w:szCs w:val="18"/>
    </w:rPr>
  </w:style>
  <w:style w:type="paragraph" w:styleId="50">
    <w:name w:val="envelope return"/>
    <w:basedOn w:val="1"/>
    <w:semiHidden/>
    <w:qFormat/>
    <w:uiPriority w:val="99"/>
    <w:pPr>
      <w:snapToGrid w:val="0"/>
      <w:spacing w:after="200" w:line="276" w:lineRule="auto"/>
      <w:jc w:val="left"/>
    </w:pPr>
    <w:rPr>
      <w:rFonts w:ascii="Arial" w:hAnsi="Arial" w:cs="Arial"/>
      <w:kern w:val="0"/>
      <w:sz w:val="22"/>
      <w:szCs w:val="22"/>
      <w:lang w:eastAsia="en-US"/>
    </w:rPr>
  </w:style>
  <w:style w:type="paragraph" w:styleId="51">
    <w:name w:val="header"/>
    <w:basedOn w:val="1"/>
    <w:link w:val="136"/>
    <w:unhideWhenUsed/>
    <w:qFormat/>
    <w:uiPriority w:val="99"/>
    <w:pPr>
      <w:pBdr>
        <w:bottom w:val="single" w:color="auto" w:sz="6" w:space="1"/>
      </w:pBdr>
      <w:tabs>
        <w:tab w:val="center" w:pos="4153"/>
        <w:tab w:val="right" w:pos="8306"/>
      </w:tabs>
      <w:snapToGrid w:val="0"/>
      <w:jc w:val="center"/>
    </w:pPr>
    <w:rPr>
      <w:sz w:val="18"/>
      <w:szCs w:val="18"/>
    </w:rPr>
  </w:style>
  <w:style w:type="paragraph" w:styleId="52">
    <w:name w:val="Signature"/>
    <w:basedOn w:val="1"/>
    <w:link w:val="232"/>
    <w:qFormat/>
    <w:uiPriority w:val="99"/>
    <w:pPr>
      <w:ind w:left="100" w:leftChars="2100"/>
    </w:pPr>
    <w:rPr>
      <w:rFonts w:asciiTheme="minorHAnsi" w:hAnsiTheme="minorHAnsi" w:eastAsiaTheme="minorEastAsia" w:cstheme="minorBidi"/>
    </w:rPr>
  </w:style>
  <w:style w:type="paragraph" w:styleId="53">
    <w:name w:val="toc 1"/>
    <w:basedOn w:val="1"/>
    <w:next w:val="1"/>
    <w:qFormat/>
    <w:uiPriority w:val="39"/>
    <w:pPr>
      <w:spacing w:before="120" w:after="120"/>
      <w:jc w:val="left"/>
    </w:pPr>
    <w:rPr>
      <w:b/>
      <w:bCs/>
      <w:caps/>
      <w:sz w:val="20"/>
      <w:szCs w:val="20"/>
    </w:rPr>
  </w:style>
  <w:style w:type="paragraph" w:styleId="54">
    <w:name w:val="List Continue 4"/>
    <w:basedOn w:val="1"/>
    <w:qFormat/>
    <w:uiPriority w:val="99"/>
    <w:pPr>
      <w:spacing w:after="120"/>
      <w:ind w:left="1680" w:leftChars="800"/>
    </w:pPr>
  </w:style>
  <w:style w:type="paragraph" w:styleId="55">
    <w:name w:val="toc 4"/>
    <w:basedOn w:val="1"/>
    <w:next w:val="1"/>
    <w:semiHidden/>
    <w:qFormat/>
    <w:uiPriority w:val="99"/>
    <w:pPr>
      <w:ind w:left="630"/>
      <w:jc w:val="left"/>
    </w:pPr>
    <w:rPr>
      <w:sz w:val="18"/>
      <w:szCs w:val="18"/>
    </w:rPr>
  </w:style>
  <w:style w:type="paragraph" w:styleId="56">
    <w:name w:val="Subtitle"/>
    <w:basedOn w:val="1"/>
    <w:link w:val="230"/>
    <w:qFormat/>
    <w:uiPriority w:val="11"/>
    <w:pPr>
      <w:spacing w:before="240" w:after="60" w:line="312" w:lineRule="auto"/>
      <w:jc w:val="center"/>
      <w:outlineLvl w:val="1"/>
    </w:pPr>
    <w:rPr>
      <w:rFonts w:ascii="Cambria" w:hAnsi="Cambria" w:eastAsiaTheme="minorEastAsia"/>
      <w:b/>
      <w:bCs/>
      <w:kern w:val="28"/>
      <w:sz w:val="32"/>
      <w:szCs w:val="32"/>
    </w:rPr>
  </w:style>
  <w:style w:type="paragraph" w:styleId="57">
    <w:name w:val="List Number 5"/>
    <w:basedOn w:val="1"/>
    <w:semiHidden/>
    <w:uiPriority w:val="99"/>
    <w:pPr>
      <w:tabs>
        <w:tab w:val="left" w:pos="360"/>
      </w:tabs>
      <w:spacing w:after="200" w:line="276" w:lineRule="auto"/>
      <w:ind w:left="360" w:hanging="360"/>
      <w:jc w:val="left"/>
    </w:pPr>
    <w:rPr>
      <w:kern w:val="0"/>
      <w:sz w:val="22"/>
      <w:szCs w:val="22"/>
      <w:lang w:eastAsia="en-US"/>
    </w:rPr>
  </w:style>
  <w:style w:type="paragraph" w:styleId="58">
    <w:name w:val="List"/>
    <w:basedOn w:val="1"/>
    <w:qFormat/>
    <w:uiPriority w:val="99"/>
    <w:pPr>
      <w:ind w:left="200" w:hanging="200" w:hangingChars="200"/>
    </w:pPr>
  </w:style>
  <w:style w:type="paragraph" w:styleId="59">
    <w:name w:val="toc 6"/>
    <w:basedOn w:val="1"/>
    <w:next w:val="1"/>
    <w:semiHidden/>
    <w:qFormat/>
    <w:uiPriority w:val="99"/>
    <w:pPr>
      <w:ind w:left="1050"/>
      <w:jc w:val="left"/>
    </w:pPr>
    <w:rPr>
      <w:sz w:val="18"/>
      <w:szCs w:val="18"/>
    </w:rPr>
  </w:style>
  <w:style w:type="paragraph" w:styleId="60">
    <w:name w:val="List 5"/>
    <w:basedOn w:val="1"/>
    <w:qFormat/>
    <w:uiPriority w:val="99"/>
    <w:pPr>
      <w:ind w:left="100" w:leftChars="800" w:hanging="200" w:hangingChars="200"/>
    </w:pPr>
  </w:style>
  <w:style w:type="paragraph" w:styleId="61">
    <w:name w:val="Body Text Indent 3"/>
    <w:basedOn w:val="1"/>
    <w:link w:val="236"/>
    <w:qFormat/>
    <w:uiPriority w:val="99"/>
    <w:pPr>
      <w:tabs>
        <w:tab w:val="left" w:pos="1134"/>
        <w:tab w:val="left" w:pos="5481"/>
        <w:tab w:val="left" w:pos="5859"/>
      </w:tabs>
      <w:spacing w:line="500" w:lineRule="exact"/>
      <w:ind w:firstLine="8275" w:firstLineChars="1200"/>
    </w:pPr>
    <w:rPr>
      <w:rFonts w:asciiTheme="minorHAnsi" w:hAnsiTheme="minorHAnsi" w:eastAsiaTheme="minorEastAsia" w:cstheme="minorBidi"/>
      <w:sz w:val="16"/>
      <w:szCs w:val="16"/>
    </w:rPr>
  </w:style>
  <w:style w:type="paragraph" w:styleId="62">
    <w:name w:val="toc 2"/>
    <w:basedOn w:val="1"/>
    <w:next w:val="1"/>
    <w:qFormat/>
    <w:uiPriority w:val="39"/>
    <w:pPr>
      <w:tabs>
        <w:tab w:val="right" w:leader="dot" w:pos="8597"/>
      </w:tabs>
      <w:spacing w:line="360" w:lineRule="auto"/>
      <w:ind w:left="210"/>
      <w:jc w:val="left"/>
    </w:pPr>
    <w:rPr>
      <w:smallCaps/>
      <w:sz w:val="20"/>
      <w:szCs w:val="20"/>
    </w:rPr>
  </w:style>
  <w:style w:type="paragraph" w:styleId="63">
    <w:name w:val="toc 9"/>
    <w:basedOn w:val="1"/>
    <w:next w:val="1"/>
    <w:semiHidden/>
    <w:uiPriority w:val="99"/>
    <w:pPr>
      <w:ind w:left="1680"/>
      <w:jc w:val="left"/>
    </w:pPr>
    <w:rPr>
      <w:sz w:val="18"/>
      <w:szCs w:val="18"/>
    </w:rPr>
  </w:style>
  <w:style w:type="paragraph" w:styleId="64">
    <w:name w:val="Body Text 2"/>
    <w:basedOn w:val="1"/>
    <w:link w:val="234"/>
    <w:uiPriority w:val="99"/>
    <w:rPr>
      <w:rFonts w:asciiTheme="minorHAnsi" w:hAnsiTheme="minorHAnsi" w:eastAsiaTheme="minorEastAsia" w:cstheme="minorBidi"/>
    </w:rPr>
  </w:style>
  <w:style w:type="paragraph" w:styleId="65">
    <w:name w:val="List 4"/>
    <w:basedOn w:val="1"/>
    <w:qFormat/>
    <w:uiPriority w:val="99"/>
    <w:pPr>
      <w:ind w:left="100" w:leftChars="600" w:hanging="200" w:hangingChars="200"/>
    </w:pPr>
  </w:style>
  <w:style w:type="paragraph" w:styleId="66">
    <w:name w:val="List Continue 2"/>
    <w:basedOn w:val="1"/>
    <w:qFormat/>
    <w:uiPriority w:val="99"/>
    <w:pPr>
      <w:spacing w:after="120"/>
      <w:ind w:left="840" w:leftChars="400"/>
    </w:pPr>
  </w:style>
  <w:style w:type="paragraph" w:styleId="67">
    <w:name w:val="Message Header"/>
    <w:basedOn w:val="1"/>
    <w:link w:val="243"/>
    <w:semiHidden/>
    <w:uiPriority w:val="99"/>
    <w:pPr>
      <w:pBdr>
        <w:top w:val="single" w:color="auto" w:sz="6" w:space="1"/>
        <w:left w:val="single" w:color="auto" w:sz="6" w:space="1"/>
        <w:bottom w:val="single" w:color="auto" w:sz="6" w:space="1"/>
        <w:right w:val="single" w:color="auto" w:sz="6" w:space="1"/>
      </w:pBdr>
      <w:shd w:val="pct20" w:color="auto" w:fill="auto"/>
      <w:spacing w:after="200" w:line="276" w:lineRule="auto"/>
      <w:ind w:left="1080" w:leftChars="500" w:hanging="1080" w:hangingChars="500"/>
      <w:jc w:val="left"/>
    </w:pPr>
    <w:rPr>
      <w:rFonts w:ascii="Cambria" w:hAnsi="Cambria"/>
      <w:sz w:val="24"/>
    </w:rPr>
  </w:style>
  <w:style w:type="paragraph" w:styleId="68">
    <w:name w:val="HTML Preformatted"/>
    <w:basedOn w:val="1"/>
    <w:link w:val="241"/>
    <w:semiHidden/>
    <w:qFormat/>
    <w:uiPriority w:val="99"/>
    <w:pPr>
      <w:spacing w:after="200" w:line="276" w:lineRule="auto"/>
      <w:jc w:val="left"/>
    </w:pPr>
    <w:rPr>
      <w:rFonts w:ascii="Courier New" w:hAnsi="Courier New" w:cs="Courier New" w:eastAsiaTheme="minorEastAsia"/>
      <w:sz w:val="20"/>
      <w:szCs w:val="20"/>
    </w:rPr>
  </w:style>
  <w:style w:type="paragraph" w:styleId="69">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70">
    <w:name w:val="List Continue 3"/>
    <w:basedOn w:val="1"/>
    <w:qFormat/>
    <w:uiPriority w:val="99"/>
    <w:pPr>
      <w:spacing w:after="120"/>
      <w:ind w:left="1260" w:leftChars="600"/>
    </w:pPr>
  </w:style>
  <w:style w:type="paragraph" w:styleId="71">
    <w:name w:val="Title"/>
    <w:basedOn w:val="1"/>
    <w:link w:val="245"/>
    <w:qFormat/>
    <w:uiPriority w:val="0"/>
    <w:pPr>
      <w:spacing w:before="240" w:after="60" w:line="276" w:lineRule="auto"/>
      <w:jc w:val="center"/>
      <w:outlineLvl w:val="0"/>
    </w:pPr>
    <w:rPr>
      <w:rFonts w:ascii="Cambria" w:hAnsi="Cambria" w:eastAsiaTheme="minorEastAsia"/>
      <w:b/>
      <w:bCs/>
      <w:sz w:val="32"/>
      <w:szCs w:val="32"/>
    </w:rPr>
  </w:style>
  <w:style w:type="paragraph" w:styleId="72">
    <w:name w:val="annotation subject"/>
    <w:basedOn w:val="26"/>
    <w:next w:val="26"/>
    <w:link w:val="229"/>
    <w:semiHidden/>
    <w:qFormat/>
    <w:uiPriority w:val="99"/>
    <w:pPr>
      <w:spacing w:after="0" w:line="240" w:lineRule="auto"/>
    </w:pPr>
    <w:rPr>
      <w:b/>
      <w:bCs/>
      <w:sz w:val="22"/>
      <w:lang w:eastAsia="en-US"/>
    </w:rPr>
  </w:style>
  <w:style w:type="paragraph" w:styleId="73">
    <w:name w:val="Body Text First Indent"/>
    <w:basedOn w:val="31"/>
    <w:link w:val="238"/>
    <w:qFormat/>
    <w:uiPriority w:val="99"/>
    <w:pPr>
      <w:spacing w:line="400" w:lineRule="exact"/>
      <w:ind w:firstLine="200" w:firstLineChars="200"/>
    </w:pPr>
    <w:rPr>
      <w:rFonts w:asciiTheme="minorHAnsi" w:hAnsiTheme="minorHAnsi"/>
    </w:rPr>
  </w:style>
  <w:style w:type="paragraph" w:styleId="74">
    <w:name w:val="Body Text First Indent 2"/>
    <w:basedOn w:val="32"/>
    <w:link w:val="227"/>
    <w:semiHidden/>
    <w:qFormat/>
    <w:uiPriority w:val="99"/>
    <w:pPr>
      <w:spacing w:line="276" w:lineRule="auto"/>
      <w:ind w:firstLine="420" w:firstLineChars="200"/>
      <w:jc w:val="left"/>
    </w:pPr>
    <w:rPr>
      <w:rFonts w:asciiTheme="minorHAnsi" w:hAnsiTheme="minorHAnsi" w:eastAsiaTheme="minorEastAsia" w:cstheme="minorBidi"/>
    </w:rPr>
  </w:style>
  <w:style w:type="table" w:styleId="76">
    <w:name w:val="Table Grid"/>
    <w:basedOn w:val="75"/>
    <w:qFormat/>
    <w:uiPriority w:val="59"/>
    <w:pPr>
      <w:widowControl w:val="0"/>
      <w:spacing w:after="200" w:line="276" w:lineRule="auto"/>
    </w:pPr>
    <w:rPr>
      <w:rFonts w:ascii="Calibri" w:hAnsi="Calibri"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77">
    <w:name w:val="Table Theme"/>
    <w:basedOn w:val="75"/>
    <w:semiHidden/>
    <w:uiPriority w:val="99"/>
    <w:pPr>
      <w:widowControl w:val="0"/>
      <w:spacing w:after="200" w:line="276" w:lineRule="auto"/>
    </w:pPr>
    <w:rPr>
      <w:rFonts w:ascii="Calibri" w:hAnsi="Calibri" w:eastAsia="Times New Roman"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78">
    <w:name w:val="Table Colorful 1"/>
    <w:basedOn w:val="75"/>
    <w:semiHidden/>
    <w:uiPriority w:val="99"/>
    <w:pPr>
      <w:widowControl w:val="0"/>
      <w:spacing w:after="200" w:line="276" w:lineRule="auto"/>
    </w:pPr>
    <w:rPr>
      <w:rFonts w:ascii="Calibri" w:hAnsi="Calibri" w:eastAsia="Times New Roman" w:cs="Times New Roman"/>
      <w:color w:val="FFFFFF"/>
      <w:kern w:val="0"/>
      <w:sz w:val="20"/>
      <w:szCs w:val="20"/>
    </w:rPr>
    <w:tblPr>
      <w:tblBorders>
        <w:top w:val="single" w:color="008080" w:sz="12" w:space="0"/>
        <w:left w:val="single" w:color="008080" w:sz="12" w:space="0"/>
        <w:bottom w:val="single" w:color="008080" w:sz="12" w:space="0"/>
        <w:right w:val="single" w:color="008080" w:sz="12" w:space="0"/>
        <w:insideH w:val="single" w:color="00FFFF" w:sz="6" w:space="0"/>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op w:val="nil"/>
          <w:left w:val="nil"/>
          <w:bottom w:val="nil"/>
          <w:right w:val="nil"/>
          <w:insideH w:val="nil"/>
          <w:insideV w:val="nil"/>
          <w:tl2br w:val="nil"/>
          <w:tr2bl w:val="nil"/>
        </w:tcBorders>
        <w:shd w:val="solid" w:color="000000" w:fill="FFFFFF"/>
      </w:tcPr>
    </w:tblStylePr>
    <w:tblStylePr w:type="firstCol">
      <w:rPr>
        <w:rFonts w:cs="Times New Roman"/>
        <w:b/>
        <w:bCs/>
        <w:i/>
        <w:iCs/>
      </w:rPr>
      <w:tblPr/>
      <w:tcPr>
        <w:tcBorders>
          <w:top w:val="nil"/>
          <w:left w:val="nil"/>
          <w:bottom w:val="nil"/>
          <w:right w:val="nil"/>
          <w:insideH w:val="nil"/>
          <w:insideV w:val="nil"/>
          <w:tl2br w:val="nil"/>
          <w:tr2bl w:val="nil"/>
        </w:tcBorders>
        <w:shd w:val="solid" w:color="000080" w:fill="FFFFFF"/>
      </w:tcPr>
    </w:tblStylePr>
    <w:tblStylePr w:type="nwCell">
      <w:rPr>
        <w:rFonts w:cs="Times New Roman"/>
      </w:rPr>
      <w:tblPr/>
      <w:tcPr>
        <w:tcBorders>
          <w:top w:val="nil"/>
          <w:left w:val="nil"/>
          <w:bottom w:val="nil"/>
          <w:right w:val="nil"/>
          <w:insideH w:val="nil"/>
          <w:insideV w:val="nil"/>
          <w:tl2br w:val="nil"/>
          <w:tr2bl w:val="nil"/>
        </w:tcBorders>
        <w:shd w:val="solid" w:color="00000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79">
    <w:name w:val="Table Colorful 2"/>
    <w:basedOn w:val="75"/>
    <w:semiHidden/>
    <w:qFormat/>
    <w:uiPriority w:val="99"/>
    <w:pPr>
      <w:widowControl w:val="0"/>
      <w:spacing w:after="200" w:line="276" w:lineRule="auto"/>
    </w:pPr>
    <w:rPr>
      <w:rFonts w:ascii="Calibri" w:hAnsi="Calibri" w:eastAsia="Times New Roman" w:cs="Times New Roman"/>
      <w:kern w:val="0"/>
      <w:sz w:val="20"/>
      <w:szCs w:val="20"/>
    </w:rPr>
    <w:tblPr>
      <w:tblBorders>
        <w:bottom w:val="single" w:color="000000" w:sz="12" w:space="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top w:val="nil"/>
          <w:left w:val="single" w:color="000000" w:sz="12" w:space="0"/>
          <w:bottom w:val="nil"/>
          <w:right w:val="nil"/>
          <w:insideH w:val="nil"/>
          <w:insideV w:val="nil"/>
          <w:tl2br w:val="nil"/>
          <w:tr2bl w:val="nil"/>
        </w:tcBorders>
        <w:shd w:val="solid" w:color="800000" w:fill="FFFFFF"/>
      </w:tcPr>
    </w:tblStylePr>
    <w:tblStylePr w:type="firstCol">
      <w:rPr>
        <w:rFonts w:cs="Times New Roman"/>
        <w:b/>
        <w:bCs/>
        <w:i/>
        <w:iCs/>
      </w:rPr>
      <w:tblPr/>
      <w:tcPr>
        <w:tcBorders>
          <w:top w:val="nil"/>
          <w:left w:val="nil"/>
          <w:bottom w:val="nil"/>
          <w:right w:val="nil"/>
          <w:insideH w:val="nil"/>
          <w:insideV w:val="nil"/>
          <w:tl2br w:val="nil"/>
          <w:tr2bl w:val="nil"/>
        </w:tcBorders>
      </w:tcPr>
    </w:tblStylePr>
    <w:tblStylePr w:type="lastCol">
      <w:rPr>
        <w:rFonts w:cs="Times New Roman"/>
      </w:rPr>
      <w:tblPr/>
      <w:tcPr>
        <w:tcBorders>
          <w:top w:val="nil"/>
          <w:left w:val="nil"/>
          <w:bottom w:val="nil"/>
          <w:right w:val="nil"/>
          <w:insideH w:val="nil"/>
          <w:insideV w:val="nil"/>
          <w:tl2br w:val="nil"/>
          <w:tr2bl w:val="nil"/>
        </w:tcBorders>
        <w:shd w:val="solid" w:color="C0C0C0" w:fill="FFFFFF"/>
      </w:tcPr>
    </w:tblStylePr>
    <w:tblStylePr w:type="swCell">
      <w:rPr>
        <w:rFonts w:cs="Times New Roman"/>
        <w:b/>
        <w:bCs/>
        <w:i w:val="0"/>
        <w:iCs w:val="0"/>
      </w:rPr>
      <w:tblPr/>
      <w:tcPr>
        <w:tcBorders>
          <w:top w:val="nil"/>
          <w:left w:val="nil"/>
          <w:bottom w:val="nil"/>
          <w:right w:val="nil"/>
          <w:insideH w:val="nil"/>
          <w:insideV w:val="nil"/>
          <w:tl2br w:val="nil"/>
          <w:tr2bl w:val="nil"/>
        </w:tcBorders>
      </w:tcPr>
    </w:tblStylePr>
  </w:style>
  <w:style w:type="table" w:styleId="80">
    <w:name w:val="Table Colorful 3"/>
    <w:basedOn w:val="75"/>
    <w:semiHidden/>
    <w:uiPriority w:val="99"/>
    <w:pPr>
      <w:widowControl w:val="0"/>
      <w:spacing w:after="200" w:line="276" w:lineRule="auto"/>
    </w:pPr>
    <w:rPr>
      <w:rFonts w:ascii="Calibri" w:hAnsi="Calibri" w:eastAsia="Times New Roman" w:cs="Times New Roman"/>
      <w:kern w:val="0"/>
      <w:sz w:val="20"/>
      <w:szCs w:val="20"/>
    </w:rPr>
    <w:tblPr>
      <w:tblBorders>
        <w:top w:val="single" w:color="000000" w:sz="18" w:space="0"/>
        <w:left w:val="single" w:color="000000" w:sz="18" w:space="0"/>
        <w:bottom w:val="single" w:color="000000" w:sz="18" w:space="0"/>
        <w:right w:val="single" w:color="000000" w:sz="18" w:space="0"/>
        <w:insideH w:val="single" w:color="C0C0C0" w:sz="6" w:space="0"/>
      </w:tblBorders>
      <w:tblCellMar>
        <w:top w:w="0" w:type="dxa"/>
        <w:left w:w="108" w:type="dxa"/>
        <w:bottom w:w="0" w:type="dxa"/>
        <w:right w:w="108" w:type="dxa"/>
      </w:tblCellMar>
    </w:tblPr>
    <w:tcPr>
      <w:shd w:val="pct25" w:color="008080" w:fill="FFFFFF"/>
    </w:tcPr>
    <w:tblStylePr w:type="firstRow">
      <w:rPr>
        <w:rFonts w:cs="Times New Roman"/>
      </w:rPr>
      <w:tblPr/>
      <w:tcPr>
        <w:tcBorders>
          <w:top w:val="nil"/>
          <w:left w:val="single" w:color="000000" w:sz="6" w:space="0"/>
          <w:bottom w:val="nil"/>
          <w:right w:val="nil"/>
          <w:insideH w:val="nil"/>
          <w:insideV w:val="nil"/>
          <w:tl2br w:val="nil"/>
          <w:tr2bl w:val="nil"/>
        </w:tcBorders>
        <w:shd w:val="solid" w:color="008080" w:fill="FFFFFF"/>
      </w:tcPr>
    </w:tblStylePr>
    <w:tblStylePr w:type="firstCol">
      <w:rPr>
        <w:rFonts w:cs="Times New Roman"/>
      </w:rPr>
      <w:tblPr/>
      <w:tcPr>
        <w:tcBorders>
          <w:top w:val="nil"/>
          <w:left w:val="nil"/>
          <w:bottom w:val="single" w:color="000000" w:sz="36" w:space="0"/>
          <w:right w:val="single" w:color="000000" w:sz="6" w:space="0"/>
          <w:insideH w:val="nil"/>
          <w:insideV w:val="nil"/>
          <w:tl2br w:val="nil"/>
          <w:tr2bl w:val="nil"/>
        </w:tcBorders>
        <w:shd w:val="solid" w:color="008080" w:fill="FFFFFF"/>
      </w:tcPr>
    </w:tblStylePr>
    <w:tblStylePr w:type="nwCell">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1">
    <w:name w:val="Table Elegant"/>
    <w:basedOn w:val="75"/>
    <w:semiHidden/>
    <w:uiPriority w:val="99"/>
    <w:pPr>
      <w:widowControl w:val="0"/>
      <w:spacing w:after="200" w:line="276" w:lineRule="auto"/>
    </w:pPr>
    <w:rPr>
      <w:rFonts w:ascii="Calibri" w:hAnsi="Calibri" w:eastAsia="Times New Roman" w:cs="Times New Roman"/>
      <w:kern w:val="0"/>
      <w:sz w:val="20"/>
      <w:szCs w:val="20"/>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table" w:styleId="82">
    <w:name w:val="Table Classic 1"/>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bottom w:val="single" w:color="000000" w:sz="12" w:space="0"/>
      </w:tblBorders>
      <w:tblCellMar>
        <w:top w:w="0" w:type="dxa"/>
        <w:left w:w="108" w:type="dxa"/>
        <w:bottom w:w="0" w:type="dxa"/>
        <w:right w:w="108" w:type="dxa"/>
      </w:tblCellMar>
    </w:tblPr>
    <w:tblStylePr w:type="firstRow">
      <w:rPr>
        <w:rFonts w:cs="Times New Roman"/>
        <w:i/>
        <w:i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6" w:space="0"/>
          <w:insideH w:val="nil"/>
          <w:insideV w:val="nil"/>
          <w:tl2br w:val="nil"/>
          <w:tr2bl w:val="nil"/>
        </w:tcBorders>
      </w:tcPr>
    </w:tblStylePr>
    <w:tblStylePr w:type="neCell">
      <w:rPr>
        <w:rFonts w:cs="Times New Roman"/>
        <w:b/>
        <w:bCs/>
        <w:i w:val="0"/>
        <w:iCs w:val="0"/>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3">
    <w:name w:val="Table Classic 2"/>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bottom w:val="single" w:color="000000" w:sz="12" w:space="0"/>
      </w:tblBorders>
      <w:tblCellMar>
        <w:top w:w="0" w:type="dxa"/>
        <w:left w:w="108" w:type="dxa"/>
        <w:bottom w:w="0" w:type="dxa"/>
        <w:right w:w="108" w:type="dxa"/>
      </w:tblCellMar>
    </w:tblPr>
    <w:tblStylePr w:type="firstRow">
      <w:rPr>
        <w:rFonts w:cs="Times New Roman"/>
        <w:color w:val="FFFFFF"/>
      </w:rPr>
      <w:tblPr/>
      <w:tcPr>
        <w:tcBorders>
          <w:top w:val="nil"/>
          <w:left w:val="single" w:color="000000" w:sz="6" w:space="0"/>
          <w:bottom w:val="nil"/>
          <w:right w:val="nil"/>
          <w:insideH w:val="nil"/>
          <w:insideV w:val="nil"/>
          <w:tl2br w:val="nil"/>
          <w:tr2bl w:val="nil"/>
        </w:tcBorders>
        <w:shd w:val="solid" w:color="80008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shd w:val="solid" w:color="C0C0C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shd w:val="solid" w:color="800080" w:fill="FFFFFF"/>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4">
    <w:name w:val="Table Classic 3"/>
    <w:basedOn w:val="75"/>
    <w:semiHidden/>
    <w:qFormat/>
    <w:uiPriority w:val="99"/>
    <w:pPr>
      <w:widowControl w:val="0"/>
      <w:spacing w:after="200" w:line="276" w:lineRule="auto"/>
    </w:pPr>
    <w:rPr>
      <w:rFonts w:ascii="Calibri" w:hAnsi="Calibri" w:eastAsia="Times New Roman" w:cs="Times New Roman"/>
      <w:color w:val="000080"/>
      <w:kern w:val="0"/>
      <w:sz w:val="20"/>
      <w:szCs w:val="2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solid" w:color="000080" w:fill="FFFFFF"/>
      </w:tcPr>
    </w:tblStylePr>
    <w:tblStylePr w:type="lastRow">
      <w:rPr>
        <w:rFonts w:cs="Times New Roman"/>
        <w:color w:val="000080"/>
      </w:rPr>
      <w:tblPr/>
      <w:tcPr>
        <w:tcBorders>
          <w:top w:val="single" w:color="000000" w:sz="12" w:space="0"/>
          <w:left w:val="nil"/>
          <w:bottom w:val="nil"/>
          <w:right w:val="nil"/>
          <w:insideH w:val="nil"/>
          <w:insideV w:val="nil"/>
          <w:tl2br w:val="nil"/>
          <w:tr2bl w:val="nil"/>
        </w:tcBorders>
        <w:shd w:val="solid" w:color="FFFFFF" w:fill="FFFFFF"/>
      </w:tcPr>
    </w:tblStylePr>
    <w:tblStylePr w:type="firstCol">
      <w:rPr>
        <w:rFonts w:cs="Times New Roman"/>
        <w:b/>
        <w:bCs/>
        <w:color w:val="000000"/>
      </w:rPr>
      <w:tblPr/>
      <w:tcPr>
        <w:tcBorders>
          <w:top w:val="nil"/>
          <w:left w:val="nil"/>
          <w:bottom w:val="nil"/>
          <w:right w:val="nil"/>
          <w:insideH w:val="nil"/>
          <w:insideV w:val="nil"/>
          <w:tl2br w:val="nil"/>
          <w:tr2bl w:val="nil"/>
        </w:tcBorders>
      </w:tcPr>
    </w:tblStylePr>
  </w:style>
  <w:style w:type="table" w:styleId="85">
    <w:name w:val="Table Classic 4"/>
    <w:basedOn w:val="75"/>
    <w:semiHidden/>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left w:val="single" w:color="000000" w:sz="6" w:space="0"/>
        <w:bottom w:val="single" w:color="000000" w:sz="12" w:space="0"/>
        <w:right w:val="single" w:color="000000" w:sz="6" w:space="0"/>
      </w:tblBorders>
      <w:tblCellMar>
        <w:top w:w="0" w:type="dxa"/>
        <w:left w:w="108" w:type="dxa"/>
        <w:bottom w:w="0" w:type="dxa"/>
        <w:right w:w="108" w:type="dxa"/>
      </w:tblCellMar>
    </w:tblPr>
    <w:tblStylePr w:type="firstRow">
      <w:rPr>
        <w:rFonts w:cs="Times New Roman"/>
        <w:b/>
        <w:bCs/>
        <w:i/>
        <w:iCs/>
        <w:color w:val="FFFFFF"/>
      </w:rPr>
      <w:tblPr/>
      <w:tcPr>
        <w:tcBorders>
          <w:top w:val="nil"/>
          <w:left w:val="single" w:color="000000" w:sz="6" w:space="0"/>
          <w:bottom w:val="nil"/>
          <w:right w:val="nil"/>
          <w:insideH w:val="nil"/>
          <w:insideV w:val="nil"/>
          <w:tl2br w:val="nil"/>
          <w:tr2bl w:val="nil"/>
        </w:tcBorders>
        <w:shd w:val="pct50" w:color="000080" w:fill="FFFFFF"/>
      </w:tcPr>
    </w:tblStylePr>
    <w:tblStylePr w:type="lastRow">
      <w:rPr>
        <w:rFonts w:cs="Times New Roman"/>
        <w:color w:val="000080"/>
      </w:rPr>
      <w:tblPr/>
      <w:tcPr>
        <w:tcBorders>
          <w:top w:val="nil"/>
          <w:left w:val="single" w:color="000000" w:sz="6" w:space="0"/>
          <w:bottom w:val="nil"/>
          <w:right w:val="nil"/>
          <w:insideH w:val="nil"/>
          <w:insideV w:val="nil"/>
          <w:tl2br w:val="nil"/>
          <w:tr2bl w:val="nil"/>
        </w:tcBorders>
        <w:shd w:val="pct50" w:color="000000" w:fill="FFFFFF"/>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86">
    <w:name w:val="Table Simple 1"/>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8000" w:sz="12" w:space="0"/>
        <w:bottom w:val="single" w:color="008000" w:sz="12" w:space="0"/>
      </w:tblBorders>
      <w:tblCellMar>
        <w:top w:w="0" w:type="dxa"/>
        <w:left w:w="108" w:type="dxa"/>
        <w:bottom w:w="0" w:type="dxa"/>
        <w:right w:w="108" w:type="dxa"/>
      </w:tblCellMar>
    </w:tblPr>
    <w:tblStylePr w:type="firstRow">
      <w:rPr>
        <w:rFonts w:cs="Times New Roman"/>
      </w:rPr>
      <w:tblPr/>
      <w:tcPr>
        <w:tcBorders>
          <w:top w:val="nil"/>
          <w:left w:val="single" w:color="008000" w:sz="6" w:space="0"/>
          <w:bottom w:val="nil"/>
          <w:right w:val="nil"/>
          <w:insideH w:val="nil"/>
          <w:insideV w:val="nil"/>
          <w:tl2br w:val="nil"/>
          <w:tr2bl w:val="nil"/>
        </w:tcBorders>
      </w:tcPr>
    </w:tblStylePr>
    <w:tblStylePr w:type="lastRow">
      <w:rPr>
        <w:rFonts w:cs="Times New Roman"/>
      </w:rPr>
      <w:tblPr/>
      <w:tcPr>
        <w:tcBorders>
          <w:top w:val="single" w:color="008000" w:sz="6" w:space="0"/>
          <w:left w:val="nil"/>
          <w:bottom w:val="nil"/>
          <w:right w:val="nil"/>
          <w:insideH w:val="nil"/>
          <w:insideV w:val="nil"/>
          <w:tl2br w:val="nil"/>
          <w:tr2bl w:val="nil"/>
        </w:tcBorders>
      </w:tcPr>
    </w:tblStylePr>
  </w:style>
  <w:style w:type="table" w:styleId="87">
    <w:name w:val="Table Simple 2"/>
    <w:basedOn w:val="75"/>
    <w:semiHidden/>
    <w:qFormat/>
    <w:uiPriority w:val="99"/>
    <w:pPr>
      <w:widowControl w:val="0"/>
      <w:spacing w:after="200" w:line="276" w:lineRule="auto"/>
    </w:pPr>
    <w:rPr>
      <w:rFonts w:ascii="Calibri" w:hAnsi="Calibri" w:eastAsia="Times New Roman" w:cs="Times New Roman"/>
      <w:kern w:val="0"/>
      <w:sz w:val="20"/>
      <w:szCs w:val="20"/>
    </w:rPr>
    <w:tblPr>
      <w:tblCellMar>
        <w:top w:w="0" w:type="dxa"/>
        <w:left w:w="108" w:type="dxa"/>
        <w:bottom w:w="0" w:type="dxa"/>
        <w:right w:w="108" w:type="dxa"/>
      </w:tblCellMar>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lastCol">
      <w:rPr>
        <w:rFonts w:cs="Times New Roman"/>
        <w:b/>
        <w:bCs/>
      </w:rPr>
      <w:tblPr/>
      <w:tcPr>
        <w:tcBorders>
          <w:top w:val="nil"/>
          <w:left w:val="nil"/>
          <w:bottom w:val="single" w:color="000000" w:sz="6" w:space="0"/>
          <w:right w:val="nil"/>
          <w:insideH w:val="nil"/>
          <w:insideV w:val="nil"/>
          <w:tl2br w:val="nil"/>
          <w:tr2bl w:val="nil"/>
        </w:tcBorders>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88">
    <w:name w:val="Table Simple 3"/>
    <w:basedOn w:val="75"/>
    <w:semiHidden/>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rFonts w:cs="Times New Roman"/>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89">
    <w:name w:val="Table Subtle 1"/>
    <w:basedOn w:val="75"/>
    <w:semiHidden/>
    <w:qFormat/>
    <w:uiPriority w:val="99"/>
    <w:pPr>
      <w:widowControl w:val="0"/>
      <w:spacing w:after="200" w:line="276" w:lineRule="auto"/>
    </w:pPr>
    <w:rPr>
      <w:rFonts w:ascii="Calibri" w:hAnsi="Calibri" w:eastAsia="Times New Roman" w:cs="Times New Roman"/>
      <w:kern w:val="0"/>
      <w:sz w:val="20"/>
      <w:szCs w:val="20"/>
    </w:rPr>
    <w:tblPr>
      <w:tblCellMar>
        <w:top w:w="0" w:type="dxa"/>
        <w:left w:w="108" w:type="dxa"/>
        <w:bottom w:w="0" w:type="dxa"/>
        <w:right w:w="108" w:type="dxa"/>
      </w:tblCellMar>
    </w:tblPr>
    <w:tblStylePr w:type="firstRow">
      <w:rPr>
        <w:rFonts w:cs="Times New Roman"/>
      </w:rPr>
      <w:tblPr/>
      <w:tcPr>
        <w:tcBorders>
          <w:top w:val="single" w:color="000000" w:sz="6" w:space="0"/>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shd w:val="pct25" w:color="800080" w:fill="FFFFFF"/>
      </w:tcPr>
    </w:tblStylePr>
    <w:tblStylePr w:type="firstCol">
      <w:rPr>
        <w:rFonts w:cs="Times New Roman"/>
      </w:rPr>
      <w:tblPr/>
      <w:tcPr>
        <w:tcBorders>
          <w:top w:val="nil"/>
          <w:left w:val="nil"/>
          <w:bottom w:val="nil"/>
          <w:right w:val="single" w:color="000000" w:sz="12" w:space="0"/>
          <w:insideH w:val="nil"/>
          <w:insideV w:val="nil"/>
          <w:tl2br w:val="nil"/>
          <w:tr2bl w:val="nil"/>
        </w:tcBorders>
      </w:tcPr>
    </w:tblStylePr>
    <w:tblStylePr w:type="lastCol">
      <w:rPr>
        <w:rFonts w:cs="Times New Roman"/>
      </w:rPr>
      <w:tblPr/>
      <w:tcPr>
        <w:tcBorders>
          <w:top w:val="nil"/>
          <w:left w:val="nil"/>
          <w:bottom w:val="single" w:color="000000" w:sz="12" w:space="0"/>
          <w:right w:val="nil"/>
          <w:insideH w:val="nil"/>
          <w:insideV w:val="nil"/>
          <w:tl2br w:val="nil"/>
          <w:tr2bl w:val="nil"/>
        </w:tcBorders>
      </w:tcPr>
    </w:tblStylePr>
    <w:tblStylePr w:type="band1Horz">
      <w:rPr>
        <w:rFonts w:cs="Times New Roman"/>
      </w:rPr>
      <w:tblPr/>
      <w:tcPr>
        <w:tcBorders>
          <w:top w:val="nil"/>
          <w:left w:val="single" w:color="000000" w:sz="6" w:space="0"/>
          <w:bottom w:val="nil"/>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0">
    <w:name w:val="Table Subtle 2"/>
    <w:basedOn w:val="75"/>
    <w:semiHidden/>
    <w:qFormat/>
    <w:uiPriority w:val="99"/>
    <w:pPr>
      <w:widowControl w:val="0"/>
      <w:spacing w:after="200" w:line="276" w:lineRule="auto"/>
    </w:pPr>
    <w:rPr>
      <w:rFonts w:ascii="Calibri" w:hAnsi="Calibri" w:eastAsia="Times New Roman" w:cs="Times New Roman"/>
      <w:kern w:val="0"/>
      <w:sz w:val="20"/>
      <w:szCs w:val="20"/>
    </w:rPr>
    <w:tblPr>
      <w:tblBorders>
        <w:left w:val="single" w:color="000000" w:sz="6" w:space="0"/>
        <w:right w:val="single" w:color="000000" w:sz="6" w:space="0"/>
      </w:tblBorders>
      <w:tblCellMar>
        <w:top w:w="0" w:type="dxa"/>
        <w:left w:w="108" w:type="dxa"/>
        <w:bottom w:w="0" w:type="dxa"/>
        <w:right w:w="108" w:type="dxa"/>
      </w:tblCellMar>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000000" w:sz="12" w:space="0"/>
          <w:insideH w:val="nil"/>
          <w:insideV w:val="nil"/>
          <w:tl2br w:val="nil"/>
          <w:tr2bl w:val="nil"/>
        </w:tcBorders>
        <w:shd w:val="pct25" w:color="008000" w:fill="FFFFFF"/>
      </w:tcPr>
    </w:tblStylePr>
    <w:tblStylePr w:type="lastCol">
      <w:rPr>
        <w:rFonts w:cs="Times New Roman"/>
      </w:rPr>
      <w:tblPr/>
      <w:tcPr>
        <w:tcBorders>
          <w:top w:val="nil"/>
          <w:left w:val="nil"/>
          <w:bottom w:val="single" w:color="000000" w:sz="12" w:space="0"/>
          <w:right w:val="nil"/>
          <w:insideH w:val="nil"/>
          <w:insideV w:val="nil"/>
          <w:tl2br w:val="nil"/>
          <w:tr2bl w:val="nil"/>
        </w:tcBorders>
        <w:shd w:val="pct25" w:color="8080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1">
    <w:name w:val="Table 3D effects 1"/>
    <w:basedOn w:val="75"/>
    <w:semiHidden/>
    <w:qFormat/>
    <w:uiPriority w:val="99"/>
    <w:pPr>
      <w:widowControl w:val="0"/>
      <w:spacing w:after="200" w:line="276" w:lineRule="auto"/>
    </w:pPr>
    <w:rPr>
      <w:rFonts w:ascii="Calibri" w:hAnsi="Calibri" w:eastAsia="Times New Roman" w:cs="Times New Roman"/>
      <w:kern w:val="0"/>
      <w:sz w:val="20"/>
      <w:szCs w:val="20"/>
    </w:rPr>
    <w:tblPr>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top w:val="nil"/>
          <w:left w:val="single" w:color="808080" w:sz="6" w:space="0"/>
          <w:bottom w:val="nil"/>
          <w:right w:val="nil"/>
          <w:insideH w:val="nil"/>
          <w:insideV w:val="nil"/>
          <w:tl2br w:val="nil"/>
          <w:tr2bl w:val="nil"/>
        </w:tcBorders>
      </w:tcPr>
    </w:tblStylePr>
    <w:tblStylePr w:type="lastRow">
      <w:rPr>
        <w:rFonts w:cs="Times New Roman"/>
      </w:rPr>
      <w:tblPr/>
      <w:tcPr>
        <w:tcBorders>
          <w:top w:val="single" w:color="FFFFFF"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single" w:color="FFFFFF" w:sz="6" w:space="0"/>
          <w:right w:val="nil"/>
          <w:insideH w:val="nil"/>
          <w:insideV w:val="nil"/>
          <w:tl2br w:val="nil"/>
          <w:tr2bl w:val="nil"/>
        </w:tcBorders>
      </w:tcPr>
    </w:tblStylePr>
    <w:tblStylePr w:type="neCell">
      <w:rPr>
        <w:rFonts w:cs="Times New Roman"/>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nil"/>
          <w:tr2bl w:val="nil"/>
        </w:tcBorders>
      </w:tcPr>
    </w:tblStylePr>
    <w:tblStylePr w:type="seCell">
      <w:rPr>
        <w:rFonts w:cs="Times New Roman"/>
      </w:rPr>
      <w:tblPr/>
      <w:tcPr>
        <w:tcBorders>
          <w:top w:val="nil"/>
          <w:left w:val="nil"/>
          <w:bottom w:val="nil"/>
          <w:right w:val="nil"/>
          <w:insideH w:val="nil"/>
          <w:insideV w:val="nil"/>
          <w:tl2br w:val="nil"/>
          <w:tr2bl w:val="nil"/>
        </w:tcBorders>
      </w:tcPr>
    </w:tblStylePr>
    <w:tblStylePr w:type="swCell">
      <w:rPr>
        <w:rFonts w:cs="Times New Roman"/>
        <w:color w:val="000080"/>
      </w:rPr>
      <w:tblPr/>
      <w:tcPr>
        <w:tcBorders>
          <w:top w:val="nil"/>
          <w:left w:val="nil"/>
          <w:bottom w:val="nil"/>
          <w:right w:val="nil"/>
          <w:insideH w:val="nil"/>
          <w:insideV w:val="nil"/>
          <w:tl2br w:val="nil"/>
          <w:tr2bl w:val="nil"/>
        </w:tcBorders>
      </w:tcPr>
    </w:tblStylePr>
  </w:style>
  <w:style w:type="table" w:styleId="92">
    <w:name w:val="Table 3D effects 2"/>
    <w:basedOn w:val="75"/>
    <w:semiHidden/>
    <w:uiPriority w:val="99"/>
    <w:pPr>
      <w:widowControl w:val="0"/>
      <w:spacing w:after="200" w:line="276" w:lineRule="auto"/>
    </w:pPr>
    <w:rPr>
      <w:rFonts w:ascii="Calibri" w:hAnsi="Calibri" w:eastAsia="Times New Roman" w:cs="Times New Roman"/>
      <w:kern w:val="0"/>
      <w:sz w:val="20"/>
      <w:szCs w:val="20"/>
    </w:rPr>
    <w:tblPr>
      <w:tblCellMar>
        <w:top w:w="0" w:type="dxa"/>
        <w:left w:w="108" w:type="dxa"/>
        <w:bottom w:w="0" w:type="dxa"/>
        <w:right w:w="108" w:type="dxa"/>
      </w:tblCellMar>
    </w:tblPr>
    <w:tcPr>
      <w:shd w:val="solid" w:color="C0C0C0" w:fill="FFFFFF"/>
    </w:tc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3">
    <w:name w:val="Table 3D effects 3"/>
    <w:basedOn w:val="75"/>
    <w:semiHidden/>
    <w:uiPriority w:val="99"/>
    <w:pPr>
      <w:widowControl w:val="0"/>
      <w:spacing w:after="200" w:line="276" w:lineRule="auto"/>
    </w:pPr>
    <w:rPr>
      <w:rFonts w:ascii="Calibri" w:hAnsi="Calibri" w:eastAsia="Times New Roman" w:cs="Times New Roman"/>
      <w:kern w:val="0"/>
      <w:sz w:val="20"/>
      <w:szCs w:val="20"/>
    </w:rPr>
    <w:tblPr>
      <w:tblCellMar>
        <w:top w:w="0" w:type="dxa"/>
        <w:left w:w="108" w:type="dxa"/>
        <w:bottom w:w="0" w:type="dxa"/>
        <w:right w:w="108" w:type="dxa"/>
      </w:tblCellMar>
    </w:tblPr>
    <w:tblStylePr w:type="firstRow">
      <w:rPr>
        <w:rFonts w:cs="Times New Roman"/>
        <w:b/>
        <w:bCs/>
      </w:rPr>
      <w:tblPr/>
      <w:tcPr>
        <w:tcBorders>
          <w:top w:val="nil"/>
          <w:left w:val="nil"/>
          <w:bottom w:val="nil"/>
          <w:right w:val="nil"/>
          <w:insideH w:val="nil"/>
          <w:insideV w:val="nil"/>
          <w:tl2br w:val="nil"/>
          <w:tr2bl w:val="nil"/>
        </w:tcBorders>
      </w:tcPr>
    </w:tblStylePr>
    <w:tblStylePr w:type="firstCol">
      <w:rPr>
        <w:rFonts w:cs="Times New Roman"/>
      </w:rPr>
      <w:tblPr/>
      <w:tcPr>
        <w:tcBorders>
          <w:top w:val="nil"/>
          <w:left w:val="nil"/>
          <w:bottom w:val="nil"/>
          <w:right w:val="single" w:color="808080" w:sz="6" w:space="0"/>
          <w:insideH w:val="nil"/>
          <w:insideV w:val="nil"/>
          <w:tl2br w:val="nil"/>
          <w:tr2bl w:val="nil"/>
        </w:tcBorders>
      </w:tcPr>
    </w:tblStylePr>
    <w:tblStylePr w:type="lastCol">
      <w:rPr>
        <w:rFonts w:cs="Times New Roman"/>
      </w:rPr>
      <w:tblPr/>
      <w:tcPr>
        <w:tcBorders>
          <w:top w:val="nil"/>
          <w:left w:val="nil"/>
          <w:bottom w:val="nil"/>
          <w:right w:val="single" w:color="FFFFFF" w:sz="6" w:space="0"/>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color="808080" w:sz="6" w:space="0"/>
          <w:left w:val="single" w:color="FFFFFF" w:sz="6" w:space="0"/>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4">
    <w:name w:val="Table List 1"/>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8080" w:sz="12" w:space="0"/>
        <w:left w:val="single" w:color="008080" w:sz="6" w:space="0"/>
        <w:bottom w:val="single" w:color="008080" w:sz="12" w:space="0"/>
        <w:right w:val="single" w:color="008080" w:sz="6" w:space="0"/>
      </w:tblBorders>
      <w:tblCellMar>
        <w:top w:w="0" w:type="dxa"/>
        <w:left w:w="108" w:type="dxa"/>
        <w:bottom w:w="0" w:type="dxa"/>
        <w:right w:w="108" w:type="dxa"/>
      </w:tblCellMar>
    </w:tblPr>
    <w:tblStylePr w:type="firstRow">
      <w:rPr>
        <w:rFonts w:cs="Times New Roman"/>
        <w:b/>
        <w:bCs/>
        <w:i/>
        <w:iCs/>
        <w:color w:val="800000"/>
      </w:rPr>
      <w:tblPr/>
      <w:tcPr>
        <w:tcBorders>
          <w:top w:val="nil"/>
          <w:left w:val="single" w:color="000000" w:sz="6" w:space="0"/>
          <w:bottom w:val="nil"/>
          <w:right w:val="nil"/>
          <w:insideH w:val="nil"/>
          <w:insideV w:val="nil"/>
          <w:tl2br w:val="nil"/>
          <w:tr2bl w:val="nil"/>
        </w:tcBorders>
        <w:shd w:val="solid" w:color="C0C0C0" w:fill="FFFFFF"/>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5">
    <w:name w:val="Table List 2"/>
    <w:basedOn w:val="75"/>
    <w:semiHidden/>
    <w:qFormat/>
    <w:uiPriority w:val="99"/>
    <w:pPr>
      <w:widowControl w:val="0"/>
      <w:spacing w:after="200" w:line="276" w:lineRule="auto"/>
    </w:pPr>
    <w:rPr>
      <w:rFonts w:ascii="Calibri" w:hAnsi="Calibri" w:eastAsia="Times New Roman" w:cs="Times New Roman"/>
      <w:kern w:val="0"/>
      <w:sz w:val="20"/>
      <w:szCs w:val="20"/>
    </w:rPr>
    <w:tblPr>
      <w:tblBorders>
        <w:bottom w:val="single" w:color="808080" w:sz="12" w:space="0"/>
      </w:tblBorders>
      <w:tblCellMar>
        <w:top w:w="0" w:type="dxa"/>
        <w:left w:w="108" w:type="dxa"/>
        <w:bottom w:w="0" w:type="dxa"/>
        <w:right w:w="108" w:type="dxa"/>
      </w:tblCellMar>
    </w:tblPr>
    <w:tblStylePr w:type="firstRow">
      <w:rPr>
        <w:rFonts w:cs="Times New Roman"/>
        <w:b/>
        <w:bCs/>
        <w:color w:val="FFFFFF"/>
      </w:rPr>
      <w:tblPr/>
      <w:tcPr>
        <w:tcBorders>
          <w:top w:val="nil"/>
          <w:left w:val="single" w:color="000000" w:sz="6" w:space="0"/>
          <w:bottom w:val="nil"/>
          <w:right w:val="nil"/>
          <w:insideH w:val="nil"/>
          <w:insideV w:val="nil"/>
          <w:tl2br w:val="nil"/>
          <w:tr2bl w:val="nil"/>
        </w:tcBorders>
        <w:shd w:val="pct75" w:color="008080" w:fill="008000"/>
      </w:tcPr>
    </w:tblStylePr>
    <w:tblStylePr w:type="lastRow">
      <w:rPr>
        <w:rFonts w:cs="Times New Roman"/>
      </w:rPr>
      <w:tblPr/>
      <w:tcPr>
        <w:tcBorders>
          <w:top w:val="single" w:color="000000" w:sz="6" w:space="0"/>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Times New Roman"/>
        <w:color w:val="auto"/>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96">
    <w:name w:val="Table List 3"/>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bottom w:val="single" w:color="000000" w:sz="12" w:space="0"/>
        <w:insideH w:val="single" w:color="000000" w:sz="6" w:space="0"/>
      </w:tblBorders>
      <w:tblCellMar>
        <w:top w:w="0" w:type="dxa"/>
        <w:left w:w="108" w:type="dxa"/>
        <w:bottom w:w="0" w:type="dxa"/>
        <w:right w:w="108" w:type="dxa"/>
      </w:tblCellMar>
    </w:tblPr>
    <w:tblStylePr w:type="firstRow">
      <w:rPr>
        <w:rFonts w:cs="Times New Roman"/>
        <w:b/>
        <w:bCs/>
        <w:color w:val="000080"/>
      </w:rPr>
      <w:tblPr/>
      <w:tcPr>
        <w:tcBorders>
          <w:top w:val="nil"/>
          <w:left w:val="single" w:color="000000" w:sz="12" w:space="0"/>
          <w:bottom w:val="nil"/>
          <w:right w:val="nil"/>
          <w:insideH w:val="nil"/>
          <w:insideV w:val="nil"/>
          <w:tl2br w:val="nil"/>
          <w:tr2bl w:val="nil"/>
        </w:tcBorders>
      </w:tcPr>
    </w:tblStylePr>
    <w:tblStylePr w:type="lastRow">
      <w:rPr>
        <w:rFonts w:cs="Times New Roman"/>
      </w:rPr>
      <w:tblPr/>
      <w:tcPr>
        <w:tcBorders>
          <w:top w:val="single" w:color="000000" w:sz="12" w:space="0"/>
          <w:left w:val="nil"/>
          <w:bottom w:val="nil"/>
          <w:right w:val="nil"/>
          <w:insideH w:val="nil"/>
          <w:insideV w:val="nil"/>
          <w:tl2br w:val="nil"/>
          <w:tr2bl w:val="nil"/>
        </w:tcBorders>
      </w:tcPr>
    </w:tblStylePr>
    <w:tblStylePr w:type="swCell">
      <w:rPr>
        <w:rFonts w:cs="Times New Roman"/>
        <w:i/>
        <w:iCs/>
        <w:color w:val="000080"/>
      </w:rPr>
      <w:tblPr/>
      <w:tcPr>
        <w:tcBorders>
          <w:top w:val="nil"/>
          <w:left w:val="nil"/>
          <w:bottom w:val="nil"/>
          <w:right w:val="nil"/>
          <w:insideH w:val="nil"/>
          <w:insideV w:val="nil"/>
          <w:tl2br w:val="nil"/>
          <w:tr2bl w:val="nil"/>
        </w:tcBorders>
      </w:tcPr>
    </w:tblStylePr>
  </w:style>
  <w:style w:type="table" w:styleId="97">
    <w:name w:val="Table List 4"/>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tblBorders>
      <w:tblCellMar>
        <w:top w:w="0" w:type="dxa"/>
        <w:left w:w="108" w:type="dxa"/>
        <w:bottom w:w="0" w:type="dxa"/>
        <w:right w:w="108" w:type="dxa"/>
      </w:tblCellMar>
    </w:tblPr>
    <w:tblStylePr w:type="firstRow">
      <w:rPr>
        <w:rFonts w:cs="Times New Roman"/>
        <w:b/>
        <w:bCs/>
        <w:color w:val="FFFFFF"/>
      </w:rPr>
      <w:tblPr/>
      <w:tcPr>
        <w:tcBorders>
          <w:top w:val="nil"/>
          <w:left w:val="single" w:color="000000" w:sz="12" w:space="0"/>
          <w:bottom w:val="nil"/>
          <w:right w:val="nil"/>
          <w:insideH w:val="nil"/>
          <w:insideV w:val="nil"/>
          <w:tl2br w:val="nil"/>
          <w:tr2bl w:val="nil"/>
        </w:tcBorders>
        <w:shd w:val="solid" w:color="808080" w:fill="FFFFFF"/>
      </w:tcPr>
    </w:tblStylePr>
  </w:style>
  <w:style w:type="table" w:styleId="98">
    <w:name w:val="Table List 5"/>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tblBorders>
      <w:tblCellMar>
        <w:top w:w="0" w:type="dxa"/>
        <w:left w:w="108" w:type="dxa"/>
        <w:bottom w:w="0" w:type="dxa"/>
        <w:right w:w="108" w:type="dxa"/>
      </w:tblCellMar>
    </w:tbl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style>
  <w:style w:type="table" w:styleId="99">
    <w:name w:val="Table List 6"/>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6" w:space="0"/>
        <w:left w:val="single" w:color="000000" w:sz="6" w:space="0"/>
        <w:bottom w:val="single" w:color="000000" w:sz="6" w:space="0"/>
        <w:right w:val="single" w:color="000000" w:sz="6" w:space="0"/>
      </w:tblBorders>
      <w:tblCellMar>
        <w:top w:w="0" w:type="dxa"/>
        <w:left w:w="108" w:type="dxa"/>
        <w:bottom w:w="0" w:type="dxa"/>
        <w:right w:w="108" w:type="dxa"/>
      </w:tblCellMar>
    </w:tblPr>
    <w:tcPr>
      <w:shd w:val="pct50" w:color="000000" w:fill="FFFFFF"/>
    </w:tcPr>
    <w:tblStylePr w:type="firstRow">
      <w:rPr>
        <w:rFonts w:cs="Times New Roman"/>
        <w:b/>
        <w:bCs/>
      </w:rPr>
      <w:tblPr/>
      <w:tcPr>
        <w:tcBorders>
          <w:top w:val="nil"/>
          <w:left w:val="single" w:color="000000" w:sz="12" w:space="0"/>
          <w:bottom w:val="nil"/>
          <w:right w:val="nil"/>
          <w:insideH w:val="nil"/>
          <w:insideV w:val="nil"/>
          <w:tl2br w:val="nil"/>
          <w:tr2bl w:val="nil"/>
        </w:tcBorders>
      </w:tcPr>
    </w:tblStylePr>
    <w:tblStylePr w:type="firstCol">
      <w:rPr>
        <w:rFonts w:cs="Times New Roman"/>
        <w:b/>
        <w:bCs/>
      </w:rPr>
      <w:tblPr/>
      <w:tcPr>
        <w:tcBorders>
          <w:top w:val="nil"/>
          <w:left w:val="nil"/>
          <w:bottom w:val="nil"/>
          <w:right w:val="single" w:color="000000" w:sz="12" w:space="0"/>
          <w:insideH w:val="nil"/>
          <w:insideV w:val="nil"/>
          <w:tl2br w:val="nil"/>
          <w:tr2bl w:val="nil"/>
        </w:tcBorders>
      </w:tcPr>
    </w:tblStylePr>
    <w:tblStylePr w:type="band1Horz">
      <w:rPr>
        <w:rFonts w:cs="Times New Roman"/>
      </w:rPr>
      <w:tblPr/>
      <w:tcPr>
        <w:tcBorders>
          <w:top w:val="nil"/>
          <w:left w:val="nil"/>
          <w:bottom w:val="nil"/>
          <w:right w:val="nil"/>
          <w:insideH w:val="nil"/>
          <w:insideV w:val="nil"/>
          <w:tl2br w:val="nil"/>
          <w:tr2bl w:val="nil"/>
        </w:tcBorders>
        <w:shd w:val="pct25" w:color="000000" w:fill="FFFFFF"/>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0">
    <w:name w:val="Table List 7"/>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8000" w:sz="12" w:space="0"/>
        <w:left w:val="single" w:color="008000" w:sz="6" w:space="0"/>
        <w:bottom w:val="single" w:color="008000" w:sz="12" w:space="0"/>
        <w:right w:val="single" w:color="008000" w:sz="6" w:space="0"/>
        <w:insideH w:val="single" w:color="000000" w:sz="6" w:space="0"/>
      </w:tblBorders>
      <w:tblCellMar>
        <w:top w:w="0" w:type="dxa"/>
        <w:left w:w="108" w:type="dxa"/>
        <w:bottom w:w="0" w:type="dxa"/>
        <w:right w:w="108" w:type="dxa"/>
      </w:tblCellMar>
    </w:tblPr>
    <w:tblStylePr w:type="firstRow">
      <w:rPr>
        <w:rFonts w:cs="Times New Roman"/>
        <w:b/>
        <w:bCs/>
      </w:rPr>
      <w:tblPr/>
      <w:tcPr>
        <w:tcBorders>
          <w:top w:val="nil"/>
          <w:left w:val="single" w:color="008000" w:sz="12" w:space="0"/>
          <w:bottom w:val="nil"/>
          <w:right w:val="nil"/>
          <w:insideH w:val="nil"/>
          <w:insideV w:val="nil"/>
          <w:tl2br w:val="nil"/>
          <w:tr2bl w:val="nil"/>
        </w:tcBorders>
        <w:shd w:val="solid" w:color="C0C0C0" w:fill="FFFFFF"/>
      </w:tcPr>
    </w:tblStylePr>
    <w:tblStylePr w:type="lastRow">
      <w:rPr>
        <w:rFonts w:cs="Times New Roman"/>
        <w:b/>
        <w:bCs/>
      </w:rPr>
      <w:tblPr/>
      <w:tcPr>
        <w:tcBorders>
          <w:top w:val="single" w:color="008000" w:sz="12"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Times New Roman"/>
      </w:rPr>
      <w:tblPr/>
      <w:tcPr>
        <w:tcBorders>
          <w:top w:val="nil"/>
          <w:left w:val="nil"/>
          <w:bottom w:val="nil"/>
          <w:right w:val="nil"/>
          <w:insideH w:val="nil"/>
          <w:insideV w:val="nil"/>
          <w:tl2br w:val="nil"/>
          <w:tr2bl w:val="nil"/>
        </w:tcBorders>
        <w:shd w:val="pct25" w:color="FFFF00" w:fill="FFFFFF"/>
      </w:tcPr>
    </w:tblStylePr>
  </w:style>
  <w:style w:type="table" w:styleId="101">
    <w:name w:val="Table List 8"/>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6" w:space="0"/>
        <w:left w:val="single" w:color="000000" w:sz="6" w:space="0"/>
        <w:bottom w:val="single" w:color="000000" w:sz="6" w:space="0"/>
        <w:right w:val="single" w:color="000000" w:sz="6" w:space="0"/>
        <w:insideV w:val="single" w:color="000000" w:sz="6" w:space="0"/>
      </w:tblBorders>
      <w:tblCellMar>
        <w:top w:w="0" w:type="dxa"/>
        <w:left w:w="108" w:type="dxa"/>
        <w:bottom w:w="0" w:type="dxa"/>
        <w:right w:w="108" w:type="dxa"/>
      </w:tblCellMar>
    </w:tblPr>
    <w:tblStylePr w:type="firstRow">
      <w:rPr>
        <w:rFonts w:cs="Times New Roman"/>
        <w:b/>
        <w:bCs/>
        <w:i/>
        <w:iCs/>
      </w:rPr>
      <w:tblPr/>
      <w:tcPr>
        <w:tcBorders>
          <w:top w:val="nil"/>
          <w:left w:val="single" w:color="000000" w:sz="6" w:space="0"/>
          <w:bottom w:val="nil"/>
          <w:right w:val="nil"/>
          <w:insideH w:val="nil"/>
          <w:insideV w:val="nil"/>
          <w:tl2br w:val="nil"/>
          <w:tr2bl w:val="nil"/>
        </w:tcBorders>
        <w:shd w:val="solid" w:color="FFFF00" w:fill="FFFFFF"/>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Horz">
      <w:rPr>
        <w:rFonts w:cs="Times New Roman"/>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Times New Roman"/>
      </w:rPr>
      <w:tblPr/>
      <w:tcPr>
        <w:tcBorders>
          <w:top w:val="nil"/>
          <w:left w:val="nil"/>
          <w:bottom w:val="nil"/>
          <w:right w:val="nil"/>
          <w:insideH w:val="nil"/>
          <w:insideV w:val="nil"/>
          <w:tl2br w:val="nil"/>
          <w:tr2bl w:val="nil"/>
        </w:tcBorders>
        <w:shd w:val="pct50" w:color="FF0000" w:fill="FFFFFF"/>
      </w:tcPr>
    </w:tblStylePr>
    <w:tblStylePr w:type="nwCell">
      <w:rPr>
        <w:rFonts w:cs="Times New Roman"/>
      </w:rPr>
      <w:tblPr/>
      <w:tcPr>
        <w:tcBorders>
          <w:top w:val="nil"/>
          <w:left w:val="nil"/>
          <w:bottom w:val="nil"/>
          <w:right w:val="nil"/>
          <w:insideH w:val="nil"/>
          <w:insideV w:val="nil"/>
          <w:tl2br w:val="single" w:color="auto" w:sz="6" w:space="0"/>
          <w:tr2bl w:val="nil"/>
        </w:tcBorders>
      </w:tcPr>
    </w:tblStylePr>
  </w:style>
  <w:style w:type="table" w:styleId="102">
    <w:name w:val="Table Contemporary"/>
    <w:basedOn w:val="75"/>
    <w:semiHidden/>
    <w:qFormat/>
    <w:uiPriority w:val="99"/>
    <w:pPr>
      <w:widowControl w:val="0"/>
      <w:spacing w:after="200" w:line="276" w:lineRule="auto"/>
    </w:pPr>
    <w:rPr>
      <w:rFonts w:ascii="Calibri" w:hAnsi="Calibri" w:eastAsia="Times New Roman" w:cs="Times New Roman"/>
      <w:kern w:val="0"/>
      <w:sz w:val="20"/>
      <w:szCs w:val="20"/>
    </w:rPr>
    <w:tblPr>
      <w:tblBorders>
        <w:insideH w:val="single" w:color="FFFFFF" w:sz="18" w:space="0"/>
        <w:insideV w:val="single" w:color="FFFFFF" w:sz="18" w:space="0"/>
      </w:tblBorders>
      <w:tblCellMar>
        <w:top w:w="0" w:type="dxa"/>
        <w:left w:w="108" w:type="dxa"/>
        <w:bottom w:w="0" w:type="dxa"/>
        <w:right w:w="108" w:type="dxa"/>
      </w:tblCellMar>
    </w:tblPr>
    <w:tblStylePr w:type="firstRow">
      <w:rPr>
        <w:rFonts w:cs="Times New Roman"/>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Times New Roman"/>
        <w:color w:val="auto"/>
      </w:rPr>
      <w:tblPr/>
      <w:tcPr>
        <w:tcBorders>
          <w:top w:val="nil"/>
          <w:left w:val="nil"/>
          <w:bottom w:val="nil"/>
          <w:right w:val="nil"/>
          <w:insideH w:val="nil"/>
          <w:insideV w:val="nil"/>
          <w:tl2br w:val="nil"/>
          <w:tr2bl w:val="nil"/>
        </w:tcBorders>
        <w:shd w:val="pct5" w:color="000000" w:fill="FFFFFF"/>
      </w:tcPr>
    </w:tblStylePr>
    <w:tblStylePr w:type="band2Horz">
      <w:rPr>
        <w:rFonts w:cs="Times New Roman"/>
        <w:color w:val="auto"/>
      </w:rPr>
      <w:tblPr/>
      <w:tcPr>
        <w:tcBorders>
          <w:top w:val="nil"/>
          <w:left w:val="nil"/>
          <w:bottom w:val="nil"/>
          <w:right w:val="nil"/>
          <w:insideH w:val="nil"/>
          <w:insideV w:val="nil"/>
          <w:tl2br w:val="nil"/>
          <w:tr2bl w:val="nil"/>
        </w:tcBorders>
        <w:shd w:val="pct20" w:color="000000" w:fill="FFFFFF"/>
      </w:tcPr>
    </w:tblStylePr>
  </w:style>
  <w:style w:type="table" w:styleId="103">
    <w:name w:val="Table Columns 1"/>
    <w:basedOn w:val="75"/>
    <w:semiHidden/>
    <w:qFormat/>
    <w:uiPriority w:val="99"/>
    <w:pPr>
      <w:widowControl w:val="0"/>
      <w:spacing w:after="200" w:line="276" w:lineRule="auto"/>
    </w:pPr>
    <w:rPr>
      <w:rFonts w:ascii="Calibri" w:hAnsi="Calibri" w:eastAsia="Times New Roman" w:cs="Times New Roman"/>
      <w:b/>
      <w:bCs/>
      <w:kern w:val="0"/>
      <w:sz w:val="20"/>
      <w:szCs w:val="20"/>
    </w:rPr>
    <w:tblPr>
      <w:tblBorders>
        <w:top w:val="single" w:color="000000" w:sz="12" w:space="0"/>
        <w:left w:val="single" w:color="000000" w:sz="12" w:space="0"/>
        <w:bottom w:val="single" w:color="000000" w:sz="12" w:space="0"/>
        <w:right w:val="single" w:color="000000" w:sz="12" w:space="0"/>
      </w:tblBorders>
      <w:tblCellMar>
        <w:top w:w="0" w:type="dxa"/>
        <w:left w:w="108" w:type="dxa"/>
        <w:bottom w:w="0" w:type="dxa"/>
        <w:right w:w="108" w:type="dxa"/>
      </w:tblCellMar>
    </w:tblPr>
    <w:tblStylePr w:type="firstRow">
      <w:rPr>
        <w:rFonts w:cs="Times New Roman"/>
        <w:b w:val="0"/>
        <w:bCs w:val="0"/>
      </w:rPr>
      <w:tblPr/>
      <w:tcPr>
        <w:tcBorders>
          <w:top w:val="nil"/>
          <w:left w:val="double" w:color="000000" w:sz="6" w:space="0"/>
          <w:bottom w:val="nil"/>
          <w:right w:val="nil"/>
          <w:insideH w:val="nil"/>
          <w:insideV w:val="nil"/>
          <w:tl2br w:val="nil"/>
          <w:tr2bl w:val="nil"/>
        </w:tcBorders>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4">
    <w:name w:val="Table Columns 2"/>
    <w:basedOn w:val="75"/>
    <w:semiHidden/>
    <w:qFormat/>
    <w:uiPriority w:val="99"/>
    <w:pPr>
      <w:widowControl w:val="0"/>
      <w:spacing w:after="200" w:line="276" w:lineRule="auto"/>
    </w:pPr>
    <w:rPr>
      <w:rFonts w:ascii="Calibri" w:hAnsi="Calibri" w:eastAsia="Times New Roman" w:cs="Times New Roman"/>
      <w:b/>
      <w:bCs/>
      <w:kern w:val="0"/>
      <w:sz w:val="20"/>
      <w:szCs w:val="20"/>
    </w:rPr>
    <w:tblPr>
      <w:tblCellMar>
        <w:top w:w="0" w:type="dxa"/>
        <w:left w:w="108" w:type="dxa"/>
        <w:bottom w:w="0" w:type="dxa"/>
        <w:right w:w="108" w:type="dxa"/>
      </w:tblCellMa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nil"/>
          <w:left w:val="nil"/>
          <w:bottom w:val="nil"/>
          <w:right w:val="nil"/>
          <w:insideH w:val="nil"/>
          <w:insideV w:val="nil"/>
          <w:tl2br w:val="nil"/>
          <w:tr2bl w:val="nil"/>
        </w:tcBorders>
      </w:tcPr>
    </w:tblStylePr>
    <w:tblStylePr w:type="firstCol">
      <w:rPr>
        <w:rFonts w:cs="Times New Roman"/>
        <w:b w:val="0"/>
        <w:bCs w:val="0"/>
        <w:color w:val="00000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op w:val="nil"/>
          <w:left w:val="nil"/>
          <w:bottom w:val="nil"/>
          <w:right w:val="nil"/>
          <w:insideH w:val="nil"/>
          <w:insideV w:val="nil"/>
          <w:tl2br w:val="nil"/>
          <w:tr2bl w:val="nil"/>
        </w:tcBorders>
      </w:tcPr>
    </w:tblStylePr>
    <w:tblStylePr w:type="swCell">
      <w:rPr>
        <w:rFonts w:cs="Times New Roman"/>
        <w:b/>
        <w:bCs/>
      </w:rPr>
      <w:tblPr/>
      <w:tcPr>
        <w:tcBorders>
          <w:top w:val="nil"/>
          <w:left w:val="nil"/>
          <w:bottom w:val="nil"/>
          <w:right w:val="nil"/>
          <w:insideH w:val="nil"/>
          <w:insideV w:val="nil"/>
          <w:tl2br w:val="nil"/>
          <w:tr2bl w:val="nil"/>
        </w:tcBorders>
      </w:tcPr>
    </w:tblStylePr>
  </w:style>
  <w:style w:type="table" w:styleId="105">
    <w:name w:val="Table Columns 3"/>
    <w:basedOn w:val="75"/>
    <w:semiHidden/>
    <w:qFormat/>
    <w:uiPriority w:val="99"/>
    <w:pPr>
      <w:widowControl w:val="0"/>
      <w:spacing w:after="200" w:line="276" w:lineRule="auto"/>
    </w:pPr>
    <w:rPr>
      <w:rFonts w:ascii="Calibri" w:hAnsi="Calibri" w:eastAsia="Times New Roman" w:cs="Times New Roman"/>
      <w:b/>
      <w:bCs/>
      <w:kern w:val="0"/>
      <w:sz w:val="20"/>
      <w:szCs w:val="20"/>
    </w:rPr>
    <w:tblPr>
      <w:tblBorders>
        <w:top w:val="single" w:color="000080" w:sz="6" w:space="0"/>
        <w:left w:val="single" w:color="000080" w:sz="6" w:space="0"/>
        <w:bottom w:val="single" w:color="000080" w:sz="6" w:space="0"/>
        <w:right w:val="single" w:color="000080" w:sz="6" w:space="0"/>
        <w:insideV w:val="single" w:color="000080" w:sz="6" w:space="0"/>
      </w:tblBorders>
      <w:tblCellMar>
        <w:top w:w="0" w:type="dxa"/>
        <w:left w:w="108" w:type="dxa"/>
        <w:bottom w:w="0" w:type="dxa"/>
        <w:right w:w="108" w:type="dxa"/>
      </w:tblCellMar>
    </w:tblPr>
    <w:tblStylePr w:type="firstRow">
      <w:rPr>
        <w:rFonts w:cs="Times New Roman"/>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val="0"/>
        <w:bCs w:val="0"/>
      </w:rPr>
      <w:tblPr/>
      <w:tcPr>
        <w:tcBorders>
          <w:top w:val="single" w:color="00008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op w:val="nil"/>
          <w:left w:val="nil"/>
          <w:bottom w:val="nil"/>
          <w:right w:val="nil"/>
          <w:insideH w:val="nil"/>
          <w:insideV w:val="nil"/>
          <w:tl2br w:val="nil"/>
          <w:tr2bl w:val="nil"/>
        </w:tcBorders>
      </w:tcPr>
    </w:tblStylePr>
  </w:style>
  <w:style w:type="table" w:styleId="106">
    <w:name w:val="Table Columns 4"/>
    <w:basedOn w:val="75"/>
    <w:semiHidden/>
    <w:qFormat/>
    <w:uiPriority w:val="99"/>
    <w:pPr>
      <w:widowControl w:val="0"/>
      <w:spacing w:after="200" w:line="276" w:lineRule="auto"/>
    </w:pPr>
    <w:rPr>
      <w:rFonts w:ascii="Calibri" w:hAnsi="Calibri" w:eastAsia="Times New Roman" w:cs="Times New Roman"/>
      <w:kern w:val="0"/>
      <w:sz w:val="20"/>
      <w:szCs w:val="20"/>
    </w:rPr>
    <w:tblPr>
      <w:tblCellMar>
        <w:top w:w="0" w:type="dxa"/>
        <w:left w:w="108" w:type="dxa"/>
        <w:bottom w:w="0" w:type="dxa"/>
        <w:right w:w="108" w:type="dxa"/>
      </w:tblCellMar>
    </w:tblPr>
    <w:tblStylePr w:type="firstRow">
      <w:rPr>
        <w:rFonts w:cs="Times New Roman"/>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107">
    <w:name w:val="Table Columns 5"/>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808080" w:sz="12" w:space="0"/>
        <w:left w:val="single" w:color="808080" w:sz="12" w:space="0"/>
        <w:bottom w:val="single" w:color="808080" w:sz="12" w:space="0"/>
        <w:right w:val="single" w:color="808080" w:sz="12" w:space="0"/>
        <w:insideV w:val="single" w:color="C0C0C0" w:sz="6" w:space="0"/>
      </w:tblBorders>
      <w:tblCellMar>
        <w:top w:w="0" w:type="dxa"/>
        <w:left w:w="108" w:type="dxa"/>
        <w:bottom w:w="0" w:type="dxa"/>
        <w:right w:w="108" w:type="dxa"/>
      </w:tblCellMar>
    </w:tblPr>
    <w:tblStylePr w:type="firstRow">
      <w:rPr>
        <w:rFonts w:cs="Times New Roman"/>
        <w:b/>
        <w:bCs/>
        <w:i/>
        <w:iCs/>
      </w:rPr>
      <w:tblPr/>
      <w:tcPr>
        <w:tcBorders>
          <w:top w:val="nil"/>
          <w:left w:val="single" w:color="808080" w:sz="6" w:space="0"/>
          <w:bottom w:val="nil"/>
          <w:right w:val="nil"/>
          <w:insideH w:val="nil"/>
          <w:insideV w:val="nil"/>
          <w:tl2br w:val="nil"/>
          <w:tr2bl w:val="nil"/>
        </w:tcBorders>
      </w:tcPr>
    </w:tblStylePr>
    <w:tblStylePr w:type="lastRow">
      <w:rPr>
        <w:rFonts w:cs="Times New Roman"/>
        <w:b/>
        <w:bCs/>
      </w:rPr>
      <w:tblPr/>
      <w:tcPr>
        <w:tcBorders>
          <w:top w:val="single" w:color="80808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08">
    <w:name w:val="Table Grid 1"/>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lastRow">
      <w:rPr>
        <w:rFonts w:cs="Times New Roman"/>
        <w:i/>
        <w:iCs/>
      </w:rPr>
      <w:tblPr/>
      <w:tcPr>
        <w:tcBorders>
          <w:top w:val="nil"/>
          <w:left w:val="nil"/>
          <w:bottom w:val="nil"/>
          <w:right w:val="nil"/>
          <w:insideH w:val="nil"/>
          <w:insideV w:val="nil"/>
          <w:tl2br w:val="nil"/>
          <w:tr2bl w:val="nil"/>
        </w:tcBorders>
      </w:tcPr>
    </w:tblStylePr>
    <w:tblStylePr w:type="lastCol">
      <w:rPr>
        <w:rFonts w:cs="Times New Roman"/>
        <w:i/>
        <w:i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09">
    <w:name w:val="Table Grid 2"/>
    <w:basedOn w:val="75"/>
    <w:semiHidden/>
    <w:qFormat/>
    <w:uiPriority w:val="99"/>
    <w:pPr>
      <w:widowControl w:val="0"/>
      <w:spacing w:after="200" w:line="276" w:lineRule="auto"/>
    </w:pPr>
    <w:rPr>
      <w:rFonts w:ascii="Calibri" w:hAnsi="Calibri" w:eastAsia="Times New Roman" w:cs="Times New Roman"/>
      <w:kern w:val="0"/>
      <w:sz w:val="20"/>
      <w:szCs w:val="20"/>
    </w:rPr>
    <w:tblPr>
      <w:tblBorders>
        <w:insideH w:val="single" w:color="000000" w:sz="6" w:space="0"/>
        <w:insideV w:val="single" w:color="000000" w:sz="6" w:space="0"/>
      </w:tblBorders>
      <w:tblCellMar>
        <w:top w:w="0" w:type="dxa"/>
        <w:left w:w="108" w:type="dxa"/>
        <w:bottom w:w="0" w:type="dxa"/>
        <w:right w:w="108" w:type="dxa"/>
      </w:tblCellMar>
    </w:tblPr>
    <w:tblStylePr w:type="firstRow">
      <w:rPr>
        <w:rFonts w:cs="Times New Roman"/>
        <w:b/>
        <w:bCs/>
      </w:rPr>
      <w:tblPr/>
      <w:tcPr>
        <w:tcBorders>
          <w:top w:val="nil"/>
          <w:left w:val="nil"/>
          <w:bottom w:val="nil"/>
          <w:right w:val="nil"/>
          <w:insideH w:val="nil"/>
          <w:insideV w:val="nil"/>
          <w:tl2br w:val="nil"/>
          <w:tr2bl w:val="nil"/>
        </w:tcBorders>
      </w:tcPr>
    </w:tblStylePr>
    <w:tblStylePr w:type="lastRow">
      <w:rPr>
        <w:rFonts w:cs="Times New Roman"/>
        <w:b/>
        <w:bCs/>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style>
  <w:style w:type="table" w:styleId="110">
    <w:name w:val="Table Grid 3"/>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6" w:space="0"/>
        <w:left w:val="single" w:color="000000" w:sz="12" w:space="0"/>
        <w:bottom w:val="single" w:color="000000" w:sz="6" w:space="0"/>
        <w:right w:val="single" w:color="000000" w:sz="12" w:space="0"/>
        <w:insideV w:val="single" w:color="000000" w:sz="6" w:space="0"/>
      </w:tblBorders>
      <w:tblCellMar>
        <w:top w:w="0" w:type="dxa"/>
        <w:left w:w="108" w:type="dxa"/>
        <w:bottom w:w="0" w:type="dxa"/>
        <w:right w:w="108" w:type="dxa"/>
      </w:tblCellMar>
    </w:tblPr>
    <w:tblStylePr w:type="firstRow">
      <w:rPr>
        <w:rFonts w:cs="Times New Roman"/>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1">
    <w:name w:val="Table Grid 4"/>
    <w:basedOn w:val="75"/>
    <w:semiHidden/>
    <w:qFormat/>
    <w:uiPriority w:val="99"/>
    <w:pPr>
      <w:widowControl w:val="0"/>
      <w:spacing w:after="200" w:line="276" w:lineRule="auto"/>
    </w:pPr>
    <w:rPr>
      <w:rFonts w:ascii="Calibri" w:hAnsi="Calibri" w:eastAsia="Times New Roman" w:cs="Times New Roman"/>
      <w:kern w:val="0"/>
      <w:sz w:val="20"/>
      <w:szCs w:val="20"/>
    </w:rPr>
    <w:tblPr>
      <w:tblBorders>
        <w:left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color w:val="auto"/>
      </w:rPr>
      <w:tblPr/>
      <w:tcPr>
        <w:tcBorders>
          <w:top w:val="nil"/>
          <w:left w:val="single" w:color="000000" w:sz="6" w:space="0"/>
          <w:bottom w:val="nil"/>
          <w:right w:val="nil"/>
          <w:insideH w:val="nil"/>
          <w:insideV w:val="nil"/>
          <w:tl2br w:val="nil"/>
          <w:tr2bl w:val="nil"/>
        </w:tcBorders>
        <w:shd w:val="pct30" w:color="FFFF00" w:fill="FFFFFF"/>
      </w:tcPr>
    </w:tblStylePr>
    <w:tblStylePr w:type="lastRow">
      <w:rPr>
        <w:rFonts w:cs="Times New Roman"/>
        <w:b/>
        <w:bCs/>
        <w:color w:val="auto"/>
      </w:rPr>
      <w:tblPr/>
      <w:tcPr>
        <w:tcBorders>
          <w:top w:val="single" w:color="000000" w:sz="6" w:space="0"/>
          <w:left w:val="nil"/>
          <w:bottom w:val="nil"/>
          <w:right w:val="nil"/>
          <w:insideH w:val="nil"/>
          <w:insideV w:val="nil"/>
          <w:tl2br w:val="nil"/>
          <w:tr2bl w:val="nil"/>
        </w:tcBorders>
        <w:shd w:val="pct30" w:color="FFFF00" w:fill="FFFFFF"/>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2">
    <w:name w:val="Table Grid 5"/>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rPr>
      <w:tblPr/>
      <w:tcPr>
        <w:tcBorders>
          <w:top w:val="nil"/>
          <w:left w:val="single" w:color="000000" w:sz="12" w:space="0"/>
          <w:bottom w:val="nil"/>
          <w:right w:val="nil"/>
          <w:insideH w:val="nil"/>
          <w:insideV w:val="nil"/>
          <w:tl2br w:val="nil"/>
          <w:tr2bl w:val="nil"/>
        </w:tcBorders>
      </w:tcPr>
    </w:tblStylePr>
    <w:tblStylePr w:type="lastRow">
      <w:rPr>
        <w:rFonts w:cs="Times New Roman"/>
        <w:b/>
        <w:bCs/>
      </w:rPr>
      <w:tblPr/>
      <w:tcPr>
        <w:tcBorders>
          <w:top w:val="nil"/>
          <w:left w:val="nil"/>
          <w:bottom w:val="nil"/>
          <w:right w:val="nil"/>
          <w:insideH w:val="nil"/>
          <w:insideV w:val="nil"/>
          <w:tl2br w:val="nil"/>
          <w:tr2bl w:val="nil"/>
        </w:tcBorders>
      </w:tcPr>
    </w:tblStylePr>
    <w:tblStylePr w:type="la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3">
    <w:name w:val="Table Grid 6"/>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12" w:space="0"/>
        <w:left w:val="single" w:color="000000" w:sz="12" w:space="0"/>
        <w:bottom w:val="single" w:color="000000" w:sz="12" w:space="0"/>
        <w:right w:val="single" w:color="000000" w:sz="12" w:space="0"/>
        <w:insideV w:val="single" w:color="000000" w:sz="6" w:space="0"/>
      </w:tblBorders>
      <w:tblCellMar>
        <w:top w:w="0" w:type="dxa"/>
        <w:left w:w="108" w:type="dxa"/>
        <w:bottom w:w="0" w:type="dxa"/>
        <w:right w:w="108" w:type="dxa"/>
      </w:tblCellMar>
    </w:tblPr>
    <w:tblStylePr w:type="firstRow">
      <w:rPr>
        <w:rFonts w:cs="Times New Roman"/>
        <w:b/>
        <w:bCs/>
      </w:rPr>
      <w:tblPr/>
      <w:tcPr>
        <w:tcBorders>
          <w:top w:val="nil"/>
          <w:left w:val="single" w:color="000000" w:sz="6" w:space="0"/>
          <w:bottom w:val="nil"/>
          <w:right w:val="nil"/>
          <w:insideH w:val="nil"/>
          <w:insideV w:val="nil"/>
          <w:tl2br w:val="nil"/>
          <w:tr2bl w:val="nil"/>
        </w:tcBorders>
      </w:tcPr>
    </w:tblStylePr>
    <w:tblStylePr w:type="lastRow">
      <w:rPr>
        <w:rFonts w:cs="Times New Roman"/>
        <w:color w:val="auto"/>
      </w:rPr>
      <w:tblPr/>
      <w:tcPr>
        <w:tcBorders>
          <w:top w:val="single" w:color="000000" w:sz="6" w:space="0"/>
          <w:left w:val="nil"/>
          <w:bottom w:val="nil"/>
          <w:right w:val="nil"/>
          <w:insideH w:val="nil"/>
          <w:insideV w:val="nil"/>
          <w:tl2br w:val="nil"/>
          <w:tr2bl w:val="nil"/>
        </w:tcBorders>
      </w:tcPr>
    </w:tblStylePr>
    <w:tblStylePr w:type="firstCol">
      <w:rPr>
        <w:rFonts w:cs="Times New Roman"/>
        <w:b/>
        <w:bCs/>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4">
    <w:name w:val="Table Grid 7"/>
    <w:basedOn w:val="75"/>
    <w:semiHidden/>
    <w:qFormat/>
    <w:uiPriority w:val="99"/>
    <w:pPr>
      <w:widowControl w:val="0"/>
      <w:spacing w:after="200" w:line="276" w:lineRule="auto"/>
    </w:pPr>
    <w:rPr>
      <w:rFonts w:ascii="Calibri" w:hAnsi="Calibri" w:eastAsia="Times New Roman" w:cs="Times New Roman"/>
      <w:b/>
      <w:bCs/>
      <w:kern w:val="0"/>
      <w:sz w:val="20"/>
      <w:szCs w:val="20"/>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b w:val="0"/>
        <w:bCs w:val="0"/>
      </w:rPr>
      <w:tblPr/>
      <w:tcPr>
        <w:tcBorders>
          <w:top w:val="nil"/>
          <w:left w:val="single" w:color="000000" w:sz="12" w:space="0"/>
          <w:bottom w:val="nil"/>
          <w:right w:val="nil"/>
          <w:insideH w:val="nil"/>
          <w:insideV w:val="nil"/>
          <w:tl2br w:val="nil"/>
          <w:tr2bl w:val="nil"/>
        </w:tcBorders>
      </w:tcPr>
    </w:tblStylePr>
    <w:tblStylePr w:type="lastRow">
      <w:rPr>
        <w:rFonts w:cs="Times New Roman"/>
        <w:b w:val="0"/>
        <w:bCs w:val="0"/>
      </w:rPr>
      <w:tblPr/>
      <w:tcPr>
        <w:tcBorders>
          <w:top w:val="single" w:color="000000" w:sz="6" w:space="0"/>
          <w:left w:val="nil"/>
          <w:bottom w:val="nil"/>
          <w:right w:val="nil"/>
          <w:insideH w:val="nil"/>
          <w:insideV w:val="nil"/>
          <w:tl2br w:val="nil"/>
          <w:tr2bl w:val="nil"/>
        </w:tcBorders>
      </w:tcPr>
    </w:tblStylePr>
    <w:tblStylePr w:type="firstCol">
      <w:rPr>
        <w:rFonts w:cs="Times New Roman"/>
        <w:b w:val="0"/>
        <w:bCs w:val="0"/>
      </w:rPr>
      <w:tblPr/>
      <w:tcPr>
        <w:tcBorders>
          <w:top w:val="nil"/>
          <w:left w:val="nil"/>
          <w:bottom w:val="nil"/>
          <w:right w:val="nil"/>
          <w:insideH w:val="nil"/>
          <w:insideV w:val="nil"/>
          <w:tl2br w:val="nil"/>
          <w:tr2bl w:val="nil"/>
        </w:tcBorders>
      </w:tcPr>
    </w:tblStylePr>
    <w:tblStylePr w:type="lastCol">
      <w:rPr>
        <w:rFonts w:cs="Times New Roman"/>
        <w:b w:val="0"/>
        <w:bCs w:val="0"/>
      </w:rPr>
      <w:tblPr/>
      <w:tcPr>
        <w:tcBorders>
          <w:top w:val="nil"/>
          <w:left w:val="nil"/>
          <w:bottom w:val="nil"/>
          <w:right w:val="nil"/>
          <w:insideH w:val="nil"/>
          <w:insideV w:val="nil"/>
          <w:tl2br w:val="nil"/>
          <w:tr2bl w:val="nil"/>
        </w:tcBorders>
      </w:tcPr>
    </w:tblStylePr>
    <w:tblStylePr w:type="nwCell">
      <w:rPr>
        <w:rFonts w:cs="Times New Roman"/>
      </w:rPr>
      <w:tblPr/>
      <w:tcPr>
        <w:tcBorders>
          <w:top w:val="nil"/>
          <w:left w:val="nil"/>
          <w:bottom w:val="nil"/>
          <w:right w:val="nil"/>
          <w:insideH w:val="nil"/>
          <w:insideV w:val="nil"/>
          <w:tl2br w:val="single" w:color="000000" w:sz="6" w:space="0"/>
          <w:tr2bl w:val="nil"/>
        </w:tcBorders>
      </w:tcPr>
    </w:tblStylePr>
  </w:style>
  <w:style w:type="table" w:styleId="115">
    <w:name w:val="Table Grid 8"/>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CellMar>
        <w:top w:w="0" w:type="dxa"/>
        <w:left w:w="108" w:type="dxa"/>
        <w:bottom w:w="0" w:type="dxa"/>
        <w:right w:w="108" w:type="dxa"/>
      </w:tblCellMar>
    </w:tblPr>
    <w:tblStylePr w:type="firstRow">
      <w:rPr>
        <w:rFonts w:cs="Times New Roman"/>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Times New Roman"/>
        <w:b/>
        <w:bCs/>
        <w:color w:val="auto"/>
      </w:rPr>
      <w:tblPr/>
      <w:tcPr>
        <w:tcBorders>
          <w:top w:val="nil"/>
          <w:left w:val="nil"/>
          <w:bottom w:val="nil"/>
          <w:right w:val="nil"/>
          <w:insideH w:val="nil"/>
          <w:insideV w:val="nil"/>
          <w:tl2br w:val="nil"/>
          <w:tr2bl w:val="nil"/>
        </w:tcBorders>
      </w:tcPr>
    </w:tblStylePr>
    <w:tblStylePr w:type="lastCol">
      <w:rPr>
        <w:rFonts w:cs="Times New Roman"/>
        <w:b/>
        <w:bCs/>
        <w:color w:val="auto"/>
      </w:rPr>
      <w:tblPr/>
      <w:tcPr>
        <w:tcBorders>
          <w:top w:val="nil"/>
          <w:left w:val="nil"/>
          <w:bottom w:val="nil"/>
          <w:right w:val="nil"/>
          <w:insideH w:val="nil"/>
          <w:insideV w:val="nil"/>
          <w:tl2br w:val="nil"/>
          <w:tr2bl w:val="nil"/>
        </w:tcBorders>
      </w:tcPr>
    </w:tblStylePr>
  </w:style>
  <w:style w:type="table" w:styleId="116">
    <w:name w:val="Table Web 1"/>
    <w:basedOn w:val="75"/>
    <w:semiHidden/>
    <w:qFormat/>
    <w:uiPriority w:val="99"/>
    <w:pPr>
      <w:widowControl w:val="0"/>
      <w:spacing w:after="200" w:line="276" w:lineRule="auto"/>
    </w:pPr>
    <w:rPr>
      <w:rFonts w:ascii="Calibri" w:hAnsi="Calibri" w:eastAsia="Times New Roman" w:cs="Times New Roman"/>
      <w:kern w:val="0"/>
      <w:sz w:val="20"/>
      <w:szCs w:val="20"/>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108" w:type="dxa"/>
        <w:bottom w:w="0" w:type="dxa"/>
        <w:right w:w="108" w:type="dxa"/>
      </w:tblCellMar>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7">
    <w:name w:val="Table Web 2"/>
    <w:basedOn w:val="75"/>
    <w:semiHidden/>
    <w:qFormat/>
    <w:uiPriority w:val="99"/>
    <w:pPr>
      <w:widowControl w:val="0"/>
      <w:spacing w:after="200" w:line="276" w:lineRule="auto"/>
    </w:pPr>
    <w:rPr>
      <w:rFonts w:ascii="Calibri" w:hAnsi="Calibri" w:eastAsia="Times New Roman" w:cs="Times New Roman"/>
      <w:kern w:val="0"/>
      <w:sz w:val="20"/>
      <w:szCs w:val="20"/>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CellMar>
        <w:top w:w="0" w:type="dxa"/>
        <w:left w:w="108" w:type="dxa"/>
        <w:bottom w:w="0" w:type="dxa"/>
        <w:right w:w="108" w:type="dxa"/>
      </w:tblCellMar>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8">
    <w:name w:val="Table Web 3"/>
    <w:basedOn w:val="75"/>
    <w:semiHidden/>
    <w:qFormat/>
    <w:uiPriority w:val="99"/>
    <w:pPr>
      <w:widowControl w:val="0"/>
      <w:spacing w:after="200" w:line="276" w:lineRule="auto"/>
    </w:pPr>
    <w:rPr>
      <w:rFonts w:ascii="Calibri" w:hAnsi="Calibri" w:eastAsia="Times New Roman" w:cs="Times New Roman"/>
      <w:kern w:val="0"/>
      <w:sz w:val="20"/>
      <w:szCs w:val="20"/>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CellMar>
        <w:top w:w="0" w:type="dxa"/>
        <w:left w:w="108" w:type="dxa"/>
        <w:bottom w:w="0" w:type="dxa"/>
        <w:right w:w="108" w:type="dxa"/>
      </w:tblCellMar>
    </w:tblPr>
    <w:trPr>
      <w:tblCellSpacing w:w="20" w:type="dxa"/>
    </w:trPr>
    <w:tblStylePr w:type="firstRow">
      <w:rPr>
        <w:rFonts w:cs="Times New Roman"/>
        <w:color w:val="auto"/>
      </w:rPr>
      <w:tblPr/>
      <w:tcPr>
        <w:tcBorders>
          <w:top w:val="nil"/>
          <w:left w:val="nil"/>
          <w:bottom w:val="nil"/>
          <w:right w:val="nil"/>
          <w:insideH w:val="nil"/>
          <w:insideV w:val="nil"/>
          <w:tl2br w:val="nil"/>
          <w:tr2bl w:val="nil"/>
        </w:tcBorders>
      </w:tcPr>
    </w:tblStylePr>
  </w:style>
  <w:style w:type="table" w:styleId="119">
    <w:name w:val="Table Professional"/>
    <w:basedOn w:val="75"/>
    <w:semiHidden/>
    <w:qFormat/>
    <w:uiPriority w:val="99"/>
    <w:pPr>
      <w:widowControl w:val="0"/>
      <w:spacing w:after="200" w:line="276" w:lineRule="auto"/>
    </w:pPr>
    <w:rPr>
      <w:rFonts w:ascii="Calibri" w:hAnsi="Calibri" w:eastAsia="Times New Roman"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21">
    <w:name w:val="Strong"/>
    <w:qFormat/>
    <w:uiPriority w:val="99"/>
    <w:rPr>
      <w:rFonts w:cs="Times New Roman"/>
      <w:b/>
      <w:bCs/>
    </w:rPr>
  </w:style>
  <w:style w:type="character" w:styleId="122">
    <w:name w:val="page number"/>
    <w:qFormat/>
    <w:uiPriority w:val="99"/>
    <w:rPr>
      <w:rFonts w:cs="Times New Roman"/>
    </w:rPr>
  </w:style>
  <w:style w:type="character" w:styleId="123">
    <w:name w:val="FollowedHyperlink"/>
    <w:semiHidden/>
    <w:qFormat/>
    <w:uiPriority w:val="99"/>
    <w:rPr>
      <w:rFonts w:cs="Times New Roman"/>
      <w:color w:val="1F4F88"/>
      <w:u w:val="none"/>
    </w:rPr>
  </w:style>
  <w:style w:type="character" w:styleId="124">
    <w:name w:val="Emphasis"/>
    <w:qFormat/>
    <w:uiPriority w:val="99"/>
    <w:rPr>
      <w:rFonts w:cs="Times New Roman"/>
      <w:color w:val="CC0000"/>
    </w:rPr>
  </w:style>
  <w:style w:type="character" w:styleId="125">
    <w:name w:val="line number"/>
    <w:qFormat/>
    <w:uiPriority w:val="99"/>
    <w:rPr>
      <w:rFonts w:cs="Times New Roman"/>
    </w:rPr>
  </w:style>
  <w:style w:type="character" w:styleId="126">
    <w:name w:val="HTML Definition"/>
    <w:semiHidden/>
    <w:qFormat/>
    <w:uiPriority w:val="99"/>
    <w:rPr>
      <w:rFonts w:cs="Times New Roman"/>
      <w:i/>
      <w:iCs/>
    </w:rPr>
  </w:style>
  <w:style w:type="character" w:styleId="127">
    <w:name w:val="HTML Typewriter"/>
    <w:semiHidden/>
    <w:qFormat/>
    <w:uiPriority w:val="99"/>
    <w:rPr>
      <w:rFonts w:ascii="Courier New" w:hAnsi="Courier New" w:cs="Courier New"/>
      <w:sz w:val="20"/>
      <w:szCs w:val="20"/>
    </w:rPr>
  </w:style>
  <w:style w:type="character" w:styleId="128">
    <w:name w:val="HTML Acronym"/>
    <w:semiHidden/>
    <w:qFormat/>
    <w:uiPriority w:val="99"/>
    <w:rPr>
      <w:rFonts w:cs="Times New Roman"/>
    </w:rPr>
  </w:style>
  <w:style w:type="character" w:styleId="129">
    <w:name w:val="HTML Variable"/>
    <w:semiHidden/>
    <w:qFormat/>
    <w:uiPriority w:val="99"/>
    <w:rPr>
      <w:rFonts w:cs="Times New Roman"/>
      <w:i/>
      <w:iCs/>
    </w:rPr>
  </w:style>
  <w:style w:type="character" w:styleId="130">
    <w:name w:val="Hyperlink"/>
    <w:qFormat/>
    <w:uiPriority w:val="99"/>
    <w:rPr>
      <w:rFonts w:cs="Times New Roman"/>
      <w:color w:val="1F4F88"/>
      <w:u w:val="none"/>
    </w:rPr>
  </w:style>
  <w:style w:type="character" w:styleId="131">
    <w:name w:val="HTML Code"/>
    <w:semiHidden/>
    <w:qFormat/>
    <w:uiPriority w:val="99"/>
    <w:rPr>
      <w:rFonts w:ascii="Courier New" w:hAnsi="Courier New" w:cs="Courier New"/>
      <w:sz w:val="20"/>
      <w:szCs w:val="20"/>
    </w:rPr>
  </w:style>
  <w:style w:type="character" w:styleId="132">
    <w:name w:val="annotation reference"/>
    <w:qFormat/>
    <w:uiPriority w:val="99"/>
    <w:rPr>
      <w:rFonts w:cs="Times New Roman"/>
      <w:sz w:val="21"/>
    </w:rPr>
  </w:style>
  <w:style w:type="character" w:styleId="133">
    <w:name w:val="HTML Cite"/>
    <w:semiHidden/>
    <w:qFormat/>
    <w:uiPriority w:val="99"/>
    <w:rPr>
      <w:rFonts w:cs="Times New Roman"/>
      <w:i/>
      <w:iCs/>
    </w:rPr>
  </w:style>
  <w:style w:type="character" w:styleId="134">
    <w:name w:val="HTML Keyboard"/>
    <w:semiHidden/>
    <w:qFormat/>
    <w:uiPriority w:val="99"/>
    <w:rPr>
      <w:rFonts w:ascii="Courier New" w:hAnsi="Courier New" w:cs="Courier New"/>
      <w:sz w:val="20"/>
      <w:szCs w:val="20"/>
    </w:rPr>
  </w:style>
  <w:style w:type="character" w:styleId="135">
    <w:name w:val="HTML Sample"/>
    <w:semiHidden/>
    <w:qFormat/>
    <w:uiPriority w:val="99"/>
    <w:rPr>
      <w:rFonts w:ascii="Courier New" w:hAnsi="Courier New" w:cs="Courier New"/>
    </w:rPr>
  </w:style>
  <w:style w:type="character" w:customStyle="1" w:styleId="136">
    <w:name w:val="页眉 Char"/>
    <w:basedOn w:val="120"/>
    <w:link w:val="51"/>
    <w:qFormat/>
    <w:uiPriority w:val="99"/>
    <w:rPr>
      <w:sz w:val="18"/>
      <w:szCs w:val="18"/>
    </w:rPr>
  </w:style>
  <w:style w:type="character" w:customStyle="1" w:styleId="137">
    <w:name w:val="页脚 Char"/>
    <w:basedOn w:val="120"/>
    <w:link w:val="49"/>
    <w:qFormat/>
    <w:uiPriority w:val="99"/>
    <w:rPr>
      <w:sz w:val="18"/>
      <w:szCs w:val="18"/>
    </w:rPr>
  </w:style>
  <w:style w:type="character" w:customStyle="1" w:styleId="138">
    <w:name w:val="标题 1 Char"/>
    <w:basedOn w:val="120"/>
    <w:link w:val="3"/>
    <w:qFormat/>
    <w:uiPriority w:val="99"/>
    <w:rPr>
      <w:rFonts w:ascii="Calibri" w:hAnsi="Calibri" w:eastAsia="宋体" w:cs="Times New Roman"/>
      <w:b/>
      <w:bCs/>
      <w:kern w:val="44"/>
      <w:sz w:val="44"/>
      <w:szCs w:val="44"/>
    </w:rPr>
  </w:style>
  <w:style w:type="character" w:customStyle="1" w:styleId="139">
    <w:name w:val="标题 2 Char"/>
    <w:basedOn w:val="120"/>
    <w:link w:val="4"/>
    <w:qFormat/>
    <w:uiPriority w:val="99"/>
    <w:rPr>
      <w:rFonts w:ascii="Arial" w:hAnsi="Arial" w:eastAsia="黑体" w:cs="Times New Roman"/>
      <w:b/>
      <w:bCs/>
      <w:kern w:val="0"/>
      <w:sz w:val="32"/>
      <w:szCs w:val="32"/>
    </w:rPr>
  </w:style>
  <w:style w:type="character" w:customStyle="1" w:styleId="140">
    <w:name w:val="标题 3 Char"/>
    <w:basedOn w:val="120"/>
    <w:link w:val="5"/>
    <w:qFormat/>
    <w:uiPriority w:val="99"/>
    <w:rPr>
      <w:rFonts w:ascii="Calibri" w:hAnsi="Calibri" w:eastAsia="宋体" w:cs="Times New Roman"/>
      <w:b/>
      <w:bCs/>
      <w:kern w:val="0"/>
      <w:sz w:val="32"/>
      <w:szCs w:val="32"/>
    </w:rPr>
  </w:style>
  <w:style w:type="character" w:customStyle="1" w:styleId="141">
    <w:name w:val="标题 4 Char"/>
    <w:basedOn w:val="120"/>
    <w:link w:val="6"/>
    <w:qFormat/>
    <w:uiPriority w:val="99"/>
    <w:rPr>
      <w:rFonts w:ascii="Arial" w:hAnsi="Arial" w:eastAsia="黑体" w:cs="Times New Roman"/>
      <w:b/>
      <w:bCs/>
      <w:kern w:val="0"/>
      <w:sz w:val="28"/>
      <w:szCs w:val="28"/>
    </w:rPr>
  </w:style>
  <w:style w:type="character" w:customStyle="1" w:styleId="142">
    <w:name w:val="标题 5 Char"/>
    <w:basedOn w:val="120"/>
    <w:link w:val="7"/>
    <w:qFormat/>
    <w:uiPriority w:val="99"/>
    <w:rPr>
      <w:rFonts w:ascii="Calibri" w:hAnsi="Calibri" w:eastAsia="宋体" w:cs="Times New Roman"/>
      <w:b/>
      <w:bCs/>
      <w:kern w:val="0"/>
      <w:sz w:val="28"/>
      <w:szCs w:val="28"/>
    </w:rPr>
  </w:style>
  <w:style w:type="character" w:customStyle="1" w:styleId="143">
    <w:name w:val="标题 6 Char"/>
    <w:basedOn w:val="120"/>
    <w:link w:val="8"/>
    <w:qFormat/>
    <w:uiPriority w:val="99"/>
    <w:rPr>
      <w:rFonts w:ascii="Arial" w:hAnsi="Arial" w:eastAsia="黑体" w:cs="Times New Roman"/>
      <w:b/>
      <w:bCs/>
      <w:kern w:val="0"/>
      <w:sz w:val="20"/>
      <w:szCs w:val="20"/>
    </w:rPr>
  </w:style>
  <w:style w:type="character" w:customStyle="1" w:styleId="144">
    <w:name w:val="标题 7 Char"/>
    <w:basedOn w:val="120"/>
    <w:link w:val="9"/>
    <w:qFormat/>
    <w:uiPriority w:val="9"/>
    <w:rPr>
      <w:rFonts w:ascii="Calibri" w:hAnsi="Calibri" w:eastAsia="宋体" w:cs="Times New Roman"/>
      <w:b/>
      <w:bCs/>
      <w:kern w:val="0"/>
      <w:sz w:val="24"/>
      <w:szCs w:val="24"/>
    </w:rPr>
  </w:style>
  <w:style w:type="character" w:customStyle="1" w:styleId="145">
    <w:name w:val="标题 8 Char"/>
    <w:basedOn w:val="120"/>
    <w:link w:val="10"/>
    <w:qFormat/>
    <w:uiPriority w:val="9"/>
    <w:rPr>
      <w:rFonts w:ascii="Cambria" w:hAnsi="Cambria" w:eastAsia="宋体" w:cs="Times New Roman"/>
      <w:kern w:val="0"/>
      <w:sz w:val="24"/>
      <w:szCs w:val="24"/>
    </w:rPr>
  </w:style>
  <w:style w:type="character" w:customStyle="1" w:styleId="146">
    <w:name w:val="标题 9 Char"/>
    <w:basedOn w:val="120"/>
    <w:link w:val="11"/>
    <w:qFormat/>
    <w:uiPriority w:val="9"/>
    <w:rPr>
      <w:rFonts w:ascii="Cambria" w:hAnsi="Cambria" w:eastAsia="宋体" w:cs="Times New Roman"/>
      <w:kern w:val="0"/>
      <w:sz w:val="20"/>
      <w:szCs w:val="21"/>
    </w:rPr>
  </w:style>
  <w:style w:type="character" w:customStyle="1" w:styleId="147">
    <w:name w:val="Char Char4"/>
    <w:semiHidden/>
    <w:qFormat/>
    <w:locked/>
    <w:uiPriority w:val="0"/>
    <w:rPr>
      <w:rFonts w:ascii="宋体" w:hAnsi="Courier New" w:eastAsia="宋体"/>
      <w:szCs w:val="21"/>
      <w:lang w:bidi="ar-SA"/>
    </w:rPr>
  </w:style>
  <w:style w:type="character" w:customStyle="1" w:styleId="148">
    <w:name w:val="批注框文本 Char"/>
    <w:link w:val="48"/>
    <w:qFormat/>
    <w:uiPriority w:val="99"/>
    <w:rPr>
      <w:sz w:val="16"/>
      <w:szCs w:val="16"/>
    </w:rPr>
  </w:style>
  <w:style w:type="character" w:customStyle="1" w:styleId="149">
    <w:name w:val="标题 9 字符"/>
    <w:qFormat/>
    <w:uiPriority w:val="0"/>
    <w:rPr>
      <w:rFonts w:ascii="Arial" w:hAnsi="Arial" w:eastAsia="黑体"/>
      <w:kern w:val="2"/>
      <w:sz w:val="21"/>
      <w:szCs w:val="21"/>
    </w:rPr>
  </w:style>
  <w:style w:type="character" w:customStyle="1" w:styleId="150">
    <w:name w:val="签名 Char"/>
    <w:link w:val="52"/>
    <w:qFormat/>
    <w:uiPriority w:val="99"/>
    <w:rPr>
      <w:szCs w:val="24"/>
    </w:rPr>
  </w:style>
  <w:style w:type="character" w:customStyle="1" w:styleId="151">
    <w:name w:val="正文文本缩进 2 Char"/>
    <w:link w:val="46"/>
    <w:qFormat/>
    <w:uiPriority w:val="99"/>
    <w:rPr>
      <w:szCs w:val="24"/>
    </w:rPr>
  </w:style>
  <w:style w:type="character" w:customStyle="1" w:styleId="152">
    <w:name w:val="redfilenumber"/>
    <w:qFormat/>
    <w:uiPriority w:val="0"/>
    <w:rPr>
      <w:color w:val="BA2636"/>
      <w:sz w:val="18"/>
      <w:szCs w:val="18"/>
    </w:rPr>
  </w:style>
  <w:style w:type="character" w:customStyle="1" w:styleId="153">
    <w:name w:val="正文文本缩进 Char"/>
    <w:semiHidden/>
    <w:qFormat/>
    <w:uiPriority w:val="99"/>
    <w:rPr>
      <w:szCs w:val="24"/>
    </w:rPr>
  </w:style>
  <w:style w:type="character" w:customStyle="1" w:styleId="154">
    <w:name w:val="页脚 字符"/>
    <w:semiHidden/>
    <w:qFormat/>
    <w:uiPriority w:val="99"/>
    <w:rPr>
      <w:kern w:val="2"/>
      <w:sz w:val="18"/>
      <w:szCs w:val="18"/>
    </w:rPr>
  </w:style>
  <w:style w:type="character" w:customStyle="1" w:styleId="155">
    <w:name w:val="信息标题 Char"/>
    <w:link w:val="67"/>
    <w:semiHidden/>
    <w:qFormat/>
    <w:uiPriority w:val="99"/>
    <w:rPr>
      <w:rFonts w:ascii="Cambria" w:hAnsi="Cambria" w:eastAsia="宋体" w:cs="Times New Roman"/>
      <w:sz w:val="24"/>
      <w:szCs w:val="24"/>
      <w:shd w:val="pct20" w:color="auto" w:fill="auto"/>
    </w:rPr>
  </w:style>
  <w:style w:type="character" w:customStyle="1" w:styleId="156">
    <w:name w:val="明显引用 Char"/>
    <w:link w:val="157"/>
    <w:qFormat/>
    <w:locked/>
    <w:uiPriority w:val="99"/>
    <w:rPr>
      <w:b/>
      <w:i/>
      <w:sz w:val="24"/>
    </w:rPr>
  </w:style>
  <w:style w:type="paragraph" w:styleId="157">
    <w:name w:val="Intense Quote"/>
    <w:basedOn w:val="1"/>
    <w:next w:val="1"/>
    <w:link w:val="314"/>
    <w:qFormat/>
    <w:uiPriority w:val="99"/>
    <w:pPr>
      <w:widowControl/>
      <w:ind w:left="720" w:right="720"/>
      <w:jc w:val="left"/>
    </w:pPr>
    <w:rPr>
      <w:rFonts w:asciiTheme="minorHAnsi" w:hAnsiTheme="minorHAnsi" w:eastAsiaTheme="minorEastAsia" w:cstheme="minorBidi"/>
      <w:b/>
      <w:i/>
      <w:sz w:val="24"/>
      <w:szCs w:val="22"/>
    </w:rPr>
  </w:style>
  <w:style w:type="character" w:customStyle="1" w:styleId="158">
    <w:name w:val="hover44"/>
    <w:qFormat/>
    <w:uiPriority w:val="99"/>
    <w:rPr>
      <w:rFonts w:ascii="微软雅黑" w:hAnsi="微软雅黑" w:eastAsia="微软雅黑" w:cs="微软雅黑"/>
      <w:b/>
      <w:color w:val="FF6600"/>
      <w:sz w:val="22"/>
      <w:szCs w:val="22"/>
      <w:u w:val="single"/>
    </w:rPr>
  </w:style>
  <w:style w:type="character" w:customStyle="1" w:styleId="159">
    <w:name w:val="正文文本 2 Char"/>
    <w:link w:val="64"/>
    <w:qFormat/>
    <w:uiPriority w:val="99"/>
    <w:rPr>
      <w:szCs w:val="24"/>
    </w:rPr>
  </w:style>
  <w:style w:type="character" w:customStyle="1" w:styleId="160">
    <w:name w:val="标题 Char"/>
    <w:link w:val="71"/>
    <w:qFormat/>
    <w:uiPriority w:val="0"/>
    <w:rPr>
      <w:rFonts w:ascii="Cambria" w:hAnsi="Cambria" w:cs="Times New Roman"/>
      <w:b/>
      <w:bCs/>
      <w:sz w:val="32"/>
      <w:szCs w:val="32"/>
    </w:rPr>
  </w:style>
  <w:style w:type="character" w:customStyle="1" w:styleId="161">
    <w:name w:val="hover40"/>
    <w:qFormat/>
    <w:uiPriority w:val="99"/>
    <w:rPr>
      <w:rFonts w:cs="Times New Roman"/>
      <w:color w:val="FF6600"/>
      <w:u w:val="single"/>
    </w:rPr>
  </w:style>
  <w:style w:type="character" w:customStyle="1" w:styleId="162">
    <w:name w:val="日期 Char"/>
    <w:link w:val="45"/>
    <w:qFormat/>
    <w:uiPriority w:val="99"/>
    <w:rPr>
      <w:szCs w:val="24"/>
    </w:rPr>
  </w:style>
  <w:style w:type="character" w:customStyle="1" w:styleId="163">
    <w:name w:val="Body Text Char"/>
    <w:qFormat/>
    <w:locked/>
    <w:uiPriority w:val="99"/>
    <w:rPr>
      <w:rFonts w:eastAsia="宋体" w:cs="Times New Roman"/>
      <w:sz w:val="21"/>
    </w:rPr>
  </w:style>
  <w:style w:type="character" w:customStyle="1" w:styleId="164">
    <w:name w:val="hover39"/>
    <w:qFormat/>
    <w:uiPriority w:val="99"/>
    <w:rPr>
      <w:rFonts w:cs="Times New Roman"/>
      <w:color w:val="FFFFFF"/>
      <w:shd w:val="clear" w:color="auto" w:fill="FF6600"/>
    </w:rPr>
  </w:style>
  <w:style w:type="character" w:customStyle="1" w:styleId="165">
    <w:name w:val="cfdate"/>
    <w:qFormat/>
    <w:uiPriority w:val="0"/>
    <w:rPr>
      <w:color w:val="333333"/>
      <w:sz w:val="18"/>
      <w:szCs w:val="18"/>
    </w:rPr>
  </w:style>
  <w:style w:type="character" w:customStyle="1" w:styleId="166">
    <w:name w:val="称呼 Char"/>
    <w:link w:val="27"/>
    <w:semiHidden/>
    <w:qFormat/>
    <w:uiPriority w:val="99"/>
    <w:rPr>
      <w:szCs w:val="24"/>
    </w:rPr>
  </w:style>
  <w:style w:type="character" w:customStyle="1" w:styleId="167">
    <w:name w:val="正文首行缩进 Char"/>
    <w:link w:val="73"/>
    <w:qFormat/>
    <w:uiPriority w:val="99"/>
    <w:rPr>
      <w:rFonts w:eastAsia="宋体" w:cs="Times New Roman"/>
      <w:szCs w:val="24"/>
    </w:rPr>
  </w:style>
  <w:style w:type="character" w:customStyle="1" w:styleId="168">
    <w:name w:val="副标题 Char"/>
    <w:link w:val="56"/>
    <w:qFormat/>
    <w:uiPriority w:val="11"/>
    <w:rPr>
      <w:rFonts w:ascii="Cambria" w:hAnsi="Cambria" w:cs="Times New Roman"/>
      <w:b/>
      <w:bCs/>
      <w:kern w:val="28"/>
      <w:sz w:val="32"/>
      <w:szCs w:val="32"/>
    </w:rPr>
  </w:style>
  <w:style w:type="character" w:customStyle="1" w:styleId="169">
    <w:name w:val="正文文本 Char"/>
    <w:semiHidden/>
    <w:qFormat/>
    <w:uiPriority w:val="99"/>
    <w:rPr>
      <w:szCs w:val="24"/>
    </w:rPr>
  </w:style>
  <w:style w:type="character" w:customStyle="1" w:styleId="170">
    <w:name w:val="Footer Char"/>
    <w:semiHidden/>
    <w:qFormat/>
    <w:locked/>
    <w:uiPriority w:val="99"/>
    <w:rPr>
      <w:rFonts w:eastAsia="宋体" w:cs="Times New Roman"/>
      <w:sz w:val="18"/>
      <w:szCs w:val="18"/>
    </w:rPr>
  </w:style>
  <w:style w:type="character" w:customStyle="1" w:styleId="171">
    <w:name w:val="批注主题 Char"/>
    <w:link w:val="72"/>
    <w:semiHidden/>
    <w:qFormat/>
    <w:uiPriority w:val="99"/>
    <w:rPr>
      <w:b/>
      <w:bCs/>
      <w:sz w:val="22"/>
      <w:szCs w:val="24"/>
      <w:lang w:eastAsia="en-US"/>
    </w:rPr>
  </w:style>
  <w:style w:type="character" w:customStyle="1" w:styleId="172">
    <w:name w:val="displayarti"/>
    <w:qFormat/>
    <w:uiPriority w:val="0"/>
    <w:rPr>
      <w:color w:val="FFFFFF"/>
      <w:shd w:val="clear" w:color="auto" w:fill="A00000"/>
    </w:rPr>
  </w:style>
  <w:style w:type="character" w:customStyle="1" w:styleId="173">
    <w:name w:val="纯文本 Char"/>
    <w:link w:val="41"/>
    <w:qFormat/>
    <w:uiPriority w:val="99"/>
    <w:rPr>
      <w:rFonts w:ascii="宋体" w:hAnsi="Courier New" w:cs="Courier New"/>
      <w:szCs w:val="21"/>
    </w:rPr>
  </w:style>
  <w:style w:type="character" w:customStyle="1" w:styleId="174">
    <w:name w:val="hover42"/>
    <w:qFormat/>
    <w:uiPriority w:val="99"/>
    <w:rPr>
      <w:rFonts w:cs="Times New Roman"/>
      <w:color w:val="FFFFFF"/>
      <w:shd w:val="clear" w:color="auto" w:fill="FF6600"/>
    </w:rPr>
  </w:style>
  <w:style w:type="character" w:customStyle="1" w:styleId="175">
    <w:name w:val="文档结构图 Char"/>
    <w:link w:val="24"/>
    <w:semiHidden/>
    <w:qFormat/>
    <w:uiPriority w:val="99"/>
    <w:rPr>
      <w:sz w:val="16"/>
      <w:szCs w:val="16"/>
      <w:shd w:val="clear" w:color="auto" w:fill="000080"/>
    </w:rPr>
  </w:style>
  <w:style w:type="character" w:customStyle="1" w:styleId="176">
    <w:name w:val="HTML 地址 Char"/>
    <w:link w:val="38"/>
    <w:semiHidden/>
    <w:qFormat/>
    <w:uiPriority w:val="99"/>
    <w:rPr>
      <w:i/>
      <w:iCs/>
      <w:szCs w:val="24"/>
    </w:rPr>
  </w:style>
  <w:style w:type="character" w:customStyle="1" w:styleId="177">
    <w:name w:val="标题 3 字符"/>
    <w:qFormat/>
    <w:uiPriority w:val="0"/>
    <w:rPr>
      <w:b/>
      <w:bCs/>
      <w:kern w:val="2"/>
      <w:sz w:val="32"/>
      <w:szCs w:val="32"/>
    </w:rPr>
  </w:style>
  <w:style w:type="character" w:customStyle="1" w:styleId="178">
    <w:name w:val="param-name1"/>
    <w:qFormat/>
    <w:uiPriority w:val="99"/>
    <w:rPr>
      <w:rFonts w:cs="Times New Roman"/>
      <w:b/>
    </w:rPr>
  </w:style>
  <w:style w:type="character" w:customStyle="1" w:styleId="179">
    <w:name w:val="正文（缩进） Char"/>
    <w:link w:val="180"/>
    <w:semiHidden/>
    <w:qFormat/>
    <w:locked/>
    <w:uiPriority w:val="99"/>
    <w:rPr>
      <w:rFonts w:eastAsia="宋体"/>
      <w:sz w:val="24"/>
    </w:rPr>
  </w:style>
  <w:style w:type="paragraph" w:customStyle="1" w:styleId="180">
    <w:name w:val="正文（缩进）"/>
    <w:basedOn w:val="1"/>
    <w:link w:val="179"/>
    <w:semiHidden/>
    <w:qFormat/>
    <w:uiPriority w:val="99"/>
    <w:pPr>
      <w:spacing w:beforeLines="50" w:afterLines="50" w:line="360" w:lineRule="auto"/>
      <w:ind w:firstLine="480" w:firstLineChars="200"/>
    </w:pPr>
    <w:rPr>
      <w:rFonts w:asciiTheme="minorHAnsi" w:hAnsiTheme="minorHAnsi" w:cstheme="minorBidi"/>
      <w:sz w:val="24"/>
      <w:szCs w:val="22"/>
    </w:rPr>
  </w:style>
  <w:style w:type="character" w:customStyle="1" w:styleId="181">
    <w:name w:val="段 Char"/>
    <w:link w:val="182"/>
    <w:qFormat/>
    <w:locked/>
    <w:uiPriority w:val="99"/>
    <w:rPr>
      <w:rFonts w:ascii="宋体"/>
    </w:rPr>
  </w:style>
  <w:style w:type="paragraph" w:customStyle="1" w:styleId="182">
    <w:name w:val="段"/>
    <w:link w:val="181"/>
    <w:qFormat/>
    <w:uiPriority w:val="99"/>
    <w:pPr>
      <w:autoSpaceDE w:val="0"/>
      <w:autoSpaceDN w:val="0"/>
      <w:ind w:firstLine="200" w:firstLineChars="200"/>
      <w:jc w:val="both"/>
    </w:pPr>
    <w:rPr>
      <w:rFonts w:ascii="宋体" w:hAnsiTheme="minorHAnsi" w:eastAsiaTheme="minorEastAsia" w:cstheme="minorBidi"/>
      <w:kern w:val="2"/>
      <w:sz w:val="21"/>
      <w:szCs w:val="22"/>
      <w:lang w:val="en-US" w:eastAsia="zh-CN" w:bidi="ar-SA"/>
    </w:rPr>
  </w:style>
  <w:style w:type="character" w:customStyle="1" w:styleId="183">
    <w:name w:val="标题 6 字符"/>
    <w:qFormat/>
    <w:uiPriority w:val="0"/>
    <w:rPr>
      <w:rFonts w:ascii="Arial" w:hAnsi="Arial" w:eastAsia="黑体"/>
      <w:b/>
      <w:bCs/>
      <w:kern w:val="2"/>
      <w:sz w:val="24"/>
      <w:szCs w:val="24"/>
    </w:rPr>
  </w:style>
  <w:style w:type="character" w:customStyle="1" w:styleId="184">
    <w:name w:val="批注文字 Char"/>
    <w:link w:val="26"/>
    <w:qFormat/>
    <w:uiPriority w:val="99"/>
    <w:rPr>
      <w:szCs w:val="24"/>
    </w:rPr>
  </w:style>
  <w:style w:type="character" w:customStyle="1" w:styleId="185">
    <w:name w:val="HTML 预设格式 Char"/>
    <w:link w:val="68"/>
    <w:semiHidden/>
    <w:qFormat/>
    <w:uiPriority w:val="99"/>
    <w:rPr>
      <w:rFonts w:ascii="Courier New" w:hAnsi="Courier New" w:cs="Courier New"/>
      <w:sz w:val="20"/>
      <w:szCs w:val="20"/>
    </w:rPr>
  </w:style>
  <w:style w:type="character" w:customStyle="1" w:styleId="186">
    <w:name w:val="hover38"/>
    <w:qFormat/>
    <w:uiPriority w:val="99"/>
    <w:rPr>
      <w:rFonts w:cs="Times New Roman"/>
      <w:color w:val="FF6600"/>
      <w:u w:val="single"/>
    </w:rPr>
  </w:style>
  <w:style w:type="character" w:customStyle="1" w:styleId="187">
    <w:name w:val="Body Text First Indent Char"/>
    <w:qFormat/>
    <w:locked/>
    <w:uiPriority w:val="99"/>
    <w:rPr>
      <w:rFonts w:ascii="宋体" w:hAnsi="宋体" w:eastAsia="宋体" w:cs="Times New Roman"/>
      <w:spacing w:val="20"/>
      <w:sz w:val="24"/>
    </w:rPr>
  </w:style>
  <w:style w:type="character" w:customStyle="1" w:styleId="188">
    <w:name w:val="标题 1 Char1"/>
    <w:link w:val="3"/>
    <w:qFormat/>
    <w:locked/>
    <w:uiPriority w:val="99"/>
    <w:rPr>
      <w:rFonts w:ascii="Calibri" w:hAnsi="Calibri" w:eastAsia="宋体" w:cs="Times New Roman"/>
      <w:b/>
      <w:bCs/>
      <w:kern w:val="44"/>
      <w:sz w:val="44"/>
      <w:szCs w:val="44"/>
    </w:rPr>
  </w:style>
  <w:style w:type="character" w:customStyle="1" w:styleId="189">
    <w:name w:val="Char Char3"/>
    <w:qFormat/>
    <w:uiPriority w:val="99"/>
    <w:rPr>
      <w:rFonts w:ascii="Calibri" w:hAnsi="Calibri" w:eastAsia="宋体" w:cs="Times New Roman"/>
      <w:sz w:val="22"/>
      <w:szCs w:val="22"/>
      <w:lang w:eastAsia="en-US"/>
    </w:rPr>
  </w:style>
  <w:style w:type="character" w:customStyle="1" w:styleId="190">
    <w:name w:val="电子邮件签名 Char"/>
    <w:link w:val="18"/>
    <w:semiHidden/>
    <w:qFormat/>
    <w:uiPriority w:val="99"/>
    <w:rPr>
      <w:szCs w:val="24"/>
    </w:rPr>
  </w:style>
  <w:style w:type="character" w:customStyle="1" w:styleId="191">
    <w:name w:val="正文文本 3 Char"/>
    <w:link w:val="28"/>
    <w:qFormat/>
    <w:uiPriority w:val="99"/>
    <w:rPr>
      <w:sz w:val="16"/>
      <w:szCs w:val="16"/>
    </w:rPr>
  </w:style>
  <w:style w:type="character" w:customStyle="1" w:styleId="192">
    <w:name w:val="Document Map Char"/>
    <w:semiHidden/>
    <w:qFormat/>
    <w:locked/>
    <w:uiPriority w:val="99"/>
    <w:rPr>
      <w:rFonts w:eastAsia="宋体" w:cs="Times New Roman"/>
      <w:sz w:val="21"/>
    </w:rPr>
  </w:style>
  <w:style w:type="character" w:customStyle="1" w:styleId="193">
    <w:name w:val="注释标题 Char"/>
    <w:link w:val="16"/>
    <w:semiHidden/>
    <w:qFormat/>
    <w:uiPriority w:val="99"/>
    <w:rPr>
      <w:szCs w:val="24"/>
    </w:rPr>
  </w:style>
  <w:style w:type="character" w:customStyle="1" w:styleId="194">
    <w:name w:val="标题 5 字符"/>
    <w:qFormat/>
    <w:uiPriority w:val="0"/>
    <w:rPr>
      <w:b/>
      <w:bCs/>
      <w:kern w:val="2"/>
      <w:sz w:val="28"/>
      <w:szCs w:val="28"/>
    </w:rPr>
  </w:style>
  <w:style w:type="character" w:customStyle="1" w:styleId="195">
    <w:name w:val="List Paragraph Char"/>
    <w:link w:val="196"/>
    <w:qFormat/>
    <w:locked/>
    <w:uiPriority w:val="99"/>
    <w:rPr>
      <w:rFonts w:eastAsia="宋体" w:cs="Times New Roman"/>
      <w:color w:val="262626"/>
    </w:rPr>
  </w:style>
  <w:style w:type="paragraph" w:customStyle="1" w:styleId="196">
    <w:name w:val="List Paragraph1"/>
    <w:basedOn w:val="1"/>
    <w:link w:val="195"/>
    <w:qFormat/>
    <w:uiPriority w:val="99"/>
    <w:pPr>
      <w:spacing w:line="360" w:lineRule="auto"/>
      <w:ind w:firstLine="480" w:firstLineChars="200"/>
    </w:pPr>
    <w:rPr>
      <w:rFonts w:asciiTheme="minorHAnsi" w:hAnsiTheme="minorHAnsi"/>
      <w:color w:val="262626"/>
      <w:szCs w:val="22"/>
    </w:rPr>
  </w:style>
  <w:style w:type="character" w:customStyle="1" w:styleId="197">
    <w:name w:val="正文文本缩进 3 Char"/>
    <w:link w:val="61"/>
    <w:qFormat/>
    <w:uiPriority w:val="99"/>
    <w:rPr>
      <w:sz w:val="16"/>
      <w:szCs w:val="16"/>
    </w:rPr>
  </w:style>
  <w:style w:type="character" w:customStyle="1" w:styleId="198">
    <w:name w:val="redfilefwwh"/>
    <w:qFormat/>
    <w:uiPriority w:val="0"/>
    <w:rPr>
      <w:color w:val="BA2636"/>
      <w:sz w:val="18"/>
      <w:szCs w:val="18"/>
    </w:rPr>
  </w:style>
  <w:style w:type="character" w:customStyle="1" w:styleId="199">
    <w:name w:val="标题 7 字符"/>
    <w:qFormat/>
    <w:uiPriority w:val="0"/>
    <w:rPr>
      <w:b/>
      <w:bCs/>
      <w:kern w:val="2"/>
      <w:sz w:val="24"/>
      <w:szCs w:val="24"/>
    </w:rPr>
  </w:style>
  <w:style w:type="character" w:customStyle="1" w:styleId="200">
    <w:name w:val="结束语 Char"/>
    <w:link w:val="29"/>
    <w:semiHidden/>
    <w:qFormat/>
    <w:uiPriority w:val="99"/>
    <w:rPr>
      <w:szCs w:val="24"/>
    </w:rPr>
  </w:style>
  <w:style w:type="character" w:customStyle="1" w:styleId="201">
    <w:name w:val="页眉 字符"/>
    <w:semiHidden/>
    <w:qFormat/>
    <w:uiPriority w:val="99"/>
    <w:rPr>
      <w:kern w:val="2"/>
      <w:sz w:val="18"/>
      <w:szCs w:val="18"/>
    </w:rPr>
  </w:style>
  <w:style w:type="character" w:customStyle="1" w:styleId="202">
    <w:name w:val="纯文本 字符"/>
    <w:qFormat/>
    <w:uiPriority w:val="0"/>
    <w:rPr>
      <w:rFonts w:ascii="宋体" w:hAnsi="Courier New"/>
      <w:kern w:val="2"/>
      <w:sz w:val="21"/>
    </w:rPr>
  </w:style>
  <w:style w:type="character" w:customStyle="1" w:styleId="203">
    <w:name w:val="标题 4 字符"/>
    <w:qFormat/>
    <w:uiPriority w:val="0"/>
    <w:rPr>
      <w:rFonts w:ascii="Arial" w:hAnsi="Arial" w:eastAsia="黑体"/>
      <w:b/>
      <w:bCs/>
      <w:kern w:val="2"/>
      <w:sz w:val="28"/>
      <w:szCs w:val="28"/>
    </w:rPr>
  </w:style>
  <w:style w:type="character" w:customStyle="1" w:styleId="204">
    <w:name w:val="hover43"/>
    <w:qFormat/>
    <w:uiPriority w:val="99"/>
    <w:rPr>
      <w:rFonts w:cs="Times New Roman"/>
      <w:color w:val="FF6600"/>
      <w:u w:val="single"/>
    </w:rPr>
  </w:style>
  <w:style w:type="character" w:customStyle="1" w:styleId="205">
    <w:name w:val="gjfg"/>
    <w:basedOn w:val="120"/>
    <w:qFormat/>
    <w:uiPriority w:val="0"/>
  </w:style>
  <w:style w:type="character" w:customStyle="1" w:styleId="206">
    <w:name w:val="标题 2 字符"/>
    <w:qFormat/>
    <w:uiPriority w:val="0"/>
    <w:rPr>
      <w:rFonts w:ascii="Arial" w:hAnsi="Arial" w:eastAsia="黑体"/>
      <w:b/>
      <w:bCs/>
      <w:kern w:val="2"/>
      <w:sz w:val="32"/>
      <w:szCs w:val="32"/>
    </w:rPr>
  </w:style>
  <w:style w:type="character" w:customStyle="1" w:styleId="207">
    <w:name w:val="hei14"/>
    <w:semiHidden/>
    <w:qFormat/>
    <w:uiPriority w:val="99"/>
    <w:rPr>
      <w:rFonts w:cs="Times New Roman"/>
    </w:rPr>
  </w:style>
  <w:style w:type="character" w:customStyle="1" w:styleId="208">
    <w:name w:val="qxdate"/>
    <w:qFormat/>
    <w:uiPriority w:val="0"/>
    <w:rPr>
      <w:color w:val="333333"/>
      <w:sz w:val="18"/>
      <w:szCs w:val="18"/>
    </w:rPr>
  </w:style>
  <w:style w:type="character" w:customStyle="1" w:styleId="209">
    <w:name w:val="apple-converted-space"/>
    <w:basedOn w:val="120"/>
    <w:qFormat/>
    <w:uiPriority w:val="99"/>
  </w:style>
  <w:style w:type="character" w:customStyle="1" w:styleId="210">
    <w:name w:val="标题 1 字符"/>
    <w:qFormat/>
    <w:uiPriority w:val="0"/>
    <w:rPr>
      <w:b/>
      <w:bCs/>
      <w:kern w:val="44"/>
      <w:sz w:val="44"/>
      <w:szCs w:val="44"/>
    </w:rPr>
  </w:style>
  <w:style w:type="character" w:customStyle="1" w:styleId="211">
    <w:name w:val="Comment Text Char"/>
    <w:qFormat/>
    <w:locked/>
    <w:uiPriority w:val="99"/>
    <w:rPr>
      <w:rFonts w:ascii="Calibri" w:hAnsi="Calibri" w:eastAsia="宋体"/>
      <w:sz w:val="22"/>
      <w:lang w:val="en-US" w:eastAsia="en-US"/>
    </w:rPr>
  </w:style>
  <w:style w:type="character" w:customStyle="1" w:styleId="212">
    <w:name w:val="bds_more"/>
    <w:qFormat/>
    <w:uiPriority w:val="99"/>
    <w:rPr>
      <w:rFonts w:ascii="Arial" w:hAnsi="Arial" w:cs="Arial"/>
    </w:rPr>
  </w:style>
  <w:style w:type="character" w:customStyle="1" w:styleId="213">
    <w:name w:val="Header Char"/>
    <w:semiHidden/>
    <w:qFormat/>
    <w:locked/>
    <w:uiPriority w:val="99"/>
    <w:rPr>
      <w:rFonts w:eastAsia="宋体" w:cs="Times New Roman"/>
      <w:sz w:val="18"/>
      <w:szCs w:val="18"/>
    </w:rPr>
  </w:style>
  <w:style w:type="character" w:customStyle="1" w:styleId="214">
    <w:name w:val="正文文本 字符"/>
    <w:qFormat/>
    <w:uiPriority w:val="99"/>
    <w:rPr>
      <w:szCs w:val="24"/>
    </w:rPr>
  </w:style>
  <w:style w:type="character" w:customStyle="1" w:styleId="215">
    <w:name w:val="正文首行缩进 2 Char"/>
    <w:basedOn w:val="153"/>
    <w:link w:val="74"/>
    <w:semiHidden/>
    <w:qFormat/>
    <w:uiPriority w:val="99"/>
  </w:style>
  <w:style w:type="character" w:customStyle="1" w:styleId="216">
    <w:name w:val="正文缩进 Char"/>
    <w:link w:val="20"/>
    <w:qFormat/>
    <w:locked/>
    <w:uiPriority w:val="99"/>
    <w:rPr>
      <w:rFonts w:eastAsia="宋体" w:cs="Times New Roman"/>
    </w:rPr>
  </w:style>
  <w:style w:type="character" w:customStyle="1" w:styleId="217">
    <w:name w:val="标题 8 字符"/>
    <w:qFormat/>
    <w:uiPriority w:val="0"/>
    <w:rPr>
      <w:rFonts w:ascii="Arial" w:hAnsi="Arial" w:eastAsia="黑体"/>
      <w:kern w:val="2"/>
      <w:sz w:val="24"/>
      <w:szCs w:val="24"/>
    </w:rPr>
  </w:style>
  <w:style w:type="character" w:customStyle="1" w:styleId="218">
    <w:name w:val="纯文本 Char1"/>
    <w:qFormat/>
    <w:uiPriority w:val="0"/>
    <w:rPr>
      <w:rFonts w:ascii="宋体" w:hAnsi="Courier New"/>
      <w:kern w:val="2"/>
      <w:sz w:val="21"/>
    </w:rPr>
  </w:style>
  <w:style w:type="character" w:customStyle="1" w:styleId="219">
    <w:name w:val="纯文本 字符1"/>
    <w:qFormat/>
    <w:uiPriority w:val="0"/>
    <w:rPr>
      <w:rFonts w:ascii="宋体" w:hAnsi="Courier New"/>
      <w:kern w:val="2"/>
      <w:sz w:val="21"/>
    </w:rPr>
  </w:style>
  <w:style w:type="character" w:customStyle="1" w:styleId="220">
    <w:name w:val="layui-laypage-curr"/>
    <w:qFormat/>
    <w:uiPriority w:val="0"/>
  </w:style>
  <w:style w:type="character" w:customStyle="1" w:styleId="221">
    <w:name w:val="label"/>
    <w:qFormat/>
    <w:uiPriority w:val="0"/>
    <w:rPr>
      <w:color w:val="999999"/>
    </w:rPr>
  </w:style>
  <w:style w:type="character" w:customStyle="1" w:styleId="222">
    <w:name w:val="注释标题 Char1"/>
    <w:basedOn w:val="120"/>
    <w:link w:val="16"/>
    <w:semiHidden/>
    <w:qFormat/>
    <w:uiPriority w:val="99"/>
    <w:rPr>
      <w:rFonts w:ascii="Calibri" w:hAnsi="Calibri" w:eastAsia="宋体" w:cs="Times New Roman"/>
      <w:szCs w:val="24"/>
    </w:rPr>
  </w:style>
  <w:style w:type="character" w:customStyle="1" w:styleId="223">
    <w:name w:val="称呼 Char1"/>
    <w:basedOn w:val="120"/>
    <w:link w:val="27"/>
    <w:semiHidden/>
    <w:qFormat/>
    <w:uiPriority w:val="99"/>
    <w:rPr>
      <w:rFonts w:ascii="Calibri" w:hAnsi="Calibri" w:eastAsia="宋体" w:cs="Times New Roman"/>
      <w:szCs w:val="24"/>
    </w:rPr>
  </w:style>
  <w:style w:type="character" w:customStyle="1" w:styleId="224">
    <w:name w:val="正文文本缩进 2 Char1"/>
    <w:basedOn w:val="120"/>
    <w:link w:val="46"/>
    <w:semiHidden/>
    <w:qFormat/>
    <w:uiPriority w:val="99"/>
    <w:rPr>
      <w:rFonts w:ascii="Calibri" w:hAnsi="Calibri" w:eastAsia="宋体" w:cs="Times New Roman"/>
      <w:szCs w:val="24"/>
    </w:rPr>
  </w:style>
  <w:style w:type="character" w:customStyle="1" w:styleId="225">
    <w:name w:val="HTML 地址 Char1"/>
    <w:basedOn w:val="120"/>
    <w:link w:val="38"/>
    <w:semiHidden/>
    <w:qFormat/>
    <w:uiPriority w:val="99"/>
    <w:rPr>
      <w:rFonts w:ascii="Calibri" w:hAnsi="Calibri" w:eastAsia="宋体" w:cs="Times New Roman"/>
      <w:i/>
      <w:iCs/>
      <w:szCs w:val="24"/>
    </w:rPr>
  </w:style>
  <w:style w:type="character" w:customStyle="1" w:styleId="226">
    <w:name w:val="正文文本缩进 Char1"/>
    <w:basedOn w:val="120"/>
    <w:link w:val="32"/>
    <w:semiHidden/>
    <w:qFormat/>
    <w:uiPriority w:val="99"/>
    <w:rPr>
      <w:rFonts w:ascii="Calibri" w:hAnsi="Calibri" w:eastAsia="宋体" w:cs="Times New Roman"/>
      <w:szCs w:val="24"/>
    </w:rPr>
  </w:style>
  <w:style w:type="character" w:customStyle="1" w:styleId="227">
    <w:name w:val="正文首行缩进 2 Char1"/>
    <w:basedOn w:val="226"/>
    <w:link w:val="74"/>
    <w:semiHidden/>
    <w:qFormat/>
    <w:uiPriority w:val="99"/>
  </w:style>
  <w:style w:type="character" w:customStyle="1" w:styleId="228">
    <w:name w:val="批注文字 Char1"/>
    <w:basedOn w:val="120"/>
    <w:link w:val="26"/>
    <w:semiHidden/>
    <w:qFormat/>
    <w:uiPriority w:val="99"/>
    <w:rPr>
      <w:rFonts w:ascii="Calibri" w:hAnsi="Calibri" w:eastAsia="宋体" w:cs="Times New Roman"/>
      <w:szCs w:val="24"/>
    </w:rPr>
  </w:style>
  <w:style w:type="character" w:customStyle="1" w:styleId="229">
    <w:name w:val="批注主题 Char1"/>
    <w:basedOn w:val="228"/>
    <w:link w:val="72"/>
    <w:semiHidden/>
    <w:qFormat/>
    <w:uiPriority w:val="99"/>
    <w:rPr>
      <w:b/>
      <w:bCs/>
    </w:rPr>
  </w:style>
  <w:style w:type="character" w:customStyle="1" w:styleId="230">
    <w:name w:val="副标题 Char1"/>
    <w:basedOn w:val="120"/>
    <w:link w:val="56"/>
    <w:qFormat/>
    <w:uiPriority w:val="11"/>
    <w:rPr>
      <w:rFonts w:eastAsia="宋体" w:asciiTheme="majorHAnsi" w:hAnsiTheme="majorHAnsi" w:cstheme="majorBidi"/>
      <w:b/>
      <w:bCs/>
      <w:kern w:val="28"/>
      <w:sz w:val="32"/>
      <w:szCs w:val="32"/>
    </w:rPr>
  </w:style>
  <w:style w:type="character" w:customStyle="1" w:styleId="231">
    <w:name w:val="电子邮件签名 Char1"/>
    <w:basedOn w:val="120"/>
    <w:link w:val="18"/>
    <w:semiHidden/>
    <w:uiPriority w:val="99"/>
    <w:rPr>
      <w:rFonts w:ascii="Calibri" w:hAnsi="Calibri" w:eastAsia="宋体" w:cs="Times New Roman"/>
      <w:szCs w:val="24"/>
    </w:rPr>
  </w:style>
  <w:style w:type="character" w:customStyle="1" w:styleId="232">
    <w:name w:val="签名 Char1"/>
    <w:basedOn w:val="120"/>
    <w:link w:val="52"/>
    <w:semiHidden/>
    <w:uiPriority w:val="99"/>
    <w:rPr>
      <w:rFonts w:ascii="Calibri" w:hAnsi="Calibri" w:eastAsia="宋体" w:cs="Times New Roman"/>
      <w:szCs w:val="24"/>
    </w:rPr>
  </w:style>
  <w:style w:type="character" w:customStyle="1" w:styleId="233">
    <w:name w:val="日期 Char1"/>
    <w:basedOn w:val="120"/>
    <w:link w:val="45"/>
    <w:semiHidden/>
    <w:uiPriority w:val="99"/>
    <w:rPr>
      <w:rFonts w:ascii="Calibri" w:hAnsi="Calibri" w:eastAsia="宋体" w:cs="Times New Roman"/>
      <w:szCs w:val="24"/>
    </w:rPr>
  </w:style>
  <w:style w:type="character" w:customStyle="1" w:styleId="234">
    <w:name w:val="正文文本 2 Char1"/>
    <w:basedOn w:val="120"/>
    <w:link w:val="64"/>
    <w:semiHidden/>
    <w:uiPriority w:val="99"/>
    <w:rPr>
      <w:rFonts w:ascii="Calibri" w:hAnsi="Calibri" w:eastAsia="宋体" w:cs="Times New Roman"/>
      <w:szCs w:val="24"/>
    </w:rPr>
  </w:style>
  <w:style w:type="character" w:customStyle="1" w:styleId="235">
    <w:name w:val="纯文本 Char2"/>
    <w:basedOn w:val="120"/>
    <w:link w:val="41"/>
    <w:semiHidden/>
    <w:uiPriority w:val="99"/>
    <w:rPr>
      <w:rFonts w:ascii="宋体" w:hAnsi="Courier New" w:eastAsia="宋体" w:cs="Courier New"/>
      <w:szCs w:val="21"/>
    </w:rPr>
  </w:style>
  <w:style w:type="character" w:customStyle="1" w:styleId="236">
    <w:name w:val="正文文本缩进 3 Char1"/>
    <w:basedOn w:val="120"/>
    <w:link w:val="61"/>
    <w:semiHidden/>
    <w:uiPriority w:val="99"/>
    <w:rPr>
      <w:rFonts w:ascii="Calibri" w:hAnsi="Calibri" w:eastAsia="宋体" w:cs="Times New Roman"/>
      <w:sz w:val="16"/>
      <w:szCs w:val="16"/>
    </w:rPr>
  </w:style>
  <w:style w:type="character" w:customStyle="1" w:styleId="237">
    <w:name w:val="正文文本 Char1"/>
    <w:basedOn w:val="120"/>
    <w:link w:val="31"/>
    <w:semiHidden/>
    <w:uiPriority w:val="99"/>
    <w:rPr>
      <w:rFonts w:ascii="Calibri" w:hAnsi="Calibri" w:eastAsia="宋体" w:cs="Times New Roman"/>
      <w:szCs w:val="24"/>
    </w:rPr>
  </w:style>
  <w:style w:type="character" w:customStyle="1" w:styleId="238">
    <w:name w:val="正文首行缩进 Char1"/>
    <w:basedOn w:val="237"/>
    <w:link w:val="73"/>
    <w:semiHidden/>
    <w:uiPriority w:val="99"/>
  </w:style>
  <w:style w:type="character" w:customStyle="1" w:styleId="239">
    <w:name w:val="正文文本 3 Char1"/>
    <w:basedOn w:val="120"/>
    <w:link w:val="28"/>
    <w:semiHidden/>
    <w:uiPriority w:val="99"/>
    <w:rPr>
      <w:rFonts w:ascii="Calibri" w:hAnsi="Calibri" w:eastAsia="宋体" w:cs="Times New Roman"/>
      <w:sz w:val="16"/>
      <w:szCs w:val="16"/>
    </w:rPr>
  </w:style>
  <w:style w:type="character" w:customStyle="1" w:styleId="240">
    <w:name w:val="文档结构图 Char1"/>
    <w:basedOn w:val="120"/>
    <w:link w:val="24"/>
    <w:semiHidden/>
    <w:uiPriority w:val="99"/>
    <w:rPr>
      <w:rFonts w:ascii="宋体" w:hAnsi="Calibri" w:eastAsia="宋体" w:cs="Times New Roman"/>
      <w:sz w:val="18"/>
      <w:szCs w:val="18"/>
    </w:rPr>
  </w:style>
  <w:style w:type="character" w:customStyle="1" w:styleId="241">
    <w:name w:val="HTML 预设格式 Char1"/>
    <w:basedOn w:val="120"/>
    <w:link w:val="68"/>
    <w:semiHidden/>
    <w:uiPriority w:val="99"/>
    <w:rPr>
      <w:rFonts w:ascii="Courier New" w:hAnsi="Courier New" w:eastAsia="宋体" w:cs="Courier New"/>
      <w:sz w:val="20"/>
      <w:szCs w:val="20"/>
    </w:rPr>
  </w:style>
  <w:style w:type="character" w:customStyle="1" w:styleId="242">
    <w:name w:val="批注框文本 Char1"/>
    <w:basedOn w:val="120"/>
    <w:link w:val="48"/>
    <w:semiHidden/>
    <w:uiPriority w:val="99"/>
    <w:rPr>
      <w:rFonts w:ascii="Calibri" w:hAnsi="Calibri" w:eastAsia="宋体" w:cs="Times New Roman"/>
      <w:sz w:val="18"/>
      <w:szCs w:val="18"/>
    </w:rPr>
  </w:style>
  <w:style w:type="character" w:customStyle="1" w:styleId="243">
    <w:name w:val="信息标题 Char1"/>
    <w:basedOn w:val="120"/>
    <w:link w:val="67"/>
    <w:semiHidden/>
    <w:uiPriority w:val="99"/>
    <w:rPr>
      <w:rFonts w:asciiTheme="majorHAnsi" w:hAnsiTheme="majorHAnsi" w:eastAsiaTheme="majorEastAsia" w:cstheme="majorBidi"/>
      <w:sz w:val="24"/>
      <w:szCs w:val="24"/>
      <w:shd w:val="pct20" w:color="auto" w:fill="auto"/>
    </w:rPr>
  </w:style>
  <w:style w:type="character" w:customStyle="1" w:styleId="244">
    <w:name w:val="结束语 Char1"/>
    <w:basedOn w:val="120"/>
    <w:link w:val="29"/>
    <w:semiHidden/>
    <w:uiPriority w:val="99"/>
    <w:rPr>
      <w:rFonts w:ascii="Calibri" w:hAnsi="Calibri" w:eastAsia="宋体" w:cs="Times New Roman"/>
      <w:szCs w:val="24"/>
    </w:rPr>
  </w:style>
  <w:style w:type="character" w:customStyle="1" w:styleId="245">
    <w:name w:val="标题 Char1"/>
    <w:basedOn w:val="120"/>
    <w:link w:val="71"/>
    <w:uiPriority w:val="10"/>
    <w:rPr>
      <w:rFonts w:eastAsia="宋体" w:asciiTheme="majorHAnsi" w:hAnsiTheme="majorHAnsi" w:cstheme="majorBidi"/>
      <w:b/>
      <w:bCs/>
      <w:sz w:val="32"/>
      <w:szCs w:val="32"/>
    </w:rPr>
  </w:style>
  <w:style w:type="paragraph" w:customStyle="1" w:styleId="246">
    <w:name w:val="xl78"/>
    <w:basedOn w:val="1"/>
    <w:qFormat/>
    <w:uiPriority w:val="0"/>
    <w:pPr>
      <w:widowControl/>
      <w:pBdr>
        <w:top w:val="single" w:color="auto" w:sz="4" w:space="0"/>
        <w:left w:val="single" w:color="auto" w:sz="4" w:space="0"/>
        <w:bottom w:val="single" w:color="auto" w:sz="4" w:space="0"/>
        <w:right w:val="single" w:color="auto" w:sz="4" w:space="0"/>
      </w:pBdr>
      <w:shd w:val="clear" w:color="auto" w:fill="99CCFF"/>
      <w:spacing w:before="100" w:beforeAutospacing="1" w:after="100" w:afterAutospacing="1"/>
      <w:jc w:val="center"/>
      <w:textAlignment w:val="center"/>
    </w:pPr>
    <w:rPr>
      <w:rFonts w:ascii="黑体" w:hAnsi="宋体" w:eastAsia="黑体" w:cs="宋体"/>
      <w:b/>
      <w:bCs/>
      <w:kern w:val="0"/>
      <w:sz w:val="28"/>
      <w:szCs w:val="28"/>
    </w:rPr>
  </w:style>
  <w:style w:type="paragraph" w:customStyle="1" w:styleId="247">
    <w:name w:val="xl72"/>
    <w:basedOn w:val="1"/>
    <w:qFormat/>
    <w:uiPriority w:val="99"/>
    <w:pPr>
      <w:widowControl/>
      <w:spacing w:before="100" w:beforeAutospacing="1" w:after="100" w:afterAutospacing="1"/>
      <w:jc w:val="center"/>
      <w:textAlignment w:val="center"/>
    </w:pPr>
    <w:rPr>
      <w:rFonts w:ascii="宋体" w:hAnsi="宋体" w:cs="宋体"/>
      <w:kern w:val="0"/>
      <w:sz w:val="20"/>
      <w:szCs w:val="20"/>
    </w:rPr>
  </w:style>
  <w:style w:type="paragraph" w:customStyle="1" w:styleId="248">
    <w:name w:val="列出段落1"/>
    <w:basedOn w:val="1"/>
    <w:semiHidden/>
    <w:qFormat/>
    <w:uiPriority w:val="99"/>
    <w:pPr>
      <w:ind w:firstLine="420" w:firstLineChars="200"/>
    </w:pPr>
    <w:rPr>
      <w:szCs w:val="20"/>
    </w:rPr>
  </w:style>
  <w:style w:type="paragraph" w:customStyle="1" w:styleId="249">
    <w:name w:val="t4_2"/>
    <w:basedOn w:val="1"/>
    <w:qFormat/>
    <w:uiPriority w:val="99"/>
    <w:pPr>
      <w:widowControl/>
      <w:tabs>
        <w:tab w:val="left" w:pos="360"/>
      </w:tabs>
      <w:spacing w:line="360" w:lineRule="auto"/>
      <w:ind w:left="420"/>
      <w:jc w:val="left"/>
    </w:pPr>
    <w:rPr>
      <w:b/>
    </w:rPr>
  </w:style>
  <w:style w:type="paragraph" w:customStyle="1" w:styleId="250">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51">
    <w:name w:val="本文項目"/>
    <w:basedOn w:val="1"/>
    <w:semiHidden/>
    <w:qFormat/>
    <w:uiPriority w:val="99"/>
    <w:pPr>
      <w:tabs>
        <w:tab w:val="left" w:pos="360"/>
      </w:tabs>
      <w:autoSpaceDE w:val="0"/>
      <w:autoSpaceDN w:val="0"/>
      <w:adjustRightInd w:val="0"/>
      <w:spacing w:beforeLines="50" w:afterLines="50" w:line="360" w:lineRule="auto"/>
      <w:ind w:left="360" w:hanging="360"/>
      <w:textAlignment w:val="baseline"/>
    </w:pPr>
    <w:rPr>
      <w:b/>
      <w:kern w:val="0"/>
      <w:sz w:val="24"/>
    </w:rPr>
  </w:style>
  <w:style w:type="paragraph" w:customStyle="1" w:styleId="252">
    <w:name w:val="xl45"/>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253">
    <w:name w:val="xl40"/>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54">
    <w:name w:val="xl48"/>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55">
    <w:name w:val="Char Char1 Char Char Char Char"/>
    <w:basedOn w:val="1"/>
    <w:qFormat/>
    <w:uiPriority w:val="99"/>
    <w:pPr>
      <w:keepNext/>
      <w:keepLines/>
      <w:adjustRightInd w:val="0"/>
      <w:spacing w:beforeLines="100" w:afterLines="100" w:line="300" w:lineRule="auto"/>
      <w:ind w:firstLine="200" w:firstLineChars="200"/>
      <w:textAlignment w:val="center"/>
    </w:pPr>
    <w:rPr>
      <w:rFonts w:ascii="仿宋_GB2312" w:hAnsi="宋体" w:eastAsia="仿宋_GB2312"/>
      <w:kern w:val="0"/>
      <w:sz w:val="24"/>
      <w:szCs w:val="20"/>
    </w:rPr>
  </w:style>
  <w:style w:type="paragraph" w:customStyle="1" w:styleId="256">
    <w:name w:val="样式2"/>
    <w:basedOn w:val="7"/>
    <w:qFormat/>
    <w:uiPriority w:val="99"/>
    <w:pPr>
      <w:autoSpaceDE w:val="0"/>
      <w:autoSpaceDN w:val="0"/>
      <w:adjustRightInd w:val="0"/>
      <w:spacing w:before="240" w:after="240" w:line="500" w:lineRule="exact"/>
      <w:ind w:firstLine="204" w:firstLineChars="204"/>
      <w:jc w:val="left"/>
    </w:pPr>
    <w:rPr>
      <w:rFonts w:ascii="宋体" w:hAnsi="宋体"/>
      <w:bCs w:val="0"/>
      <w:sz w:val="24"/>
      <w:szCs w:val="20"/>
    </w:rPr>
  </w:style>
  <w:style w:type="paragraph" w:customStyle="1" w:styleId="257">
    <w:name w:val="xl5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58">
    <w:name w:val="注×："/>
    <w:semiHidden/>
    <w:qFormat/>
    <w:uiPriority w:val="99"/>
    <w:pPr>
      <w:widowControl w:val="0"/>
      <w:tabs>
        <w:tab w:val="left" w:pos="360"/>
        <w:tab w:val="left" w:pos="630"/>
      </w:tabs>
      <w:autoSpaceDE w:val="0"/>
      <w:autoSpaceDN w:val="0"/>
      <w:ind w:left="360" w:hanging="360"/>
      <w:jc w:val="both"/>
    </w:pPr>
    <w:rPr>
      <w:rFonts w:ascii="宋体" w:hAnsi="Calibri" w:eastAsia="宋体" w:cs="Times New Roman"/>
      <w:kern w:val="0"/>
      <w:sz w:val="18"/>
      <w:szCs w:val="20"/>
      <w:lang w:val="en-US" w:eastAsia="zh-CN" w:bidi="ar-SA"/>
    </w:rPr>
  </w:style>
  <w:style w:type="paragraph" w:customStyle="1" w:styleId="259">
    <w:name w:val="xl69"/>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260">
    <w:name w:val="表格标注（绿盟科技）"/>
    <w:basedOn w:val="261"/>
    <w:next w:val="1"/>
    <w:semiHidden/>
    <w:qFormat/>
    <w:uiPriority w:val="99"/>
    <w:pPr>
      <w:numPr>
        <w:ilvl w:val="4"/>
      </w:numPr>
      <w:tabs>
        <w:tab w:val="left" w:pos="1620"/>
        <w:tab w:val="left" w:pos="1680"/>
        <w:tab w:val="left" w:pos="2100"/>
      </w:tabs>
      <w:ind w:left="1620" w:hanging="360"/>
    </w:pPr>
  </w:style>
  <w:style w:type="paragraph" w:customStyle="1" w:styleId="261">
    <w:name w:val="插图标注（绿盟科技）"/>
    <w:next w:val="1"/>
    <w:semiHidden/>
    <w:uiPriority w:val="99"/>
    <w:pPr>
      <w:numPr>
        <w:ilvl w:val="3"/>
        <w:numId w:val="1"/>
      </w:numPr>
      <w:spacing w:after="156"/>
      <w:ind w:left="426" w:firstLine="0"/>
      <w:jc w:val="center"/>
    </w:pPr>
    <w:rPr>
      <w:rFonts w:ascii="Arial" w:hAnsi="Arial" w:eastAsia="宋体" w:cs="Arial"/>
      <w:kern w:val="0"/>
      <w:sz w:val="21"/>
      <w:szCs w:val="21"/>
      <w:lang w:val="en-US" w:eastAsia="zh-CN" w:bidi="ar-SA"/>
    </w:rPr>
  </w:style>
  <w:style w:type="paragraph" w:customStyle="1" w:styleId="262">
    <w:name w:val="示例"/>
    <w:qFormat/>
    <w:uiPriority w:val="99"/>
    <w:pPr>
      <w:jc w:val="both"/>
    </w:pPr>
    <w:rPr>
      <w:rFonts w:ascii="宋体" w:hAnsi="Calibri" w:eastAsia="宋体" w:cs="Times New Roman"/>
      <w:kern w:val="0"/>
      <w:sz w:val="18"/>
      <w:szCs w:val="20"/>
      <w:lang w:val="en-US" w:eastAsia="zh-CN" w:bidi="ar-SA"/>
    </w:rPr>
  </w:style>
  <w:style w:type="paragraph" w:customStyle="1" w:styleId="263">
    <w:name w:val="xl6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0"/>
      <w:szCs w:val="20"/>
    </w:rPr>
  </w:style>
  <w:style w:type="paragraph" w:customStyle="1" w:styleId="264">
    <w:name w:val="xl43"/>
    <w:basedOn w:val="265"/>
    <w:uiPriority w:val="99"/>
    <w:pPr>
      <w:pBdr>
        <w:bottom w:val="single" w:color="auto" w:sz="4" w:space="0"/>
        <w:right w:val="single" w:color="auto" w:sz="4" w:space="0"/>
      </w:pBdr>
      <w:jc w:val="center"/>
    </w:pPr>
    <w:rPr>
      <w:sz w:val="21"/>
      <w:szCs w:val="21"/>
    </w:rPr>
  </w:style>
  <w:style w:type="paragraph" w:customStyle="1" w:styleId="265">
    <w:name w:val="style0"/>
    <w:basedOn w:val="1"/>
    <w:qFormat/>
    <w:uiPriority w:val="99"/>
    <w:pPr>
      <w:widowControl/>
      <w:spacing w:before="100" w:beforeAutospacing="1" w:after="100" w:afterAutospacing="1"/>
      <w:jc w:val="left"/>
    </w:pPr>
    <w:rPr>
      <w:rFonts w:ascii="宋体" w:hAnsi="宋体"/>
      <w:kern w:val="0"/>
      <w:sz w:val="24"/>
    </w:rPr>
  </w:style>
  <w:style w:type="paragraph" w:customStyle="1" w:styleId="266">
    <w:name w:val="xl39"/>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67">
    <w:name w:val="font6"/>
    <w:basedOn w:val="1"/>
    <w:qFormat/>
    <w:uiPriority w:val="0"/>
    <w:pPr>
      <w:widowControl/>
      <w:spacing w:before="100" w:beforeAutospacing="1" w:after="100" w:afterAutospacing="1"/>
      <w:jc w:val="left"/>
    </w:pPr>
    <w:rPr>
      <w:rFonts w:ascii="宋体" w:hAnsi="宋体" w:cs="宋体"/>
      <w:b/>
      <w:bCs/>
      <w:color w:val="000000"/>
      <w:kern w:val="0"/>
      <w:sz w:val="18"/>
      <w:szCs w:val="18"/>
    </w:rPr>
  </w:style>
  <w:style w:type="paragraph" w:customStyle="1" w:styleId="268">
    <w:name w:val="xl3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69">
    <w:name w:val="Char Char Char Char"/>
    <w:basedOn w:val="1"/>
    <w:qFormat/>
    <w:uiPriority w:val="99"/>
    <w:rPr>
      <w:rFonts w:ascii="Tahoma" w:hAnsi="Tahoma"/>
      <w:sz w:val="24"/>
      <w:szCs w:val="20"/>
    </w:rPr>
  </w:style>
  <w:style w:type="paragraph" w:customStyle="1" w:styleId="27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71">
    <w:name w:val="xl23"/>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72">
    <w:name w:val="xl38"/>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273">
    <w:name w:val="标题 3（绿盟科技）"/>
    <w:basedOn w:val="5"/>
    <w:next w:val="1"/>
    <w:semiHidden/>
    <w:qFormat/>
    <w:uiPriority w:val="99"/>
    <w:pPr>
      <w:tabs>
        <w:tab w:val="left" w:pos="960"/>
        <w:tab w:val="left" w:pos="1260"/>
      </w:tabs>
      <w:spacing w:line="415" w:lineRule="auto"/>
      <w:ind w:left="1260" w:firstLine="147" w:firstLineChars="147"/>
      <w:jc w:val="left"/>
    </w:pPr>
    <w:rPr>
      <w:rFonts w:ascii="Arial" w:hAnsi="Arial" w:eastAsia="黑体"/>
      <w:sz w:val="30"/>
      <w:szCs w:val="30"/>
    </w:rPr>
  </w:style>
  <w:style w:type="paragraph" w:customStyle="1" w:styleId="274">
    <w:name w:val="标题 2（绿盟科技）"/>
    <w:basedOn w:val="4"/>
    <w:next w:val="1"/>
    <w:semiHidden/>
    <w:uiPriority w:val="99"/>
    <w:pPr>
      <w:numPr>
        <w:ilvl w:val="1"/>
        <w:numId w:val="1"/>
      </w:numPr>
      <w:tabs>
        <w:tab w:val="left" w:pos="1440"/>
      </w:tabs>
      <w:spacing w:line="415" w:lineRule="auto"/>
      <w:jc w:val="left"/>
    </w:pPr>
    <w:rPr>
      <w:bCs w:val="0"/>
    </w:rPr>
  </w:style>
  <w:style w:type="paragraph" w:customStyle="1" w:styleId="275">
    <w:name w:val="xl2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76">
    <w:name w:val="xl67"/>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277">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78">
    <w:name w:val="默认段落字体 Para Char Char Char Char Char Char Char Char Char Char Char Char Char Char Char1 Char Char Char Char"/>
    <w:basedOn w:val="24"/>
    <w:qFormat/>
    <w:uiPriority w:val="99"/>
    <w:pPr>
      <w:adjustRightInd w:val="0"/>
      <w:spacing w:line="436" w:lineRule="exact"/>
      <w:ind w:left="357"/>
      <w:jc w:val="left"/>
      <w:outlineLvl w:val="3"/>
    </w:pPr>
    <w:rPr>
      <w:rFonts w:ascii="仿宋_GB2312" w:eastAsia="仿宋_GB2312"/>
      <w:sz w:val="24"/>
    </w:rPr>
  </w:style>
  <w:style w:type="paragraph" w:customStyle="1" w:styleId="27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80">
    <w:name w:val="标题 4（绿盟科技）"/>
    <w:basedOn w:val="6"/>
    <w:next w:val="1"/>
    <w:semiHidden/>
    <w:qFormat/>
    <w:uiPriority w:val="99"/>
    <w:pPr>
      <w:widowControl/>
      <w:tabs>
        <w:tab w:val="left" w:pos="360"/>
      </w:tabs>
      <w:ind w:left="1447" w:hanging="1021"/>
      <w:jc w:val="left"/>
    </w:pPr>
    <w:rPr>
      <w:bCs w:val="0"/>
    </w:rPr>
  </w:style>
  <w:style w:type="paragraph" w:customStyle="1" w:styleId="281">
    <w:name w:val="五级无标题条"/>
    <w:basedOn w:val="1"/>
    <w:uiPriority w:val="99"/>
    <w:pPr>
      <w:tabs>
        <w:tab w:val="left" w:pos="840"/>
      </w:tabs>
      <w:ind w:left="840" w:hanging="630"/>
    </w:pPr>
    <w:rPr>
      <w:szCs w:val="20"/>
    </w:rPr>
  </w:style>
  <w:style w:type="paragraph" w:customStyle="1" w:styleId="282">
    <w:name w:val="xl66"/>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283">
    <w:name w:val="Char Char1 Char Char Char Char1"/>
    <w:basedOn w:val="1"/>
    <w:qFormat/>
    <w:uiPriority w:val="99"/>
    <w:pPr>
      <w:keepNext/>
      <w:keepLines/>
      <w:adjustRightInd w:val="0"/>
      <w:spacing w:beforeLines="100" w:afterLines="100" w:line="300" w:lineRule="auto"/>
      <w:ind w:firstLine="200" w:firstLineChars="200"/>
    </w:pPr>
    <w:rPr>
      <w:rFonts w:ascii="仿宋_GB2312" w:hAnsi="宋体" w:eastAsia="仿宋_GB2312"/>
      <w:kern w:val="0"/>
      <w:sz w:val="24"/>
      <w:szCs w:val="20"/>
    </w:rPr>
  </w:style>
  <w:style w:type="paragraph" w:customStyle="1" w:styleId="284">
    <w:name w:val="表题"/>
    <w:basedOn w:val="41"/>
    <w:qFormat/>
    <w:uiPriority w:val="99"/>
    <w:pPr>
      <w:adjustRightInd w:val="0"/>
      <w:spacing w:line="480" w:lineRule="auto"/>
      <w:jc w:val="center"/>
    </w:pPr>
    <w:rPr>
      <w:rFonts w:ascii="Times New Roman" w:hAnsi="Times New Roman" w:eastAsia="黑体"/>
      <w:sz w:val="18"/>
    </w:rPr>
  </w:style>
  <w:style w:type="paragraph" w:customStyle="1" w:styleId="285">
    <w:name w:val="xl42"/>
    <w:basedOn w:val="1"/>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86">
    <w:name w:val="xl47"/>
    <w:basedOn w:val="1"/>
    <w:qFormat/>
    <w:uiPriority w:val="99"/>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87">
    <w:name w:val="a2"/>
    <w:basedOn w:val="1"/>
    <w:qFormat/>
    <w:uiPriority w:val="99"/>
    <w:pPr>
      <w:widowControl/>
      <w:spacing w:before="100" w:beforeAutospacing="1" w:after="100" w:afterAutospacing="1"/>
      <w:jc w:val="left"/>
    </w:pPr>
    <w:rPr>
      <w:rFonts w:ascii="宋体" w:hAnsi="宋体" w:cs="宋体"/>
      <w:kern w:val="0"/>
      <w:sz w:val="24"/>
    </w:rPr>
  </w:style>
  <w:style w:type="paragraph" w:customStyle="1" w:styleId="288">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289">
    <w:name w:val="xl50"/>
    <w:basedOn w:val="1"/>
    <w:qFormat/>
    <w:uiPriority w:val="99"/>
    <w:pPr>
      <w:widowControl/>
      <w:pBdr>
        <w:lef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90">
    <w:name w:val="xl30"/>
    <w:basedOn w:val="1"/>
    <w:qFormat/>
    <w:uiPriority w:val="99"/>
    <w:pPr>
      <w:widowControl/>
      <w:pBdr>
        <w:top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91">
    <w:name w:val="标题 5（有编号）（绿盟科技）"/>
    <w:basedOn w:val="1"/>
    <w:next w:val="1"/>
    <w:semiHidden/>
    <w:qFormat/>
    <w:uiPriority w:val="99"/>
    <w:pPr>
      <w:keepNext/>
      <w:keepLines/>
      <w:tabs>
        <w:tab w:val="left" w:pos="840"/>
      </w:tabs>
      <w:spacing w:line="377" w:lineRule="auto"/>
      <w:ind w:left="1560" w:hanging="1134"/>
      <w:jc w:val="left"/>
      <w:outlineLvl w:val="4"/>
    </w:pPr>
    <w:rPr>
      <w:rFonts w:ascii="Arial" w:hAnsi="Arial" w:eastAsia="黑体"/>
      <w:b/>
      <w:kern w:val="0"/>
      <w:sz w:val="24"/>
      <w:szCs w:val="28"/>
    </w:rPr>
  </w:style>
  <w:style w:type="paragraph" w:customStyle="1" w:styleId="292">
    <w:name w:val="样式5"/>
    <w:basedOn w:val="1"/>
    <w:next w:val="40"/>
    <w:qFormat/>
    <w:uiPriority w:val="99"/>
    <w:pPr>
      <w:tabs>
        <w:tab w:val="left" w:pos="980"/>
      </w:tabs>
      <w:spacing w:line="360" w:lineRule="auto"/>
      <w:ind w:left="140" w:right="-20"/>
      <w:outlineLvl w:val="0"/>
    </w:pPr>
    <w:rPr>
      <w:b/>
      <w:bCs/>
      <w:kern w:val="0"/>
      <w:sz w:val="28"/>
      <w:szCs w:val="28"/>
    </w:rPr>
  </w:style>
  <w:style w:type="paragraph" w:customStyle="1" w:styleId="293">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94">
    <w:name w:val="xl28"/>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5">
    <w:name w:val="xl37"/>
    <w:basedOn w:val="1"/>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96">
    <w:name w:val="xl49"/>
    <w:basedOn w:val="1"/>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297">
    <w:name w:val="样式 标题 2 + 宋体 五号 非加粗 黑色"/>
    <w:basedOn w:val="4"/>
    <w:uiPriority w:val="0"/>
    <w:pPr>
      <w:numPr>
        <w:ilvl w:val="1"/>
        <w:numId w:val="2"/>
      </w:numPr>
      <w:spacing w:line="416" w:lineRule="atLeast"/>
    </w:pPr>
    <w:rPr>
      <w:rFonts w:ascii="宋体" w:hAnsi="宋体" w:eastAsia="宋体"/>
      <w:b w:val="0"/>
      <w:bCs w:val="0"/>
      <w:color w:val="000000"/>
      <w:kern w:val="2"/>
      <w:sz w:val="21"/>
      <w:lang w:val="en-US" w:eastAsia="zh-CN"/>
    </w:rPr>
  </w:style>
  <w:style w:type="paragraph" w:customStyle="1" w:styleId="298">
    <w:name w:val="xl4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299">
    <w:name w:val="样式4"/>
    <w:basedOn w:val="256"/>
    <w:qFormat/>
    <w:uiPriority w:val="99"/>
    <w:pPr>
      <w:keepNext w:val="0"/>
      <w:keepLines w:val="0"/>
      <w:tabs>
        <w:tab w:val="left" w:pos="360"/>
      </w:tabs>
      <w:autoSpaceDE/>
      <w:autoSpaceDN/>
      <w:adjustRightInd/>
      <w:spacing w:before="0" w:after="200" w:line="276" w:lineRule="auto"/>
      <w:ind w:left="360" w:firstLine="0" w:firstLineChars="0"/>
      <w:jc w:val="both"/>
      <w:outlineLvl w:val="9"/>
    </w:pPr>
    <w:rPr>
      <w:rFonts w:ascii="Calibri" w:hAnsi="Calibri"/>
      <w:szCs w:val="24"/>
    </w:rPr>
  </w:style>
  <w:style w:type="paragraph" w:customStyle="1" w:styleId="300">
    <w:name w:val="正文2"/>
    <w:basedOn w:val="1"/>
    <w:semiHidden/>
    <w:qFormat/>
    <w:uiPriority w:val="99"/>
    <w:pPr>
      <w:spacing w:before="156" w:line="360" w:lineRule="auto"/>
      <w:ind w:firstLine="510" w:firstLineChars="200"/>
    </w:pPr>
    <w:rPr>
      <w:sz w:val="24"/>
      <w:szCs w:val="20"/>
    </w:rPr>
  </w:style>
  <w:style w:type="paragraph" w:customStyle="1" w:styleId="301">
    <w:name w:val="xl3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02">
    <w:name w:val="xl27"/>
    <w:basedOn w:val="1"/>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
    <w:name w:val="p0"/>
    <w:basedOn w:val="1"/>
    <w:semiHidden/>
    <w:qFormat/>
    <w:uiPriority w:val="99"/>
    <w:pPr>
      <w:widowControl/>
      <w:spacing w:after="200" w:line="273" w:lineRule="auto"/>
      <w:jc w:val="left"/>
    </w:pPr>
    <w:rPr>
      <w:rFonts w:cs="宋体"/>
      <w:kern w:val="0"/>
      <w:sz w:val="22"/>
      <w:szCs w:val="22"/>
    </w:rPr>
  </w:style>
  <w:style w:type="paragraph" w:customStyle="1" w:styleId="304">
    <w:name w:val="样式1"/>
    <w:basedOn w:val="6"/>
    <w:qFormat/>
    <w:uiPriority w:val="99"/>
    <w:pPr>
      <w:autoSpaceDE w:val="0"/>
      <w:autoSpaceDN w:val="0"/>
      <w:adjustRightInd w:val="0"/>
      <w:spacing w:line="500" w:lineRule="exact"/>
      <w:ind w:firstLine="490" w:firstLineChars="204"/>
      <w:jc w:val="left"/>
    </w:pPr>
    <w:rPr>
      <w:rFonts w:ascii="宋体" w:hAnsi="宋体"/>
      <w:bCs w:val="0"/>
      <w:sz w:val="24"/>
      <w:szCs w:val="20"/>
    </w:rPr>
  </w:style>
  <w:style w:type="paragraph" w:customStyle="1" w:styleId="305">
    <w:name w:val="xl73"/>
    <w:basedOn w:val="1"/>
    <w:qFormat/>
    <w:uiPriority w:val="0"/>
    <w:pPr>
      <w:widowControl/>
      <w:spacing w:before="100" w:beforeAutospacing="1" w:after="100" w:afterAutospacing="1"/>
      <w:jc w:val="center"/>
      <w:textAlignment w:val="center"/>
    </w:pPr>
    <w:rPr>
      <w:rFonts w:ascii="宋体" w:hAnsi="宋体" w:cs="宋体"/>
      <w:kern w:val="0"/>
      <w:sz w:val="18"/>
      <w:szCs w:val="18"/>
    </w:rPr>
  </w:style>
  <w:style w:type="paragraph" w:customStyle="1" w:styleId="306">
    <w:name w:val="Char"/>
    <w:basedOn w:val="1"/>
    <w:qFormat/>
    <w:uiPriority w:val="99"/>
    <w:pPr>
      <w:tabs>
        <w:tab w:val="left" w:pos="708"/>
      </w:tabs>
      <w:ind w:firstLine="420"/>
    </w:pPr>
    <w:rPr>
      <w:rFonts w:ascii="仿宋_GB2312" w:eastAsia="仿宋_GB2312"/>
      <w:sz w:val="24"/>
    </w:rPr>
  </w:style>
  <w:style w:type="paragraph" w:customStyle="1" w:styleId="307">
    <w:name w:val="样式目录三"/>
    <w:basedOn w:val="40"/>
    <w:semiHidden/>
    <w:qFormat/>
    <w:uiPriority w:val="99"/>
    <w:pPr>
      <w:numPr>
        <w:ilvl w:val="5"/>
        <w:numId w:val="1"/>
      </w:numPr>
      <w:tabs>
        <w:tab w:val="left" w:pos="1320"/>
        <w:tab w:val="right" w:leader="dot" w:pos="8597"/>
      </w:tabs>
      <w:spacing w:line="360" w:lineRule="auto"/>
      <w:ind w:left="0" w:firstLine="0"/>
      <w:outlineLvl w:val="2"/>
    </w:pPr>
    <w:rPr>
      <w:i w:val="0"/>
      <w:sz w:val="24"/>
    </w:rPr>
  </w:style>
  <w:style w:type="paragraph" w:customStyle="1" w:styleId="308">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309">
    <w:name w:val="xl65"/>
    <w:basedOn w:val="1"/>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0">
    <w:name w:val="简单回函地址"/>
    <w:basedOn w:val="1"/>
    <w:uiPriority w:val="99"/>
  </w:style>
  <w:style w:type="paragraph" w:customStyle="1" w:styleId="311">
    <w:name w:val="xl32"/>
    <w:basedOn w:val="1"/>
    <w:qFormat/>
    <w:uiPriority w:val="99"/>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312">
    <w:name w:val="Char Char 字元 字元 字元 Char Char Char Char"/>
    <w:basedOn w:val="1"/>
    <w:qFormat/>
    <w:uiPriority w:val="99"/>
    <w:pPr>
      <w:adjustRightInd w:val="0"/>
      <w:spacing w:line="360" w:lineRule="auto"/>
    </w:pPr>
    <w:rPr>
      <w:kern w:val="0"/>
      <w:sz w:val="24"/>
      <w:szCs w:val="20"/>
    </w:rPr>
  </w:style>
  <w:style w:type="paragraph" w:customStyle="1" w:styleId="313">
    <w:name w:val="正文居中"/>
    <w:basedOn w:val="1"/>
    <w:next w:val="73"/>
    <w:qFormat/>
    <w:uiPriority w:val="99"/>
    <w:pPr>
      <w:jc w:val="center"/>
    </w:pPr>
    <w:rPr>
      <w:sz w:val="24"/>
      <w:szCs w:val="20"/>
    </w:rPr>
  </w:style>
  <w:style w:type="character" w:customStyle="1" w:styleId="314">
    <w:name w:val="明显引用 Char1"/>
    <w:basedOn w:val="120"/>
    <w:link w:val="157"/>
    <w:uiPriority w:val="30"/>
    <w:rPr>
      <w:rFonts w:ascii="Calibri" w:hAnsi="Calibri" w:eastAsia="宋体" w:cs="Times New Roman"/>
      <w:b/>
      <w:bCs/>
      <w:i/>
      <w:iCs/>
      <w:color w:val="4F81BD" w:themeColor="accent1"/>
      <w:szCs w:val="24"/>
    </w:rPr>
  </w:style>
  <w:style w:type="paragraph" w:styleId="315">
    <w:name w:val="List Paragraph"/>
    <w:basedOn w:val="1"/>
    <w:qFormat/>
    <w:uiPriority w:val="34"/>
    <w:pPr>
      <w:ind w:firstLine="420" w:firstLineChars="200"/>
    </w:pPr>
    <w:rPr>
      <w:szCs w:val="22"/>
    </w:rPr>
  </w:style>
  <w:style w:type="paragraph" w:customStyle="1" w:styleId="316">
    <w:name w:val="PP 行"/>
    <w:basedOn w:val="52"/>
    <w:qFormat/>
    <w:uiPriority w:val="99"/>
  </w:style>
  <w:style w:type="paragraph" w:customStyle="1" w:styleId="317">
    <w:name w:val="标题 1（绿盟科技）"/>
    <w:basedOn w:val="3"/>
    <w:next w:val="1"/>
    <w:semiHidden/>
    <w:qFormat/>
    <w:uiPriority w:val="99"/>
    <w:pPr>
      <w:pBdr>
        <w:bottom w:val="single" w:color="auto" w:sz="48" w:space="1"/>
      </w:pBdr>
      <w:tabs>
        <w:tab w:val="left" w:pos="360"/>
      </w:tabs>
      <w:spacing w:line="576" w:lineRule="auto"/>
      <w:ind w:left="360" w:hanging="360"/>
      <w:jc w:val="left"/>
    </w:pPr>
    <w:rPr>
      <w:rFonts w:ascii="Arial" w:hAnsi="Arial" w:eastAsia="黑体"/>
    </w:rPr>
  </w:style>
  <w:style w:type="paragraph" w:customStyle="1" w:styleId="31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19">
    <w:name w:val="xl33"/>
    <w:basedOn w:val="265"/>
    <w:qFormat/>
    <w:uiPriority w:val="99"/>
    <w:pPr>
      <w:pBdr>
        <w:bottom w:val="single" w:color="auto" w:sz="4" w:space="0"/>
        <w:right w:val="single" w:color="auto" w:sz="4" w:space="0"/>
      </w:pBdr>
      <w:jc w:val="center"/>
    </w:pPr>
    <w:rPr>
      <w:sz w:val="20"/>
      <w:szCs w:val="20"/>
    </w:rPr>
  </w:style>
  <w:style w:type="paragraph" w:customStyle="1" w:styleId="320">
    <w:name w:val="xl46"/>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44"/>
      <w:szCs w:val="44"/>
    </w:rPr>
  </w:style>
  <w:style w:type="paragraph" w:customStyle="1" w:styleId="321">
    <w:name w:val="font0"/>
    <w:basedOn w:val="1"/>
    <w:qFormat/>
    <w:uiPriority w:val="99"/>
    <w:pPr>
      <w:widowControl/>
      <w:spacing w:before="100" w:beforeAutospacing="1" w:after="100" w:afterAutospacing="1"/>
      <w:jc w:val="left"/>
    </w:pPr>
    <w:rPr>
      <w:rFonts w:ascii="宋体" w:hAnsi="宋体" w:cs="宋体"/>
      <w:kern w:val="0"/>
      <w:sz w:val="24"/>
    </w:rPr>
  </w:style>
  <w:style w:type="paragraph" w:customStyle="1" w:styleId="322">
    <w:name w:val="xl74"/>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2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18"/>
      <w:szCs w:val="18"/>
    </w:rPr>
  </w:style>
  <w:style w:type="paragraph" w:customStyle="1" w:styleId="324">
    <w:name w:val="xl44"/>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color w:val="000000"/>
      <w:kern w:val="0"/>
      <w:sz w:val="44"/>
      <w:szCs w:val="44"/>
    </w:rPr>
  </w:style>
  <w:style w:type="paragraph" w:customStyle="1" w:styleId="325">
    <w:name w:val="111111"/>
    <w:basedOn w:val="71"/>
    <w:qFormat/>
    <w:uiPriority w:val="99"/>
    <w:pPr>
      <w:jc w:val="both"/>
    </w:pPr>
  </w:style>
  <w:style w:type="paragraph" w:customStyle="1" w:styleId="326">
    <w:name w:val="xl22"/>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7">
    <w:name w:val="Char Char Char"/>
    <w:basedOn w:val="1"/>
    <w:qFormat/>
    <w:uiPriority w:val="99"/>
    <w:rPr>
      <w:rFonts w:ascii="宋体" w:hAnsi="宋体"/>
      <w:b/>
      <w:sz w:val="28"/>
      <w:szCs w:val="28"/>
    </w:rPr>
  </w:style>
  <w:style w:type="paragraph" w:customStyle="1" w:styleId="328">
    <w:name w:val="标题 6（有编号）（绿盟科技）"/>
    <w:basedOn w:val="1"/>
    <w:next w:val="1"/>
    <w:semiHidden/>
    <w:qFormat/>
    <w:uiPriority w:val="99"/>
    <w:pPr>
      <w:keepNext/>
      <w:keepLines/>
      <w:numPr>
        <w:ilvl w:val="2"/>
        <w:numId w:val="1"/>
      </w:numPr>
      <w:spacing w:line="319" w:lineRule="auto"/>
      <w:ind w:left="1673" w:hanging="1247"/>
      <w:jc w:val="left"/>
      <w:outlineLvl w:val="5"/>
    </w:pPr>
    <w:rPr>
      <w:rFonts w:ascii="Arial" w:hAnsi="Arial" w:eastAsia="黑体"/>
      <w:b/>
      <w:kern w:val="0"/>
    </w:rPr>
  </w:style>
  <w:style w:type="paragraph" w:customStyle="1" w:styleId="329">
    <w:name w:val="xl29"/>
    <w:basedOn w:val="1"/>
    <w:qFormat/>
    <w:uiPriority w:val="99"/>
    <w:pPr>
      <w:widowControl/>
      <w:pBdr>
        <w:top w:val="single" w:color="auto" w:sz="4" w:space="0"/>
        <w:left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330">
    <w:name w:val="xl31"/>
    <w:basedOn w:val="1"/>
    <w:qFormat/>
    <w:uiPriority w:val="99"/>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b/>
      <w:bCs/>
      <w:color w:val="000000"/>
      <w:kern w:val="0"/>
      <w:sz w:val="24"/>
    </w:rPr>
  </w:style>
  <w:style w:type="paragraph" w:customStyle="1" w:styleId="331">
    <w:name w:val="正文 A A"/>
    <w:qFormat/>
    <w:uiPriority w:val="0"/>
    <w:pPr>
      <w:widowControl w:val="0"/>
      <w:spacing w:line="360" w:lineRule="auto"/>
      <w:ind w:firstLine="200"/>
      <w:jc w:val="both"/>
    </w:pPr>
    <w:rPr>
      <w:rFonts w:ascii="宋体" w:hAnsi="宋体" w:eastAsia="宋体" w:cs="宋体"/>
      <w:color w:val="000000"/>
      <w:kern w:val="2"/>
      <w:sz w:val="28"/>
      <w:szCs w:val="28"/>
      <w:lang w:val="en-US" w:eastAsia="zh-CN" w:bidi="ar-SA"/>
    </w:rPr>
  </w:style>
  <w:style w:type="paragraph" w:customStyle="1" w:styleId="332">
    <w:name w:val="图表题注"/>
    <w:basedOn w:val="21"/>
    <w:next w:val="20"/>
    <w:uiPriority w:val="0"/>
    <w:pPr>
      <w:jc w:val="center"/>
    </w:pPr>
    <w:rPr>
      <w:rFonts w:ascii="Times New Roman" w:hAnsi="Times New Roman" w:eastAsia="宋体" w:cs="Times New Roman"/>
      <w:sz w:val="21"/>
    </w:rPr>
  </w:style>
  <w:style w:type="paragraph" w:customStyle="1" w:styleId="333">
    <w:name w:val="Table Paragraph"/>
    <w:basedOn w:val="1"/>
    <w:qFormat/>
    <w:uiPriority w:val="1"/>
    <w:pPr>
      <w:autoSpaceDE w:val="0"/>
      <w:autoSpaceDN w:val="0"/>
      <w:jc w:val="left"/>
    </w:pPr>
    <w:rPr>
      <w:rFonts w:ascii="宋体" w:hAnsi="宋体" w:cs="宋体"/>
      <w:kern w:val="0"/>
      <w:sz w:val="22"/>
      <w:szCs w:val="22"/>
      <w:lang w:val="zh-CN" w:bidi="zh-CN"/>
    </w:rPr>
  </w:style>
  <w:style w:type="character" w:customStyle="1" w:styleId="334">
    <w:name w:val="样式 仿宋"/>
    <w:uiPriority w:val="0"/>
    <w:rPr>
      <w:rFonts w:ascii="仿宋" w:hAnsi="仿宋" w:eastAsia="仿宋"/>
      <w:kern w:val="1"/>
    </w:rPr>
  </w:style>
  <w:style w:type="paragraph" w:customStyle="1" w:styleId="335">
    <w:name w:val="xl79"/>
    <w:basedOn w:val="1"/>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color w:val="000000"/>
      <w:kern w:val="0"/>
      <w:sz w:val="24"/>
    </w:rPr>
  </w:style>
  <w:style w:type="paragraph" w:customStyle="1" w:styleId="336">
    <w:name w:val="xl8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7">
    <w:name w:val="xl8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8">
    <w:name w:val="xl82"/>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9">
    <w:name w:val="xl83"/>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40">
    <w:name w:val="xl84"/>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41">
    <w:name w:val="xl85"/>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42">
    <w:name w:val="xl86"/>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43">
    <w:name w:val="xl8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44">
    <w:name w:val="xl88"/>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45">
    <w:name w:val="xl89"/>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46">
    <w:name w:val="xl9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47">
    <w:name w:val="xl91"/>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48">
    <w:name w:val="xl92"/>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kern w:val="0"/>
      <w:sz w:val="32"/>
      <w:szCs w:val="3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2059</Words>
  <Characters>11741</Characters>
  <Lines>97</Lines>
  <Paragraphs>27</Paragraphs>
  <TotalTime>0</TotalTime>
  <ScaleCrop>false</ScaleCrop>
  <LinksUpToDate>false</LinksUpToDate>
  <CharactersWithSpaces>13773</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2020-01-21T08:29:00Z</dcterms:created>
  <dc:creator>许铖铖</dc:creator>
  <cp:lastModifiedBy>橙橙</cp:lastModifiedBy>
  <dcterms:modified xsi:type="dcterms:W3CDTF">2020-01-22T01:46:34Z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