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4B0B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rPr>
      </w:pPr>
      <w:r>
        <w:rPr>
          <w:rFonts w:hint="eastAsia" w:ascii="宋体" w:hAnsi="宋体" w:eastAsia="宋体" w:cs="宋体"/>
          <w:b/>
          <w:sz w:val="28"/>
          <w:szCs w:val="28"/>
        </w:rPr>
        <w:t>食品原料类伙食物资供应商退出与违约行为处置细则</w:t>
      </w:r>
    </w:p>
    <w:p w14:paraId="6D216083">
      <w:pPr>
        <w:spacing w:line="520" w:lineRule="exact"/>
        <w:ind w:firstLine="480" w:firstLineChars="200"/>
        <w:rPr>
          <w:rFonts w:hint="eastAsia" w:ascii="宋体" w:hAnsi="宋体" w:eastAsia="宋体" w:cs="宋体"/>
          <w:sz w:val="24"/>
          <w:szCs w:val="24"/>
        </w:rPr>
      </w:pPr>
      <w:bookmarkStart w:id="0" w:name="_GoBack"/>
      <w:bookmarkEnd w:id="0"/>
    </w:p>
    <w:p w14:paraId="19AA6D2C">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一、退出细则</w:t>
      </w:r>
    </w:p>
    <w:p w14:paraId="73C364F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（一）供货期内食品原料类伙食物资供应商出现以下违约行为的，取消其供应商资格并解除供货服务协议：</w:t>
      </w:r>
    </w:p>
    <w:p w14:paraId="7C74B6F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1.因所供食品原料质量问题引发食品安全事故的；</w:t>
      </w:r>
    </w:p>
    <w:p w14:paraId="6814ACD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2.因供应商原因造成饮食中心声誉严重受损，或受到上级部门、行政机关通报批评或处罚的；</w:t>
      </w:r>
    </w:p>
    <w:p w14:paraId="3AFD00C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3.存在严重不良诚信记录，包括但不限于提供虚假材料、隐瞒重要事实或以欺诈手段取得供货资格的；</w:t>
      </w:r>
    </w:p>
    <w:p w14:paraId="1CA1862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4.未经同意私自更换投标响应产品的品牌，且以次充好的；</w:t>
      </w:r>
    </w:p>
    <w:p w14:paraId="3A38207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5.无正当理由单方停止供货，或经书面通知后在载明的整改期限内拒不整改的；</w:t>
      </w:r>
    </w:p>
    <w:p w14:paraId="527A117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6.经违约处罚细则认定的累计违约次数达到解除协议标准的（无故交货延误累计三次及以上、缺货补货不及时累计三次及以上、同一产品质量问题再次配送仍不合格等）；</w:t>
      </w:r>
    </w:p>
    <w:p w14:paraId="7B24C53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7.法律、法规或合同约定的其他可以解除协议的情形。</w:t>
      </w:r>
    </w:p>
    <w:p w14:paraId="05BCC38C">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（二）退出过程即解除供货服务协议流程必须严格按照《山东大学合同管理办法》执行，确保流程合规，确保不产生额外争议导致出现潜在的法律风险，必要时可报学校法律事务相关部门协同解决。</w:t>
      </w:r>
    </w:p>
    <w:p w14:paraId="2B35114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（三）因违约行为解除供货服务协议的供应商依据《山东大学供应商管理办法》的规定报送学校招标采购管理中心记录，视情节轻重禁止其在1-3年内参加学校的采购活动。</w:t>
      </w:r>
    </w:p>
    <w:p w14:paraId="49216FB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二、违约处罚细则</w:t>
      </w:r>
    </w:p>
    <w:p w14:paraId="01DD029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供货期内食品原料类伙食物资供应商出现以下违约行为的，以扣除履约保证金或暂停其供货资格进行处置：</w:t>
      </w:r>
    </w:p>
    <w:p w14:paraId="143660C7">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一）交货延误：因极端天气或不可抗拒力因素造成延误交货的，供应商应及时向饮食中心需求部门通报，并说明原因。其他情况下供应商未按交货时限配送到位延误交货超过30分钟的，按延误交货货款总值的1%支付违约金（但不少于500元/次），延误交货超过1小时的按延误交货货款总值的5%支付违约金（但不少于1000元/次）在履约保证金中扣除，直至扣完。</w:t>
      </w:r>
      <w:r>
        <w:rPr>
          <w:rFonts w:hint="eastAsia" w:ascii="宋体" w:hAnsi="宋体" w:eastAsia="宋体" w:cs="宋体"/>
          <w:bCs/>
          <w:color w:val="0F1115"/>
          <w:sz w:val="24"/>
          <w:szCs w:val="24"/>
          <w:shd w:val="clear" w:color="auto" w:fill="FFFFFF"/>
        </w:rPr>
        <w:t>供应商在供货期内累计发生无故交货延误三次（含）以上的，除按本条规定逐次处罚外，有权取消其供应商资格并解除供货服务协议。</w:t>
      </w:r>
    </w:p>
    <w:p w14:paraId="1A7A6FD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（二）违反价格承诺，经饮食中心相关职能部门调查所供产品价格高于市场上同品牌同质量零售价格的，供应商应支付该批货款差价5倍的违约金。</w:t>
      </w:r>
    </w:p>
    <w:p w14:paraId="37CBCEE2">
      <w:pPr>
        <w:spacing w:line="520" w:lineRule="exact"/>
        <w:ind w:firstLine="480" w:firstLineChars="200"/>
        <w:rPr>
          <w:rFonts w:hint="eastAsia" w:ascii="宋体" w:hAnsi="宋体" w:eastAsia="宋体" w:cs="宋体"/>
          <w:bCs/>
          <w:sz w:val="24"/>
          <w:szCs w:val="24"/>
        </w:rPr>
      </w:pPr>
      <w:r>
        <w:rPr>
          <w:rFonts w:hint="eastAsia" w:ascii="宋体" w:hAnsi="宋体" w:eastAsia="宋体" w:cs="宋体"/>
          <w:sz w:val="24"/>
          <w:szCs w:val="24"/>
        </w:rPr>
        <w:t>（三）</w:t>
      </w:r>
      <w:r>
        <w:rPr>
          <w:rFonts w:hint="eastAsia" w:ascii="宋体" w:hAnsi="宋体" w:eastAsia="宋体" w:cs="宋体"/>
          <w:bCs/>
          <w:sz w:val="24"/>
          <w:szCs w:val="24"/>
        </w:rPr>
        <w:t>因违反山东大学道路安全规定被列入校园禁行名单的，供应商支付违约金200元/次，由饮食中心财务部门在履约保证金中扣除。在车辆禁行期间，供应商必须自行提供备用车辆保障物资供应，否则视为供应商无法保障物资供应</w:t>
      </w:r>
    </w:p>
    <w:p w14:paraId="68D28A9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因质量问题造成的退货或换货，由供应商承担相关费用，再次配送质量仍不合格的，饮食中心有权在外采购符合要求的货物，费用由供应商支付，饮食中心有权在履约保证金中扣除，并有权要求供应商支付该批次货款10%的违约金（最低1000元/次）。</w:t>
      </w:r>
      <w:r>
        <w:rPr>
          <w:rFonts w:hint="eastAsia" w:ascii="宋体" w:hAnsi="宋体" w:eastAsia="宋体" w:cs="宋体"/>
          <w:bCs/>
          <w:sz w:val="24"/>
          <w:szCs w:val="24"/>
        </w:rPr>
        <w:t>若再次配送质量仍不合格，属于同一产品同一质量问题，视为严重违约，有权取消其供应商资格并解除供货服务协议。</w:t>
      </w:r>
    </w:p>
    <w:p w14:paraId="2CA61CE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（五）供货期内供应商未按要求提供随货资质的，每次按交货货款总值的1%（最低1000元/次）进行处罚。</w:t>
      </w:r>
    </w:p>
    <w:p w14:paraId="0BF8C4E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六）供应商单方作出价格调整或在非不可抗力缺货时不及时补货或停止供货的，按未供货物货款总值的10%（最低3000元/次）进行处罚。同一供货周期内累计发生缺货补货不及时三次（含）以上，视为严重违约，有权取消供应商资格。</w:t>
      </w:r>
    </w:p>
    <w:p w14:paraId="0FDC3DC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七）供应商不及时提供产品的最新检测报告或检测报告中检测项目与招标文件中列明的技术指标项目不符的，中心相关职能部门有权将产品送检或由相关部门抽检，抽检费由供应商承担。抽检如不达标，按该批次货款10%（最低1000元/次）进行处罚，且该批次物资实行无条件退货，退货费用由供应商承担。</w:t>
      </w:r>
    </w:p>
    <w:p w14:paraId="798C12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八）供应商对其提供的物资质量问题承担全部法律和经济责任。若对饮食中心食品安全造成影响或造成食品安全事故的，饮食中心有权扣留供应商部分或全部履约保证金，有权解除协议。供应商须承担赔偿由此给饮食中心及第三方带来的损害及全部经济损失。</w:t>
      </w:r>
    </w:p>
    <w:p w14:paraId="1C66C22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（1）若因供应商质量问题引起就餐者投诉，一经查实，对未造成事故的，供应商向饮食中心支付当批次货款10%的违约金（最低1000元/次）。</w:t>
      </w:r>
    </w:p>
    <w:p w14:paraId="7D4D1843">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若因供应商质量问题致使不仅限于第三人受到损害的，供应商应承担全部的赔偿责任，赔偿包括但不仅限于因第三人向饮食中心索赔的所有费用，还应包括饮食中心调查取证、聘请律师诉讼产生的诉讼费、律师费、保全费、保全保险费、评估鉴定费、差旅费等维权产生的全部费用，也应由供应商全部承担。同时，饮食中心有权退货，供应商向饮食中心支付该批货款2倍的违约金（最低5000元/次），情节严重的可解除协议，不予退还履约保证金。</w:t>
      </w:r>
    </w:p>
    <w:p w14:paraId="187C3B3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（3）若供应商所提供食材的质量因不符合相关质量标准，导致饮食中心被属地食品安全监管部门处罚，供应商应积极配合调查处理并承担所有责任，情节严重者饮食中心可解除协议，不予退还履约保证金。</w:t>
      </w:r>
    </w:p>
    <w:p w14:paraId="1AB65151">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供应商未经同意私自更换供货品牌及规格，若同时存在以次充好情形直接取消资格并解除协议。若仅更换品牌及规格，但所供产品质量不低于原品牌、价格不高于原品牌且不影响正常使用的，给予书面警告一次，责令限期整改；拒不整改或无法提供合理理由的，可扣除其全部履约保证金，取消其供应商资格并解除供货服务协议。</w:t>
      </w:r>
    </w:p>
    <w:p w14:paraId="5BA56BC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对于预包装产品，供应商提供的出厂检验报告应为同一批次同一证明（以生产批号为准）。对于不及时提供食品出厂检验报告、伪造虚假出厂检验报告，按不合格品进行拒收或退货。供应商一直无法按要求提供出厂检验报告，涉及到的产品种类较多并影响使用的，则认为供应商无法保证提供合格产品，取消其供应商资格并解除供货服务协议。</w:t>
      </w:r>
    </w:p>
    <w:p w14:paraId="0C9DD7FC">
      <w:pPr>
        <w:spacing w:line="520" w:lineRule="exact"/>
        <w:ind w:firstLine="480" w:firstLineChars="200"/>
        <w:rPr>
          <w:rFonts w:hint="eastAsia" w:ascii="宋体" w:hAnsi="宋体" w:eastAsia="宋体" w:cs="宋体"/>
          <w:sz w:val="24"/>
          <w:szCs w:val="24"/>
        </w:rPr>
      </w:pPr>
      <w:r>
        <w:rPr>
          <w:rFonts w:hint="eastAsia" w:ascii="宋体" w:hAnsi="宋体" w:eastAsia="宋体" w:cs="宋体"/>
          <w:bCs/>
          <w:sz w:val="24"/>
          <w:szCs w:val="24"/>
        </w:rPr>
        <w:t>（十一）食用快速消费品临期/滞销产品处置违约</w:t>
      </w:r>
    </w:p>
    <w:p w14:paraId="56D48D2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产品距保质期不足三分之一时，供应商未主动向饮食中心预警或未在三个工作日内完成调换的，首次给予书面警告；同一供货周期内累计发生两次及以上的，按涉及临期产品货值的5%支付违约金（最低500元/次）。</w:t>
      </w:r>
    </w:p>
    <w:p w14:paraId="54B66EE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收到滞销产品处理通知后，无正当理由拒绝调换或退货，或七个工作日内未完成处理的，有权暂停其对应品类供货资格，直至问题处理完毕；因此造成产品过期报损的，供应商须按报损货值的百分之百予以赔偿，并另行支付该批货值10%的违约金（最低1000元/次）。</w:t>
      </w:r>
    </w:p>
    <w:p w14:paraId="6EFE68B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（3）供应商在供货过程中故意隐瞒产品临期事实或篡改、模糊生产日期及保质期标签的，视为严重违约行为，一经查实立即取消供应商资格、解除供货协议并扣除全部履约保证金。</w:t>
      </w:r>
    </w:p>
    <w:p w14:paraId="4BE8A612">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 因供应商在临期或滞销产品处置过程中操作不当（包括但不限于将临期产品混入正常批次配送、调换不及时等），引发有效投诉或造成负面舆情的，有权立即停止其涉事品类供货，并由供应商支付当批次货款20%的违约金（最低2000元/次）；造成饮食中心声誉损失或受到上级部门通报批评的，饮食中心有权扣除全部履约保证金，取消其供应商资格并解除供货协议。</w:t>
      </w:r>
    </w:p>
    <w:p w14:paraId="5F41FF8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二）供应商出现违约现象但尚未触发解除协议条款的以及在供应商履约量化评价中评分最低的供应商，饮食中心有权在扣除违约金后暂停供应商供货资格，根据违约严重程度单次暂停时间最长不超过六个月。暂停期满后，是否恢复配送资格，由饮食管理服务中心根据整改情况及评估结果另行决定。</w:t>
      </w:r>
    </w:p>
    <w:p w14:paraId="2C71CCF5">
      <w:pPr>
        <w:spacing w:line="520" w:lineRule="exact"/>
        <w:ind w:firstLine="480" w:firstLineChars="200"/>
        <w:rPr>
          <w:rFonts w:hint="eastAsia" w:ascii="宋体" w:hAnsi="宋体" w:eastAsia="宋体" w:cs="宋体"/>
          <w:color w:val="0F1115"/>
          <w:sz w:val="24"/>
          <w:szCs w:val="24"/>
        </w:rPr>
      </w:pPr>
      <w:r>
        <w:rPr>
          <w:rFonts w:hint="eastAsia" w:ascii="宋体" w:hAnsi="宋体" w:eastAsia="宋体" w:cs="宋体"/>
          <w:color w:val="0F1115"/>
          <w:sz w:val="24"/>
          <w:szCs w:val="24"/>
          <w:shd w:val="clear" w:color="auto" w:fill="FFFFFF"/>
        </w:rPr>
        <w:t>（十三）违约金扣除与保证金补足程序</w:t>
      </w:r>
    </w:p>
    <w:p w14:paraId="420B66F6">
      <w:pPr>
        <w:spacing w:line="520" w:lineRule="exact"/>
        <w:ind w:firstLine="480" w:firstLineChars="200"/>
        <w:rPr>
          <w:rFonts w:hint="eastAsia" w:ascii="宋体" w:hAnsi="宋体" w:eastAsia="宋体" w:cs="宋体"/>
          <w:sz w:val="24"/>
          <w:szCs w:val="24"/>
        </w:rPr>
      </w:pPr>
      <w:r>
        <w:rPr>
          <w:rFonts w:hint="eastAsia" w:ascii="宋体" w:hAnsi="宋体" w:eastAsia="宋体" w:cs="宋体"/>
          <w:color w:val="0F1115"/>
          <w:sz w:val="24"/>
          <w:szCs w:val="24"/>
          <w:shd w:val="clear" w:color="auto" w:fill="FFFFFF"/>
        </w:rPr>
        <w:t>饮食中心依据本细则扣除履约保证金前，应向供应商发出书面扣款通知，说明违约事实、依据及金额。供应商如有异议，应在3个工作日内书面提出。扣除后保证金余额低于合同约定金额50%的，供应商应在收到通知后10个工作日内补足，否则饮食中心有权暂停其供货资格。</w:t>
      </w:r>
    </w:p>
    <w:tbl>
      <w:tblPr>
        <w:tblStyle w:val="16"/>
        <w:tblpPr w:leftFromText="180" w:rightFromText="180" w:vertAnchor="text" w:horzAnchor="page" w:tblpXSpec="center" w:tblpY="613"/>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071"/>
        <w:gridCol w:w="2902"/>
        <w:gridCol w:w="1464"/>
        <w:gridCol w:w="1069"/>
        <w:gridCol w:w="658"/>
        <w:gridCol w:w="685"/>
      </w:tblGrid>
      <w:tr w14:paraId="1904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3" w:type="pct"/>
            <w:gridSpan w:val="2"/>
            <w:noWrap w:val="0"/>
            <w:vAlign w:val="center"/>
          </w:tcPr>
          <w:p w14:paraId="6DF1CC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应商名称</w:t>
            </w:r>
          </w:p>
        </w:tc>
        <w:tc>
          <w:tcPr>
            <w:tcW w:w="1702" w:type="pct"/>
            <w:noWrap w:val="0"/>
            <w:vAlign w:val="center"/>
          </w:tcPr>
          <w:p w14:paraId="124011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858" w:type="pct"/>
            <w:noWrap w:val="0"/>
            <w:vAlign w:val="center"/>
          </w:tcPr>
          <w:p w14:paraId="7644C3E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配送品类</w:t>
            </w:r>
          </w:p>
        </w:tc>
        <w:tc>
          <w:tcPr>
            <w:tcW w:w="1415" w:type="pct"/>
            <w:gridSpan w:val="3"/>
            <w:noWrap w:val="0"/>
            <w:vAlign w:val="center"/>
          </w:tcPr>
          <w:p w14:paraId="2C9A9E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79CE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3" w:type="pct"/>
            <w:gridSpan w:val="2"/>
            <w:noWrap w:val="0"/>
            <w:vAlign w:val="center"/>
          </w:tcPr>
          <w:p w14:paraId="0FA2B3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配送区域</w:t>
            </w:r>
          </w:p>
        </w:tc>
        <w:tc>
          <w:tcPr>
            <w:tcW w:w="1702" w:type="pct"/>
            <w:noWrap w:val="0"/>
            <w:vAlign w:val="center"/>
          </w:tcPr>
          <w:p w14:paraId="70FEAA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858" w:type="pct"/>
            <w:noWrap w:val="0"/>
            <w:vAlign w:val="center"/>
          </w:tcPr>
          <w:p w14:paraId="648E81A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时间范围</w:t>
            </w:r>
          </w:p>
        </w:tc>
        <w:tc>
          <w:tcPr>
            <w:tcW w:w="1415" w:type="pct"/>
            <w:gridSpan w:val="3"/>
            <w:noWrap w:val="0"/>
            <w:vAlign w:val="center"/>
          </w:tcPr>
          <w:p w14:paraId="278E25F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DF5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3" w:type="pct"/>
            <w:gridSpan w:val="2"/>
            <w:noWrap w:val="0"/>
            <w:vAlign w:val="center"/>
          </w:tcPr>
          <w:p w14:paraId="72F954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评价部门</w:t>
            </w:r>
          </w:p>
        </w:tc>
        <w:tc>
          <w:tcPr>
            <w:tcW w:w="1702" w:type="pct"/>
            <w:noWrap w:val="0"/>
            <w:vAlign w:val="center"/>
          </w:tcPr>
          <w:p w14:paraId="6FA19F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858" w:type="pct"/>
            <w:noWrap w:val="0"/>
            <w:vAlign w:val="center"/>
          </w:tcPr>
          <w:p w14:paraId="1DE9BA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评分合计</w:t>
            </w:r>
          </w:p>
        </w:tc>
        <w:tc>
          <w:tcPr>
            <w:tcW w:w="1415" w:type="pct"/>
            <w:gridSpan w:val="3"/>
            <w:noWrap w:val="0"/>
            <w:vAlign w:val="center"/>
          </w:tcPr>
          <w:p w14:paraId="444C55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FC1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noWrap w:val="0"/>
            <w:vAlign w:val="center"/>
          </w:tcPr>
          <w:p w14:paraId="713E70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627" w:type="pct"/>
            <w:noWrap w:val="0"/>
            <w:vAlign w:val="center"/>
          </w:tcPr>
          <w:p w14:paraId="0C1CB6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评价项目</w:t>
            </w:r>
          </w:p>
        </w:tc>
        <w:tc>
          <w:tcPr>
            <w:tcW w:w="2561" w:type="pct"/>
            <w:gridSpan w:val="2"/>
            <w:noWrap w:val="0"/>
            <w:vAlign w:val="center"/>
          </w:tcPr>
          <w:p w14:paraId="5CD4CBF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评价描述</w:t>
            </w:r>
          </w:p>
        </w:tc>
        <w:tc>
          <w:tcPr>
            <w:tcW w:w="627" w:type="pct"/>
            <w:noWrap w:val="0"/>
            <w:vAlign w:val="center"/>
          </w:tcPr>
          <w:p w14:paraId="32FB7BA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等级</w:t>
            </w:r>
          </w:p>
        </w:tc>
        <w:tc>
          <w:tcPr>
            <w:tcW w:w="386" w:type="pct"/>
            <w:noWrap w:val="0"/>
            <w:vAlign w:val="center"/>
          </w:tcPr>
          <w:p w14:paraId="4D978A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分值</w:t>
            </w:r>
          </w:p>
        </w:tc>
        <w:tc>
          <w:tcPr>
            <w:tcW w:w="402" w:type="pct"/>
            <w:noWrap w:val="0"/>
            <w:vAlign w:val="center"/>
          </w:tcPr>
          <w:p w14:paraId="445103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评分</w:t>
            </w:r>
          </w:p>
        </w:tc>
      </w:tr>
      <w:tr w14:paraId="66FF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restart"/>
            <w:noWrap w:val="0"/>
            <w:vAlign w:val="center"/>
          </w:tcPr>
          <w:p w14:paraId="41B11D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27" w:type="pct"/>
            <w:vMerge w:val="restart"/>
            <w:noWrap w:val="0"/>
            <w:vAlign w:val="center"/>
          </w:tcPr>
          <w:p w14:paraId="302BB56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服务质量</w:t>
            </w:r>
          </w:p>
        </w:tc>
        <w:tc>
          <w:tcPr>
            <w:tcW w:w="2561" w:type="pct"/>
            <w:gridSpan w:val="2"/>
            <w:noWrap w:val="0"/>
            <w:vAlign w:val="center"/>
          </w:tcPr>
          <w:p w14:paraId="07EADA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不接电话；拖延问题处理；推卸责任；问题无法解决；态度恶劣；漏货缺货严重影响使用。</w:t>
            </w:r>
          </w:p>
        </w:tc>
        <w:tc>
          <w:tcPr>
            <w:tcW w:w="627" w:type="pct"/>
            <w:noWrap w:val="0"/>
            <w:vAlign w:val="center"/>
          </w:tcPr>
          <w:p w14:paraId="73C18C2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53B869A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2747AA3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036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44D08F6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C7920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7CD26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响应不及时；处理问题效率低；偶尔推诿；基本解决问题但效果不佳；态度一般；有时漏货缺货。</w:t>
            </w:r>
          </w:p>
        </w:tc>
        <w:tc>
          <w:tcPr>
            <w:tcW w:w="627" w:type="pct"/>
            <w:noWrap w:val="0"/>
            <w:vAlign w:val="center"/>
          </w:tcPr>
          <w:p w14:paraId="024919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709F30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3D2B956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7021C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3D6362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69BA9D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EFC79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能正常沟通；问题处理及时性一般；态度尚可；问题基本能解决；偶尔有漏缺但不影响使用。</w:t>
            </w:r>
          </w:p>
        </w:tc>
        <w:tc>
          <w:tcPr>
            <w:tcW w:w="627" w:type="pct"/>
            <w:noWrap w:val="0"/>
            <w:vAlign w:val="center"/>
          </w:tcPr>
          <w:p w14:paraId="46880D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0622FA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57C33C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A27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5E9891B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E7D13C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2E710BD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响应及时；积极处理问题；态度好；问题能较快解决；很少漏缺。</w:t>
            </w:r>
          </w:p>
        </w:tc>
        <w:tc>
          <w:tcPr>
            <w:tcW w:w="627" w:type="pct"/>
            <w:noWrap w:val="0"/>
            <w:vAlign w:val="center"/>
          </w:tcPr>
          <w:p w14:paraId="686B4B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2DA06F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3BD916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9B1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12525FA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53FADA3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5761E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沟通高效；主动解决问题；态度非常好；问题解决彻底；无漏缺。</w:t>
            </w:r>
          </w:p>
        </w:tc>
        <w:tc>
          <w:tcPr>
            <w:tcW w:w="627" w:type="pct"/>
            <w:noWrap w:val="0"/>
            <w:vAlign w:val="center"/>
          </w:tcPr>
          <w:p w14:paraId="25D684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1BEFEE5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143293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742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restart"/>
            <w:noWrap w:val="0"/>
            <w:vAlign w:val="center"/>
          </w:tcPr>
          <w:p w14:paraId="02120F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627" w:type="pct"/>
            <w:vMerge w:val="restart"/>
            <w:noWrap w:val="0"/>
            <w:vAlign w:val="center"/>
          </w:tcPr>
          <w:p w14:paraId="103A8D8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产品质量</w:t>
            </w:r>
          </w:p>
        </w:tc>
        <w:tc>
          <w:tcPr>
            <w:tcW w:w="2561" w:type="pct"/>
            <w:gridSpan w:val="2"/>
            <w:noWrap w:val="0"/>
            <w:vAlign w:val="center"/>
          </w:tcPr>
          <w:p w14:paraId="571A8C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完全无法满足使用；商品与描述严重不符；缺斤少两严重；外包装破损有污迹。</w:t>
            </w:r>
          </w:p>
        </w:tc>
        <w:tc>
          <w:tcPr>
            <w:tcW w:w="627" w:type="pct"/>
            <w:noWrap w:val="0"/>
            <w:vAlign w:val="center"/>
          </w:tcPr>
          <w:p w14:paraId="57E2EDE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639A84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658AC21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ACF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2834529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274AF4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BE969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使用效果差；与描述有较大出入；数量不足；包装有破损污迹。</w:t>
            </w:r>
          </w:p>
        </w:tc>
        <w:tc>
          <w:tcPr>
            <w:tcW w:w="627" w:type="pct"/>
            <w:noWrap w:val="0"/>
            <w:vAlign w:val="center"/>
          </w:tcPr>
          <w:p w14:paraId="22D250E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022D89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732CB99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FDD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36F2181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3C56B5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2BA280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基本满足使用；与描述大致相符；数量准确；包装基本完好。</w:t>
            </w:r>
          </w:p>
        </w:tc>
        <w:tc>
          <w:tcPr>
            <w:tcW w:w="627" w:type="pct"/>
            <w:noWrap w:val="0"/>
            <w:vAlign w:val="center"/>
          </w:tcPr>
          <w:p w14:paraId="4A6A1E9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284CED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204BA0E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17A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551C20F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8C495B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15BEA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满足使用要求；与描述一致；数量准确；包装完好。</w:t>
            </w:r>
          </w:p>
        </w:tc>
        <w:tc>
          <w:tcPr>
            <w:tcW w:w="627" w:type="pct"/>
            <w:noWrap w:val="0"/>
            <w:vAlign w:val="center"/>
          </w:tcPr>
          <w:p w14:paraId="358D5B6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15C03C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3FF3B7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120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5BC86A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0E21FC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672D1D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超出预期；与描述完全一致；数量准确；包装精美完好。</w:t>
            </w:r>
          </w:p>
        </w:tc>
        <w:tc>
          <w:tcPr>
            <w:tcW w:w="627" w:type="pct"/>
            <w:noWrap w:val="0"/>
            <w:vAlign w:val="center"/>
          </w:tcPr>
          <w:p w14:paraId="2D8881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0A98367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59D0C0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9E7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restart"/>
            <w:noWrap w:val="0"/>
            <w:vAlign w:val="center"/>
          </w:tcPr>
          <w:p w14:paraId="3D0416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627" w:type="pct"/>
            <w:vMerge w:val="restart"/>
            <w:noWrap w:val="0"/>
            <w:vAlign w:val="center"/>
          </w:tcPr>
          <w:p w14:paraId="1FA097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配送质量</w:t>
            </w:r>
          </w:p>
        </w:tc>
        <w:tc>
          <w:tcPr>
            <w:tcW w:w="2561" w:type="pct"/>
            <w:gridSpan w:val="2"/>
            <w:noWrap w:val="0"/>
            <w:vAlign w:val="center"/>
          </w:tcPr>
          <w:p w14:paraId="62903E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无故配送延误；未按合同要求卸货；未通报预计到达时间；未按规定时间配送；卸货人员配置严重不足；补货配送响应极慢。</w:t>
            </w:r>
          </w:p>
        </w:tc>
        <w:tc>
          <w:tcPr>
            <w:tcW w:w="627" w:type="pct"/>
            <w:noWrap w:val="0"/>
            <w:vAlign w:val="center"/>
          </w:tcPr>
          <w:p w14:paraId="137A93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13FB06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50FA46C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90C7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6BA61B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067DA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3AC3E8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经常延误；卸货不规范；未提前通知；时间不符；卸货人员不足；补货慢。</w:t>
            </w:r>
          </w:p>
        </w:tc>
        <w:tc>
          <w:tcPr>
            <w:tcW w:w="627" w:type="pct"/>
            <w:noWrap w:val="0"/>
            <w:vAlign w:val="center"/>
          </w:tcPr>
          <w:p w14:paraId="1F27C95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42ABBE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1CAE79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38DB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2B4835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F9759F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6FB613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偶尔延误；卸货基本符合要求；有时通知；基本按规定时间；卸货人员基本够用；补货响应一般。</w:t>
            </w:r>
          </w:p>
        </w:tc>
        <w:tc>
          <w:tcPr>
            <w:tcW w:w="627" w:type="pct"/>
            <w:noWrap w:val="0"/>
            <w:vAlign w:val="center"/>
          </w:tcPr>
          <w:p w14:paraId="1BAB4C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347418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1B54F2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254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35C86FB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05B3FC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085C6A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准时或略有延误；卸货规范；提前通知；符合时间要求；卸货人员充足；补货响应较快。</w:t>
            </w:r>
          </w:p>
        </w:tc>
        <w:tc>
          <w:tcPr>
            <w:tcW w:w="627" w:type="pct"/>
            <w:noWrap w:val="0"/>
            <w:vAlign w:val="center"/>
          </w:tcPr>
          <w:p w14:paraId="3A05AEC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67516B0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2D9B96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2018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60F8E03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245BE8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343F5D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非常准时；卸货规范高效；提前详细通报；严格按规定时间；卸货人员配置合理充足；补货响应迅速。</w:t>
            </w:r>
          </w:p>
        </w:tc>
        <w:tc>
          <w:tcPr>
            <w:tcW w:w="627" w:type="pct"/>
            <w:noWrap w:val="0"/>
            <w:vAlign w:val="center"/>
          </w:tcPr>
          <w:p w14:paraId="728475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7CCE92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4AE05E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8274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restart"/>
            <w:noWrap w:val="0"/>
            <w:vAlign w:val="center"/>
          </w:tcPr>
          <w:p w14:paraId="1F45452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627" w:type="pct"/>
            <w:vMerge w:val="restart"/>
            <w:noWrap w:val="0"/>
            <w:vAlign w:val="center"/>
          </w:tcPr>
          <w:p w14:paraId="555912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随货资质</w:t>
            </w:r>
          </w:p>
        </w:tc>
        <w:tc>
          <w:tcPr>
            <w:tcW w:w="2561" w:type="pct"/>
            <w:gridSpan w:val="2"/>
            <w:noWrap w:val="0"/>
            <w:vAlign w:val="center"/>
          </w:tcPr>
          <w:p w14:paraId="010779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未按规定提供资质；随货资质与产品不符；资质缺项漏章；多次催促无回应。</w:t>
            </w:r>
          </w:p>
        </w:tc>
        <w:tc>
          <w:tcPr>
            <w:tcW w:w="627" w:type="pct"/>
            <w:noWrap w:val="0"/>
            <w:vAlign w:val="center"/>
          </w:tcPr>
          <w:p w14:paraId="12A545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非常差</w:t>
            </w:r>
          </w:p>
        </w:tc>
        <w:tc>
          <w:tcPr>
            <w:tcW w:w="386" w:type="pct"/>
            <w:noWrap w:val="0"/>
            <w:vAlign w:val="center"/>
          </w:tcPr>
          <w:p w14:paraId="4B07671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2" w:type="pct"/>
            <w:noWrap w:val="0"/>
            <w:vAlign w:val="center"/>
          </w:tcPr>
          <w:p w14:paraId="5A720A5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4AE5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0DA37C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7AA084A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7E4149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提供资质不及时；有部分不符或缺漏；需要催促才提供。</w:t>
            </w:r>
          </w:p>
        </w:tc>
        <w:tc>
          <w:tcPr>
            <w:tcW w:w="627" w:type="pct"/>
            <w:noWrap w:val="0"/>
            <w:vAlign w:val="center"/>
          </w:tcPr>
          <w:p w14:paraId="4519ACC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差</w:t>
            </w:r>
          </w:p>
        </w:tc>
        <w:tc>
          <w:tcPr>
            <w:tcW w:w="386" w:type="pct"/>
            <w:noWrap w:val="0"/>
            <w:vAlign w:val="center"/>
          </w:tcPr>
          <w:p w14:paraId="123144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402" w:type="pct"/>
            <w:noWrap w:val="0"/>
            <w:vAlign w:val="center"/>
          </w:tcPr>
          <w:p w14:paraId="3BECB30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1A1E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4DAF934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656E5C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55464B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基本按规定提供资质；偶尔有缺漏但能及时补正；沟通一般。</w:t>
            </w:r>
          </w:p>
        </w:tc>
        <w:tc>
          <w:tcPr>
            <w:tcW w:w="627" w:type="pct"/>
            <w:noWrap w:val="0"/>
            <w:vAlign w:val="center"/>
          </w:tcPr>
          <w:p w14:paraId="7CDA42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一般</w:t>
            </w:r>
          </w:p>
        </w:tc>
        <w:tc>
          <w:tcPr>
            <w:tcW w:w="386" w:type="pct"/>
            <w:noWrap w:val="0"/>
            <w:vAlign w:val="center"/>
          </w:tcPr>
          <w:p w14:paraId="11A9D9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02" w:type="pct"/>
            <w:noWrap w:val="0"/>
            <w:vAlign w:val="center"/>
          </w:tcPr>
          <w:p w14:paraId="34C43B0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60CA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40E84D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4079864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4E07B5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及时提供完整资质；与产品一致；无缺漏；沟通顺畅。</w:t>
            </w:r>
          </w:p>
        </w:tc>
        <w:tc>
          <w:tcPr>
            <w:tcW w:w="627" w:type="pct"/>
            <w:noWrap w:val="0"/>
            <w:vAlign w:val="center"/>
          </w:tcPr>
          <w:p w14:paraId="2B5CE5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好</w:t>
            </w:r>
          </w:p>
        </w:tc>
        <w:tc>
          <w:tcPr>
            <w:tcW w:w="386" w:type="pct"/>
            <w:noWrap w:val="0"/>
            <w:vAlign w:val="center"/>
          </w:tcPr>
          <w:p w14:paraId="7365A4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02" w:type="pct"/>
            <w:noWrap w:val="0"/>
            <w:vAlign w:val="center"/>
          </w:tcPr>
          <w:p w14:paraId="6A538B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r w14:paraId="7422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5" w:type="pct"/>
            <w:vMerge w:val="continue"/>
            <w:noWrap w:val="0"/>
            <w:vAlign w:val="center"/>
          </w:tcPr>
          <w:p w14:paraId="2186CD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627" w:type="pct"/>
            <w:vMerge w:val="continue"/>
            <w:noWrap w:val="0"/>
            <w:vAlign w:val="center"/>
          </w:tcPr>
          <w:p w14:paraId="124A18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2561" w:type="pct"/>
            <w:gridSpan w:val="2"/>
            <w:noWrap w:val="0"/>
            <w:vAlign w:val="center"/>
          </w:tcPr>
          <w:p w14:paraId="548F98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rPr>
            </w:pPr>
            <w:r>
              <w:rPr>
                <w:rFonts w:hint="eastAsia" w:ascii="宋体" w:hAnsi="宋体" w:eastAsia="宋体" w:cs="宋体"/>
                <w:sz w:val="21"/>
                <w:szCs w:val="21"/>
              </w:rPr>
              <w:t>主动提前提供资质；资质齐全准确；沟通高效；甚至提供额外有用文件。</w:t>
            </w:r>
          </w:p>
        </w:tc>
        <w:tc>
          <w:tcPr>
            <w:tcW w:w="627" w:type="pct"/>
            <w:noWrap w:val="0"/>
            <w:vAlign w:val="center"/>
          </w:tcPr>
          <w:p w14:paraId="405093D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非常好</w:t>
            </w:r>
          </w:p>
        </w:tc>
        <w:tc>
          <w:tcPr>
            <w:tcW w:w="386" w:type="pct"/>
            <w:noWrap w:val="0"/>
            <w:vAlign w:val="center"/>
          </w:tcPr>
          <w:p w14:paraId="5F32177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02" w:type="pct"/>
            <w:noWrap w:val="0"/>
            <w:vAlign w:val="center"/>
          </w:tcPr>
          <w:p w14:paraId="382DAC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r>
    </w:tbl>
    <w:p w14:paraId="661CF5BE">
      <w:pPr>
        <w:rPr>
          <w:rFonts w:hint="eastAsia" w:ascii="宋体" w:hAnsi="宋体" w:eastAsia="宋体" w:cs="宋体"/>
          <w:b/>
          <w:bCs/>
          <w:sz w:val="24"/>
          <w:szCs w:val="24"/>
        </w:rPr>
      </w:pPr>
    </w:p>
    <w:p w14:paraId="5029ED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266CC8"/>
    <w:rsid w:val="00631353"/>
    <w:rsid w:val="01E272A3"/>
    <w:rsid w:val="02FB75A0"/>
    <w:rsid w:val="0646713D"/>
    <w:rsid w:val="0B536F5B"/>
    <w:rsid w:val="0C827F53"/>
    <w:rsid w:val="0E812604"/>
    <w:rsid w:val="1038759B"/>
    <w:rsid w:val="12560F32"/>
    <w:rsid w:val="143A23E4"/>
    <w:rsid w:val="16453930"/>
    <w:rsid w:val="1D3C196C"/>
    <w:rsid w:val="20F563FE"/>
    <w:rsid w:val="25071F18"/>
    <w:rsid w:val="26342943"/>
    <w:rsid w:val="265C1CFC"/>
    <w:rsid w:val="2C5C51D5"/>
    <w:rsid w:val="328C11EE"/>
    <w:rsid w:val="3AB85F64"/>
    <w:rsid w:val="3B9814E3"/>
    <w:rsid w:val="3BB83D9A"/>
    <w:rsid w:val="40834252"/>
    <w:rsid w:val="43491507"/>
    <w:rsid w:val="45180407"/>
    <w:rsid w:val="452B4861"/>
    <w:rsid w:val="4649335D"/>
    <w:rsid w:val="4A2A2D74"/>
    <w:rsid w:val="4ABF7E6A"/>
    <w:rsid w:val="4B7A48F9"/>
    <w:rsid w:val="50F525E8"/>
    <w:rsid w:val="526D669D"/>
    <w:rsid w:val="55867476"/>
    <w:rsid w:val="58D5360D"/>
    <w:rsid w:val="618810C7"/>
    <w:rsid w:val="65DF6447"/>
    <w:rsid w:val="679B0868"/>
    <w:rsid w:val="6E266CC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4"/>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3"/>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5"/>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1">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toc 3"/>
    <w:basedOn w:val="1"/>
    <w:next w:val="1"/>
    <w:uiPriority w:val="0"/>
    <w:pPr>
      <w:tabs>
        <w:tab w:val="right" w:leader="dot" w:pos="9359"/>
      </w:tabs>
      <w:spacing w:line="276" w:lineRule="auto"/>
      <w:ind w:left="420"/>
      <w:jc w:val="left"/>
    </w:pPr>
    <w:rPr>
      <w:rFonts w:ascii="Calibri" w:hAnsi="Calibri" w:eastAsia="宋体"/>
      <w:iCs/>
      <w:sz w:val="24"/>
      <w:szCs w:val="20"/>
    </w:rPr>
  </w:style>
  <w:style w:type="paragraph" w:styleId="7">
    <w:name w:val="toc 1"/>
    <w:basedOn w:val="8"/>
    <w:next w:val="1"/>
    <w:qFormat/>
    <w:uiPriority w:val="0"/>
    <w:pPr>
      <w:tabs>
        <w:tab w:val="right" w:leader="dot" w:pos="9359"/>
      </w:tabs>
    </w:pPr>
    <w:rPr>
      <w:rFonts w:ascii="Calibri" w:hAnsi="Calibri" w:eastAsia="宋体"/>
      <w:sz w:val="30"/>
      <w:szCs w:val="20"/>
    </w:rPr>
  </w:style>
  <w:style w:type="paragraph" w:styleId="8">
    <w:name w:val="toc 2"/>
    <w:basedOn w:val="6"/>
    <w:next w:val="1"/>
    <w:qFormat/>
    <w:uiPriority w:val="0"/>
    <w:rPr>
      <w:rFonts w:ascii="Calibri" w:hAnsi="Calibri" w:eastAsia="宋体"/>
      <w:sz w:val="28"/>
      <w:szCs w:val="20"/>
    </w:rPr>
  </w:style>
  <w:style w:type="paragraph" w:styleId="9">
    <w:name w:val="toc 4"/>
    <w:basedOn w:val="6"/>
    <w:next w:val="1"/>
    <w:qFormat/>
    <w:uiPriority w:val="0"/>
    <w:rPr>
      <w:sz w:val="21"/>
    </w:rPr>
  </w:style>
  <w:style w:type="character" w:customStyle="1" w:styleId="12">
    <w:name w:val="标题 1 Char"/>
    <w:link w:val="2"/>
    <w:qFormat/>
    <w:uiPriority w:val="0"/>
    <w:rPr>
      <w:rFonts w:ascii="Times New Roman" w:hAnsi="Times New Roman" w:eastAsia="宋体" w:cs="Times New Roman"/>
      <w:b/>
      <w:bCs/>
      <w:kern w:val="44"/>
      <w:sz w:val="44"/>
      <w:szCs w:val="44"/>
    </w:rPr>
  </w:style>
  <w:style w:type="character" w:customStyle="1" w:styleId="13">
    <w:name w:val="标题 3 Char"/>
    <w:link w:val="4"/>
    <w:qFormat/>
    <w:uiPriority w:val="0"/>
    <w:rPr>
      <w:rFonts w:ascii="Times New Roman" w:hAnsi="Times New Roman" w:eastAsia="宋体" w:cs="Times New Roman"/>
      <w:b/>
      <w:bCs/>
      <w:sz w:val="24"/>
      <w:szCs w:val="32"/>
    </w:rPr>
  </w:style>
  <w:style w:type="character" w:customStyle="1" w:styleId="14">
    <w:name w:val="标题 2 Char"/>
    <w:link w:val="3"/>
    <w:qFormat/>
    <w:uiPriority w:val="0"/>
    <w:rPr>
      <w:rFonts w:ascii="Cambria" w:hAnsi="Cambria" w:eastAsia="宋体" w:cs="Times New Roman"/>
      <w:b/>
      <w:bCs/>
      <w:sz w:val="24"/>
      <w:szCs w:val="32"/>
    </w:rPr>
  </w:style>
  <w:style w:type="character" w:customStyle="1" w:styleId="15">
    <w:name w:val="标题 5 Char"/>
    <w:link w:val="5"/>
    <w:uiPriority w:val="0"/>
    <w:rPr>
      <w:rFonts w:ascii="Times New Roman" w:hAnsi="Times New Roman" w:eastAsia="宋体"/>
      <w:b/>
      <w:bCs/>
      <w:kern w:val="2"/>
      <w:sz w:val="32"/>
      <w:szCs w:val="28"/>
    </w:rPr>
  </w:style>
  <w:style w:type="table" w:customStyle="1" w:styleId="16">
    <w:name w:val="网格型6"/>
    <w:qFormat/>
    <w:uiPriority w:val="39"/>
    <w:rPr>
      <w:rFonts w:ascii="等线" w:hAnsi="等线" w:eastAsia="等线"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3716</Words>
  <Characters>3778</Characters>
  <Lines>0</Lines>
  <Paragraphs>0</Paragraphs>
  <TotalTime>0</TotalTime>
  <ScaleCrop>false</ScaleCrop>
  <LinksUpToDate>false</LinksUpToDate>
  <CharactersWithSpaces>3779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2026-05-22T03:44:00Z</dcterms:created>
  <dc:creator>刘</dc:creator>
  <cp:lastModifiedBy>shuo1</cp:lastModifiedBy>
  <dcterms:modified xsi:type="dcterms:W3CDTF">2026-05-26T07:09:28Z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3FF2B682677141BDAA2D7E14B55F703E_11</vt:lpwstr>
  </property>
  <property fmtid="{D5CDD505-2E9C-101B-9397-08002B2CF9AE}" pid="4" name="KSOTemplateDocerSaveRecord">
    <vt:lpwstr>eyJoZGlkIjoiYmU5ZGE3NDgyNzExNzE2ZjM1YWJlMTM2NzA1NGJiMjgiLCJ1c2VySWQiOiIyMTIyMjcxMjUifQ==</vt:lpwstr>
  </property>
</Properties>
</file>