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8E1C36">
      <w:pPr>
        <w:pStyle w:val="2"/>
        <w:spacing w:before="120" w:after="120" w:line="240" w:lineRule="auto"/>
        <w:jc w:val="center"/>
        <w:rPr>
          <w:rFonts w:ascii="宋体" w:hAnsi="宋体" w:cs="宋体"/>
          <w:kern w:val="2"/>
          <w:sz w:val="32"/>
        </w:rPr>
      </w:pPr>
      <w:r>
        <w:rPr>
          <w:rFonts w:hint="eastAsia" w:ascii="宋体" w:hAnsi="宋体" w:cs="宋体"/>
          <w:kern w:val="2"/>
          <w:sz w:val="32"/>
        </w:rPr>
        <w:t>采购内容及项目要求</w:t>
      </w:r>
    </w:p>
    <w:p w14:paraId="080005E8">
      <w:pPr>
        <w:spacing w:line="560" w:lineRule="exact"/>
        <w:ind w:firstLine="600" w:firstLineChars="249"/>
        <w:rPr>
          <w:rFonts w:hint="eastAsia" w:ascii="宋体" w:hAnsi="宋体" w:eastAsia="宋体" w:cs="宋体"/>
          <w:b/>
          <w:bCs/>
          <w:sz w:val="24"/>
          <w:szCs w:val="24"/>
        </w:rPr>
      </w:pPr>
      <w:r>
        <w:rPr>
          <w:rFonts w:hint="eastAsia" w:ascii="宋体" w:hAnsi="宋体" w:eastAsia="宋体" w:cs="宋体"/>
          <w:b/>
          <w:bCs/>
          <w:sz w:val="24"/>
          <w:szCs w:val="24"/>
        </w:rPr>
        <w:t>一、项目概况</w:t>
      </w:r>
    </w:p>
    <w:p w14:paraId="641BB89F">
      <w:pPr>
        <w:widowControl/>
        <w:spacing w:line="460" w:lineRule="exact"/>
        <w:ind w:firstLine="480" w:firstLineChars="200"/>
        <w:jc w:val="left"/>
        <w:rPr>
          <w:rFonts w:hint="eastAsia" w:ascii="宋体" w:hAnsi="宋体" w:eastAsia="宋体" w:cs="宋体"/>
          <w:kern w:val="0"/>
          <w:sz w:val="24"/>
          <w:szCs w:val="24"/>
        </w:rPr>
      </w:pPr>
      <w:r>
        <w:rPr>
          <w:rFonts w:hint="eastAsia" w:ascii="宋体" w:hAnsi="宋体" w:cs="宋体"/>
          <w:kern w:val="0"/>
          <w:sz w:val="24"/>
          <w:szCs w:val="24"/>
          <w:lang w:eastAsia="zh-CN"/>
        </w:rPr>
        <w:t>山东大学学生食堂食品检测特种作业车采购项目</w:t>
      </w:r>
      <w:r>
        <w:rPr>
          <w:rFonts w:hint="eastAsia" w:ascii="宋体" w:hAnsi="宋体" w:eastAsia="宋体" w:cs="宋体"/>
          <w:kern w:val="0"/>
          <w:sz w:val="24"/>
          <w:szCs w:val="24"/>
        </w:rPr>
        <w:t>。本项目共分为1个包，投标人不得对采购清单内的货物拆分响应。</w:t>
      </w:r>
    </w:p>
    <w:p w14:paraId="3E5F0B90">
      <w:pPr>
        <w:spacing w:line="560" w:lineRule="exact"/>
        <w:ind w:firstLine="600" w:firstLineChars="249"/>
        <w:rPr>
          <w:rFonts w:hint="eastAsia" w:ascii="宋体" w:hAnsi="宋体" w:eastAsia="宋体" w:cs="宋体"/>
          <w:b/>
          <w:bCs/>
          <w:sz w:val="24"/>
          <w:szCs w:val="24"/>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技术要求</w:t>
      </w:r>
    </w:p>
    <w:p w14:paraId="28C70AB0">
      <w:pPr>
        <w:adjustRightInd w:val="0"/>
        <w:snapToGrid w:val="0"/>
        <w:spacing w:after="156" w:afterLines="50"/>
        <w:jc w:val="center"/>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山东大学仪器设备采购技术条款响应一览表</w:t>
      </w:r>
    </w:p>
    <w:tbl>
      <w:tblPr>
        <w:tblStyle w:val="11"/>
        <w:tblpPr w:leftFromText="180" w:rightFromText="180" w:vertAnchor="text" w:horzAnchor="page" w:tblpX="1998" w:tblpY="12"/>
        <w:tblW w:w="4866"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09"/>
        <w:gridCol w:w="1225"/>
        <w:gridCol w:w="4626"/>
        <w:gridCol w:w="767"/>
        <w:gridCol w:w="872"/>
      </w:tblGrid>
      <w:tr w14:paraId="16B366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87" w:type="pct"/>
            <w:tcBorders>
              <w:top w:val="single" w:color="auto" w:sz="4" w:space="0"/>
              <w:left w:val="single" w:color="auto" w:sz="4" w:space="0"/>
              <w:bottom w:val="single" w:color="auto" w:sz="4" w:space="0"/>
              <w:right w:val="single" w:color="auto" w:sz="4" w:space="0"/>
            </w:tcBorders>
            <w:vAlign w:val="center"/>
          </w:tcPr>
          <w:p w14:paraId="42F07AEB">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配置序号</w:t>
            </w:r>
          </w:p>
        </w:tc>
        <w:tc>
          <w:tcPr>
            <w:tcW w:w="738" w:type="pct"/>
            <w:tcBorders>
              <w:top w:val="single" w:color="auto" w:sz="4" w:space="0"/>
              <w:left w:val="single" w:color="auto" w:sz="4" w:space="0"/>
              <w:bottom w:val="single" w:color="auto" w:sz="4" w:space="0"/>
              <w:right w:val="single" w:color="auto" w:sz="4" w:space="0"/>
            </w:tcBorders>
            <w:vAlign w:val="center"/>
          </w:tcPr>
          <w:p w14:paraId="7AFFF4DD">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配置（家具）名称</w:t>
            </w:r>
          </w:p>
        </w:tc>
        <w:tc>
          <w:tcPr>
            <w:tcW w:w="2786" w:type="pct"/>
            <w:tcBorders>
              <w:top w:val="single" w:color="auto" w:sz="4" w:space="0"/>
              <w:left w:val="single" w:color="auto" w:sz="4" w:space="0"/>
              <w:bottom w:val="single" w:color="auto" w:sz="4" w:space="0"/>
              <w:right w:val="single" w:color="auto" w:sz="4" w:space="0"/>
            </w:tcBorders>
            <w:vAlign w:val="center"/>
          </w:tcPr>
          <w:p w14:paraId="70493813">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详细技术参数要求</w:t>
            </w:r>
          </w:p>
        </w:tc>
        <w:tc>
          <w:tcPr>
            <w:tcW w:w="462" w:type="pct"/>
            <w:tcBorders>
              <w:top w:val="single" w:color="auto" w:sz="4" w:space="0"/>
              <w:left w:val="single" w:color="auto" w:sz="4" w:space="0"/>
              <w:bottom w:val="single" w:color="auto" w:sz="4" w:space="0"/>
              <w:right w:val="single" w:color="auto" w:sz="4" w:space="0"/>
            </w:tcBorders>
            <w:vAlign w:val="center"/>
          </w:tcPr>
          <w:p w14:paraId="536F0872">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数量</w:t>
            </w:r>
          </w:p>
        </w:tc>
        <w:tc>
          <w:tcPr>
            <w:tcW w:w="525" w:type="pct"/>
            <w:tcBorders>
              <w:top w:val="single" w:color="auto" w:sz="4" w:space="0"/>
              <w:left w:val="single" w:color="auto" w:sz="4" w:space="0"/>
              <w:bottom w:val="single" w:color="auto" w:sz="4" w:space="0"/>
              <w:right w:val="single" w:color="auto" w:sz="4" w:space="0"/>
            </w:tcBorders>
            <w:vAlign w:val="center"/>
          </w:tcPr>
          <w:p w14:paraId="5E42B659">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2570EB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87" w:type="pct"/>
            <w:tcBorders>
              <w:top w:val="single" w:color="auto" w:sz="4" w:space="0"/>
              <w:left w:val="single" w:color="auto" w:sz="4" w:space="0"/>
              <w:bottom w:val="single" w:color="auto" w:sz="4" w:space="0"/>
              <w:right w:val="single" w:color="auto" w:sz="4" w:space="0"/>
            </w:tcBorders>
            <w:vAlign w:val="center"/>
          </w:tcPr>
          <w:p w14:paraId="6858FD9D">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738" w:type="pct"/>
            <w:tcBorders>
              <w:top w:val="single" w:color="auto" w:sz="4" w:space="0"/>
              <w:left w:val="single" w:color="auto" w:sz="4" w:space="0"/>
              <w:bottom w:val="single" w:color="auto" w:sz="4" w:space="0"/>
              <w:right w:val="single" w:color="auto" w:sz="4" w:space="0"/>
            </w:tcBorders>
            <w:vAlign w:val="center"/>
          </w:tcPr>
          <w:p w14:paraId="3C9D719E">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食品检测特种作业车</w:t>
            </w:r>
          </w:p>
        </w:tc>
        <w:tc>
          <w:tcPr>
            <w:tcW w:w="2786" w:type="pct"/>
            <w:tcBorders>
              <w:top w:val="single" w:color="auto" w:sz="4" w:space="0"/>
              <w:left w:val="single" w:color="auto" w:sz="4" w:space="0"/>
              <w:bottom w:val="single" w:color="auto" w:sz="4" w:space="0"/>
              <w:right w:val="single" w:color="auto" w:sz="4" w:space="0"/>
            </w:tcBorders>
          </w:tcPr>
          <w:p w14:paraId="08CB90EB">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1.核载成员5人</w:t>
            </w:r>
          </w:p>
          <w:p w14:paraId="141E5E94">
            <w:pPr>
              <w:spacing w:line="240" w:lineRule="auto"/>
              <w:ind w:firstLine="0" w:firstLineChars="0"/>
              <w:jc w:val="left"/>
              <w:rPr>
                <w:rFonts w:hint="default" w:ascii="宋体" w:hAnsi="宋体" w:eastAsia="宋体" w:cs="宋体"/>
                <w:sz w:val="24"/>
                <w:szCs w:val="24"/>
                <w:lang w:val="en-US" w:eastAsia="zh-CN"/>
              </w:rPr>
            </w:pPr>
            <w:r>
              <w:rPr>
                <w:rFonts w:hint="eastAsia" w:ascii="宋体" w:hAnsi="宋体" w:eastAsia="宋体" w:cs="宋体"/>
                <w:sz w:val="24"/>
                <w:szCs w:val="24"/>
              </w:rPr>
              <w:t>2.整车尺寸＜5800×2100×2700</w:t>
            </w:r>
            <w:r>
              <w:rPr>
                <w:rFonts w:hint="eastAsia" w:ascii="宋体" w:hAnsi="宋体" w:eastAsia="宋体" w:cs="宋体"/>
                <w:sz w:val="24"/>
                <w:szCs w:val="24"/>
                <w:lang w:val="en-US" w:eastAsia="zh-CN"/>
              </w:rPr>
              <w:t>mm</w:t>
            </w:r>
          </w:p>
          <w:p w14:paraId="7E0D0B58">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3.车厢内高＞1600mm</w:t>
            </w:r>
          </w:p>
          <w:p w14:paraId="3B26F9D2">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4.车身主体为白色，车辆正、后、侧部均应喷绘有统一标识的警示彩条，车门喷绘有“山东大学”字样</w:t>
            </w:r>
          </w:p>
          <w:p w14:paraId="77F0C1F3">
            <w:pPr>
              <w:spacing w:line="24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sz w:val="24"/>
                <w:szCs w:val="24"/>
              </w:rPr>
              <w:t>5.左前司机门，右侧副驾门及乘员门，尾门(双开门，设置后上车踏脚板)，驾乘区与检测区设</w:t>
            </w:r>
            <w:r>
              <w:rPr>
                <w:rFonts w:hint="eastAsia" w:ascii="宋体" w:hAnsi="宋体" w:eastAsia="宋体" w:cs="宋体"/>
                <w:color w:val="auto"/>
                <w:sz w:val="24"/>
                <w:szCs w:val="24"/>
                <w:highlight w:val="none"/>
              </w:rPr>
              <w:t>独立隔离门</w:t>
            </w:r>
          </w:p>
          <w:p w14:paraId="2CDC7668">
            <w:pPr>
              <w:spacing w:line="24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6.司机位座椅可前后、升降调整</w:t>
            </w:r>
          </w:p>
          <w:p w14:paraId="4C7F2F25">
            <w:pPr>
              <w:spacing w:line="24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7.内置冷暖空调</w:t>
            </w:r>
          </w:p>
          <w:p w14:paraId="52ECDB5E">
            <w:pPr>
              <w:spacing w:line="24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cs="宋体"/>
                <w:color w:val="auto"/>
                <w:sz w:val="24"/>
                <w:highlight w:val="none"/>
              </w:rPr>
              <w:t>驾驶台安装原厂屏幕，具备倒车雷达、倒车影像功能</w:t>
            </w:r>
            <w:bookmarkStart w:id="0" w:name="_GoBack"/>
            <w:bookmarkEnd w:id="0"/>
            <w:r>
              <w:rPr>
                <w:rFonts w:hint="eastAsia" w:ascii="宋体" w:hAnsi="宋体" w:cs="宋体"/>
                <w:color w:val="auto"/>
                <w:sz w:val="24"/>
                <w:highlight w:val="none"/>
              </w:rPr>
              <w:t>。</w:t>
            </w:r>
          </w:p>
          <w:p w14:paraId="0D660255">
            <w:pPr>
              <w:spacing w:line="240" w:lineRule="auto"/>
              <w:ind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.高清行车记录仪一套，配128GB专用高速内存卡</w:t>
            </w:r>
          </w:p>
          <w:p w14:paraId="7390BBCC">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.检测台</w:t>
            </w:r>
            <w:r>
              <w:rPr>
                <w:rFonts w:hint="eastAsia" w:ascii="宋体" w:hAnsi="宋体" w:eastAsia="宋体" w:cs="宋体"/>
                <w:sz w:val="24"/>
                <w:szCs w:val="24"/>
                <w:lang w:eastAsia="zh-CN"/>
              </w:rPr>
              <w:t>、</w:t>
            </w:r>
            <w:r>
              <w:rPr>
                <w:rFonts w:hint="eastAsia" w:ascii="宋体" w:hAnsi="宋体" w:eastAsia="宋体" w:cs="宋体"/>
                <w:sz w:val="24"/>
                <w:szCs w:val="24"/>
              </w:rPr>
              <w:t>插座（≥4 个）、给排水、水槽、空调、换气扇、照明灯（≥300lux）、仪器固定架、储物柜、灭火器（1kg、2 个）、安全锤（2 个）、检测区车窗遮光帘、办公椅、座椅（2 人座）、脚踏式垃圾桶、可摇摆水咀</w:t>
            </w:r>
            <w:r>
              <w:rPr>
                <w:rFonts w:hint="eastAsia" w:ascii="宋体" w:hAnsi="宋体" w:eastAsia="宋体" w:cs="宋体"/>
                <w:sz w:val="24"/>
                <w:szCs w:val="24"/>
                <w:lang w:eastAsia="zh-CN"/>
              </w:rPr>
              <w:t>、车载冰箱</w:t>
            </w:r>
            <w:r>
              <w:rPr>
                <w:rFonts w:hint="eastAsia" w:ascii="宋体" w:hAnsi="宋体" w:eastAsia="宋体" w:cs="宋体"/>
                <w:sz w:val="24"/>
                <w:szCs w:val="24"/>
              </w:rPr>
              <w:t>等</w:t>
            </w:r>
          </w:p>
          <w:p w14:paraId="32614D31">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r>
              <w:rPr>
                <w:rFonts w:hint="eastAsia" w:ascii="宋体" w:hAnsi="宋体" w:eastAsia="宋体" w:cs="宋体"/>
                <w:sz w:val="24"/>
                <w:szCs w:val="24"/>
              </w:rPr>
              <w:t>.驾驶乘坐区与实验区，隔断门及观察窗，防水、阻燃、耐腐蚀、防紫外线</w:t>
            </w:r>
          </w:p>
          <w:p w14:paraId="55DA4196">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r>
              <w:rPr>
                <w:rFonts w:hint="eastAsia" w:ascii="宋体" w:hAnsi="宋体" w:eastAsia="宋体" w:cs="宋体"/>
                <w:sz w:val="24"/>
                <w:szCs w:val="24"/>
              </w:rPr>
              <w:t>.地面铺设灰色石英砂材质地板革,按车厢实际尺寸铺设，地板应防滑、耐酸碱腐蚀、整体无拼接、外表面平整光洁，其颜色与内饰协调一致</w:t>
            </w:r>
          </w:p>
          <w:p w14:paraId="320BC032">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r>
              <w:rPr>
                <w:rFonts w:hint="eastAsia" w:ascii="宋体" w:hAnsi="宋体" w:eastAsia="宋体" w:cs="宋体"/>
                <w:sz w:val="24"/>
                <w:szCs w:val="24"/>
              </w:rPr>
              <w:t>.电子可调大灯+前雾灯/遥控锁/倒车雷达/前后保险杠/车身同色后视镜防炫目内后视镜/高位制动灯/电子防盗功能</w:t>
            </w:r>
          </w:p>
          <w:p w14:paraId="26859B2B">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4</w:t>
            </w:r>
            <w:r>
              <w:rPr>
                <w:rFonts w:hint="eastAsia" w:ascii="宋体" w:hAnsi="宋体" w:eastAsia="宋体" w:cs="宋体"/>
                <w:sz w:val="24"/>
                <w:szCs w:val="24"/>
              </w:rPr>
              <w:t>.电气系统包括配电箱、电源开关、电源防雷系统、逆变器等</w:t>
            </w:r>
          </w:p>
          <w:p w14:paraId="1727D3B9">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.整车主要配置：HHC、EPB电子驻车、前后雷达、可视高清倒车影像</w:t>
            </w:r>
          </w:p>
          <w:p w14:paraId="7F8068E6">
            <w:pPr>
              <w:spacing w:line="240" w:lineRule="auto"/>
              <w:ind w:firstLine="0" w:firstLineChars="0"/>
              <w:jc w:val="left"/>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6</w:t>
            </w:r>
            <w:r>
              <w:rPr>
                <w:rFonts w:hint="eastAsia" w:ascii="宋体" w:hAnsi="宋体" w:eastAsia="宋体" w:cs="宋体"/>
                <w:sz w:val="24"/>
                <w:szCs w:val="24"/>
              </w:rPr>
              <w:t>.动力配置：电池容量≥</w:t>
            </w:r>
            <w:r>
              <w:rPr>
                <w:rFonts w:hint="eastAsia" w:ascii="宋体" w:hAnsi="宋体" w:eastAsia="宋体" w:cs="宋体"/>
                <w:sz w:val="24"/>
                <w:szCs w:val="24"/>
                <w:lang w:val="en-US" w:eastAsia="zh-CN"/>
              </w:rPr>
              <w:t>50</w:t>
            </w:r>
            <w:r>
              <w:rPr>
                <w:rFonts w:hint="eastAsia" w:ascii="宋体" w:hAnsi="宋体" w:eastAsia="宋体" w:cs="宋体"/>
                <w:sz w:val="24"/>
                <w:szCs w:val="24"/>
              </w:rPr>
              <w:t>kWh、综合续驶里程≥</w:t>
            </w:r>
            <w:r>
              <w:rPr>
                <w:rFonts w:hint="eastAsia" w:ascii="宋体" w:hAnsi="宋体" w:eastAsia="宋体" w:cs="宋体"/>
                <w:sz w:val="24"/>
                <w:szCs w:val="24"/>
                <w:lang w:val="en-US" w:eastAsia="zh-CN"/>
              </w:rPr>
              <w:t>3</w:t>
            </w:r>
            <w:r>
              <w:rPr>
                <w:rFonts w:hint="eastAsia" w:ascii="宋体" w:hAnsi="宋体" w:eastAsia="宋体" w:cs="宋体"/>
                <w:sz w:val="24"/>
                <w:szCs w:val="24"/>
              </w:rPr>
              <w:t>00km</w:t>
            </w:r>
          </w:p>
          <w:p w14:paraId="5F1DAC4E">
            <w:pPr>
              <w:spacing w:line="240" w:lineRule="auto"/>
              <w:ind w:firstLine="0" w:firstLineChars="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7</w:t>
            </w:r>
            <w:r>
              <w:rPr>
                <w:rFonts w:hint="eastAsia" w:ascii="宋体" w:hAnsi="宋体" w:eastAsia="宋体" w:cs="宋体"/>
                <w:sz w:val="24"/>
                <w:szCs w:val="24"/>
              </w:rPr>
              <w:t>.投标报价须包含</w:t>
            </w:r>
            <w:r>
              <w:rPr>
                <w:rFonts w:hint="eastAsia" w:ascii="宋体" w:hAnsi="宋体" w:cs="宋体"/>
                <w:sz w:val="24"/>
                <w:szCs w:val="24"/>
                <w:lang w:eastAsia="zh-CN"/>
              </w:rPr>
              <w:t>车辆</w:t>
            </w:r>
            <w:r>
              <w:rPr>
                <w:rFonts w:hint="eastAsia" w:ascii="宋体" w:hAnsi="宋体" w:eastAsia="宋体" w:cs="宋体"/>
                <w:sz w:val="24"/>
                <w:szCs w:val="24"/>
              </w:rPr>
              <w:t>托运费（不包含车辆保险费用</w:t>
            </w:r>
            <w:r>
              <w:rPr>
                <w:rFonts w:hint="eastAsia" w:ascii="宋体" w:hAnsi="宋体" w:cs="宋体"/>
                <w:sz w:val="24"/>
                <w:szCs w:val="24"/>
                <w:lang w:eastAsia="zh-CN"/>
              </w:rPr>
              <w:t>、</w:t>
            </w:r>
            <w:r>
              <w:rPr>
                <w:rFonts w:hint="eastAsia" w:ascii="宋体" w:hAnsi="宋体" w:eastAsia="宋体" w:cs="宋体"/>
                <w:sz w:val="24"/>
                <w:szCs w:val="24"/>
              </w:rPr>
              <w:t>购置税</w:t>
            </w:r>
            <w:r>
              <w:rPr>
                <w:rFonts w:hint="eastAsia" w:ascii="宋体" w:hAnsi="宋体" w:cs="宋体"/>
                <w:sz w:val="24"/>
                <w:szCs w:val="24"/>
                <w:lang w:eastAsia="zh-CN"/>
              </w:rPr>
              <w:t>、</w:t>
            </w:r>
            <w:r>
              <w:rPr>
                <w:rFonts w:hint="eastAsia" w:ascii="宋体" w:hAnsi="宋体" w:eastAsia="宋体" w:cs="宋体"/>
                <w:sz w:val="24"/>
                <w:szCs w:val="24"/>
              </w:rPr>
              <w:t>临时牌照及车辆上牌所需交纳的相关费用）</w:t>
            </w:r>
          </w:p>
        </w:tc>
        <w:tc>
          <w:tcPr>
            <w:tcW w:w="462" w:type="pct"/>
            <w:tcBorders>
              <w:top w:val="single" w:color="auto" w:sz="4" w:space="0"/>
              <w:left w:val="single" w:color="auto" w:sz="4" w:space="0"/>
              <w:bottom w:val="single" w:color="auto" w:sz="4" w:space="0"/>
              <w:right w:val="single" w:color="auto" w:sz="4" w:space="0"/>
            </w:tcBorders>
            <w:vAlign w:val="center"/>
          </w:tcPr>
          <w:p w14:paraId="20AA6EB8">
            <w:pPr>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525" w:type="pct"/>
            <w:tcBorders>
              <w:top w:val="single" w:color="auto" w:sz="4" w:space="0"/>
              <w:left w:val="single" w:color="auto" w:sz="4" w:space="0"/>
              <w:bottom w:val="single" w:color="auto" w:sz="4" w:space="0"/>
              <w:right w:val="single" w:color="auto" w:sz="4" w:space="0"/>
            </w:tcBorders>
            <w:vAlign w:val="center"/>
          </w:tcPr>
          <w:p w14:paraId="2E57517A">
            <w:pPr>
              <w:spacing w:line="240" w:lineRule="auto"/>
              <w:ind w:firstLine="0" w:firstLineChars="0"/>
              <w:jc w:val="center"/>
              <w:rPr>
                <w:rFonts w:hint="eastAsia" w:ascii="宋体" w:hAnsi="宋体" w:eastAsia="宋体" w:cs="宋体"/>
                <w:sz w:val="24"/>
                <w:szCs w:val="24"/>
              </w:rPr>
            </w:pPr>
          </w:p>
        </w:tc>
      </w:tr>
    </w:tbl>
    <w:p w14:paraId="054CF7A6">
      <w:pPr>
        <w:spacing w:line="240" w:lineRule="auto"/>
        <w:rPr>
          <w:rFonts w:hint="eastAsia" w:ascii="宋体" w:hAnsi="宋体" w:eastAsia="宋体" w:cs="宋体"/>
          <w:b/>
          <w:bCs/>
          <w:sz w:val="24"/>
          <w:szCs w:val="24"/>
          <w:lang w:eastAsia="zh-CN"/>
        </w:rPr>
      </w:pPr>
    </w:p>
    <w:p w14:paraId="6D1A1B93">
      <w:pPr>
        <w:spacing w:line="240" w:lineRule="auto"/>
        <w:rPr>
          <w:rFonts w:hint="eastAsia" w:ascii="宋体" w:hAnsi="宋体" w:eastAsia="宋体" w:cs="宋体"/>
          <w:b/>
          <w:bCs/>
          <w:sz w:val="24"/>
          <w:szCs w:val="24"/>
        </w:rPr>
      </w:pPr>
      <w:r>
        <w:rPr>
          <w:rFonts w:hint="eastAsia" w:ascii="宋体" w:hAnsi="宋体" w:eastAsia="宋体" w:cs="宋体"/>
          <w:b/>
          <w:bCs/>
          <w:sz w:val="24"/>
          <w:szCs w:val="24"/>
          <w:lang w:eastAsia="zh-CN"/>
        </w:rPr>
        <w:t>注：</w:t>
      </w:r>
      <w:r>
        <w:rPr>
          <w:rFonts w:hint="eastAsia" w:ascii="宋体" w:hAnsi="宋体" w:eastAsia="宋体" w:cs="宋体"/>
          <w:b/>
          <w:bCs/>
          <w:sz w:val="24"/>
          <w:szCs w:val="24"/>
        </w:rPr>
        <w:t>采购标的需执行的国家相关标准、行业标准、地方标准或者其他标准、规范</w:t>
      </w:r>
    </w:p>
    <w:p w14:paraId="356E67CE">
      <w:pPr>
        <w:spacing w:line="520" w:lineRule="exact"/>
        <w:ind w:firstLine="560"/>
        <w:jc w:val="left"/>
        <w:rPr>
          <w:rFonts w:hint="eastAsia" w:ascii="宋体" w:hAnsi="宋体" w:eastAsia="宋体" w:cs="宋体"/>
          <w:sz w:val="24"/>
          <w:szCs w:val="24"/>
        </w:rPr>
      </w:pPr>
      <w:r>
        <w:rPr>
          <w:rFonts w:hint="eastAsia" w:ascii="宋体" w:hAnsi="宋体" w:eastAsia="宋体" w:cs="宋体"/>
          <w:sz w:val="24"/>
          <w:szCs w:val="24"/>
        </w:rPr>
        <w:t>GB 18384电动汽车安全要求</w:t>
      </w:r>
    </w:p>
    <w:p w14:paraId="6F97B8ED">
      <w:pPr>
        <w:spacing w:line="520" w:lineRule="exact"/>
        <w:ind w:firstLine="560"/>
        <w:jc w:val="left"/>
        <w:rPr>
          <w:rFonts w:hint="eastAsia" w:ascii="宋体" w:hAnsi="宋体" w:eastAsia="宋体" w:cs="宋体"/>
          <w:sz w:val="24"/>
          <w:szCs w:val="24"/>
        </w:rPr>
      </w:pPr>
      <w:r>
        <w:rPr>
          <w:rFonts w:hint="eastAsia" w:ascii="宋体" w:hAnsi="宋体" w:eastAsia="宋体" w:cs="宋体"/>
          <w:sz w:val="24"/>
          <w:szCs w:val="24"/>
        </w:rPr>
        <w:t>GB 38031电动汽车用动力蓄电池安全要求</w:t>
      </w:r>
    </w:p>
    <w:p w14:paraId="10A76DA7">
      <w:pPr>
        <w:spacing w:line="520" w:lineRule="exact"/>
        <w:ind w:firstLine="560"/>
        <w:jc w:val="left"/>
        <w:rPr>
          <w:rFonts w:hint="eastAsia" w:ascii="宋体" w:hAnsi="宋体" w:eastAsia="宋体" w:cs="宋体"/>
          <w:sz w:val="24"/>
          <w:szCs w:val="24"/>
        </w:rPr>
      </w:pPr>
      <w:r>
        <w:rPr>
          <w:rFonts w:hint="eastAsia" w:ascii="宋体" w:hAnsi="宋体" w:eastAsia="宋体" w:cs="宋体"/>
          <w:sz w:val="24"/>
          <w:szCs w:val="24"/>
        </w:rPr>
        <w:t>GB/T 29471食品安全检测移动实验室通用技术规范</w:t>
      </w:r>
    </w:p>
    <w:p w14:paraId="54DE97D9">
      <w:pPr>
        <w:spacing w:line="520" w:lineRule="exact"/>
        <w:ind w:firstLine="560"/>
        <w:jc w:val="left"/>
        <w:rPr>
          <w:rFonts w:hint="eastAsia" w:ascii="宋体" w:hAnsi="宋体" w:eastAsia="宋体" w:cs="宋体"/>
          <w:sz w:val="24"/>
          <w:szCs w:val="24"/>
        </w:rPr>
      </w:pPr>
      <w:r>
        <w:rPr>
          <w:rFonts w:hint="eastAsia" w:ascii="宋体" w:hAnsi="宋体" w:eastAsia="宋体" w:cs="宋体"/>
          <w:sz w:val="24"/>
          <w:szCs w:val="24"/>
        </w:rPr>
        <w:t>GB/T 29477移动实验室实验舱通用技术规范</w:t>
      </w:r>
    </w:p>
    <w:p w14:paraId="0BC609F6">
      <w:pPr>
        <w:spacing w:line="520" w:lineRule="exact"/>
        <w:ind w:firstLine="560"/>
        <w:jc w:val="left"/>
        <w:rPr>
          <w:rFonts w:hint="eastAsia" w:ascii="宋体" w:hAnsi="宋体" w:eastAsia="宋体" w:cs="宋体"/>
          <w:sz w:val="24"/>
          <w:szCs w:val="24"/>
        </w:rPr>
      </w:pPr>
      <w:r>
        <w:rPr>
          <w:rFonts w:hint="eastAsia" w:ascii="宋体" w:hAnsi="宋体" w:eastAsia="宋体" w:cs="宋体"/>
          <w:sz w:val="24"/>
          <w:szCs w:val="24"/>
        </w:rPr>
        <w:t>GB/T29478 移动实验室有害废物管理规范</w:t>
      </w:r>
    </w:p>
    <w:p w14:paraId="5589255C">
      <w:pPr>
        <w:spacing w:line="520" w:lineRule="exact"/>
        <w:ind w:firstLine="560"/>
        <w:jc w:val="left"/>
        <w:rPr>
          <w:rFonts w:hint="eastAsia" w:ascii="宋体" w:hAnsi="宋体" w:eastAsia="宋体" w:cs="宋体"/>
          <w:sz w:val="24"/>
          <w:szCs w:val="24"/>
        </w:rPr>
      </w:pPr>
      <w:r>
        <w:rPr>
          <w:rFonts w:hint="eastAsia" w:ascii="宋体" w:hAnsi="宋体" w:eastAsia="宋体" w:cs="宋体"/>
          <w:sz w:val="24"/>
          <w:szCs w:val="24"/>
        </w:rPr>
        <w:t>DB41/T2849食品快速检测通用技术规范</w:t>
      </w:r>
    </w:p>
    <w:p w14:paraId="5F7CEF32">
      <w:pPr>
        <w:spacing w:line="520" w:lineRule="exact"/>
        <w:ind w:firstLine="560"/>
        <w:jc w:val="left"/>
        <w:rPr>
          <w:rFonts w:hint="eastAsia" w:ascii="宋体" w:hAnsi="宋体" w:eastAsia="宋体" w:cs="宋体"/>
          <w:sz w:val="24"/>
          <w:szCs w:val="24"/>
        </w:rPr>
      </w:pPr>
      <w:r>
        <w:rPr>
          <w:rFonts w:hint="eastAsia" w:ascii="宋体" w:hAnsi="宋体" w:eastAsia="宋体" w:cs="宋体"/>
          <w:sz w:val="24"/>
          <w:szCs w:val="24"/>
        </w:rPr>
        <w:t>GB 1589汽车、挂车及汽车列车外廓尺寸、轴荷及质量限值</w:t>
      </w:r>
    </w:p>
    <w:p w14:paraId="66BADFD4">
      <w:pPr>
        <w:spacing w:line="520" w:lineRule="exact"/>
        <w:ind w:firstLine="560"/>
        <w:jc w:val="left"/>
        <w:rPr>
          <w:rFonts w:hint="eastAsia" w:ascii="宋体" w:hAnsi="宋体" w:eastAsia="宋体" w:cs="宋体"/>
          <w:sz w:val="24"/>
          <w:szCs w:val="24"/>
        </w:rPr>
      </w:pPr>
      <w:r>
        <w:rPr>
          <w:rFonts w:hint="eastAsia" w:ascii="宋体" w:hAnsi="宋体" w:eastAsia="宋体" w:cs="宋体"/>
          <w:sz w:val="24"/>
          <w:szCs w:val="24"/>
        </w:rPr>
        <w:t>GB 7258机动车运行安全技术条件</w:t>
      </w:r>
    </w:p>
    <w:p w14:paraId="29702E0C">
      <w:pPr>
        <w:spacing w:line="520" w:lineRule="exact"/>
        <w:ind w:firstLine="560"/>
        <w:jc w:val="left"/>
        <w:rPr>
          <w:rFonts w:hint="eastAsia" w:ascii="宋体" w:hAnsi="宋体" w:eastAsia="宋体" w:cs="宋体"/>
          <w:sz w:val="24"/>
          <w:szCs w:val="24"/>
        </w:rPr>
      </w:pPr>
      <w:r>
        <w:rPr>
          <w:rFonts w:hint="eastAsia" w:ascii="宋体" w:hAnsi="宋体" w:eastAsia="宋体" w:cs="宋体"/>
          <w:sz w:val="24"/>
          <w:szCs w:val="24"/>
        </w:rPr>
        <w:t>GB 24820实验室家具通用技术条件</w:t>
      </w:r>
    </w:p>
    <w:p w14:paraId="41BB4F89">
      <w:pPr>
        <w:tabs>
          <w:tab w:val="left" w:pos="4320"/>
        </w:tabs>
        <w:rPr>
          <w:rFonts w:ascii="宋体" w:hAnsi="宋体"/>
          <w:b/>
          <w:color w:val="000000"/>
          <w:sz w:val="30"/>
        </w:rPr>
        <w:sectPr>
          <w:footerReference r:id="rId3" w:type="default"/>
          <w:footerReference r:id="rId4" w:type="even"/>
          <w:pgSz w:w="11906" w:h="16838"/>
          <w:pgMar w:top="1440" w:right="1797" w:bottom="1440" w:left="1797" w:header="851" w:footer="992" w:gutter="0"/>
          <w:cols w:space="720" w:num="1"/>
          <w:docGrid w:linePitch="312" w:charSpace="0"/>
        </w:sectPr>
      </w:pPr>
    </w:p>
    <w:p w14:paraId="21D48F58">
      <w:pPr>
        <w:adjustRightInd w:val="0"/>
        <w:snapToGrid w:val="0"/>
        <w:spacing w:after="156" w:afterLines="50"/>
        <w:jc w:val="center"/>
        <w:rPr>
          <w:b/>
          <w:bCs/>
          <w:sz w:val="32"/>
          <w:szCs w:val="32"/>
        </w:rPr>
      </w:pPr>
      <w:r>
        <w:rPr>
          <w:rFonts w:hint="eastAsia"/>
          <w:b/>
          <w:bCs/>
          <w:sz w:val="32"/>
          <w:szCs w:val="32"/>
        </w:rPr>
        <w:t>山东大学仪器设备采购商务条款响应一览表</w:t>
      </w:r>
    </w:p>
    <w:tbl>
      <w:tblPr>
        <w:tblStyle w:val="11"/>
        <w:tblW w:w="8656"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98"/>
        <w:gridCol w:w="1688"/>
        <w:gridCol w:w="6270"/>
      </w:tblGrid>
      <w:tr w14:paraId="31557A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698" w:type="dxa"/>
            <w:tcBorders>
              <w:top w:val="single" w:color="auto" w:sz="4" w:space="0"/>
              <w:left w:val="single" w:color="auto" w:sz="4" w:space="0"/>
              <w:bottom w:val="single" w:color="auto" w:sz="4" w:space="0"/>
              <w:right w:val="single" w:color="auto" w:sz="4" w:space="0"/>
            </w:tcBorders>
            <w:vAlign w:val="center"/>
          </w:tcPr>
          <w:p w14:paraId="32ED5E66">
            <w:pPr>
              <w:spacing w:line="240" w:lineRule="auto"/>
              <w:ind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688" w:type="dxa"/>
            <w:tcBorders>
              <w:top w:val="single" w:color="auto" w:sz="4" w:space="0"/>
              <w:left w:val="single" w:color="auto" w:sz="4" w:space="0"/>
              <w:bottom w:val="single" w:color="auto" w:sz="4" w:space="0"/>
              <w:right w:val="single" w:color="auto" w:sz="4" w:space="0"/>
            </w:tcBorders>
            <w:vAlign w:val="center"/>
          </w:tcPr>
          <w:p w14:paraId="5B3C2DF7">
            <w:pPr>
              <w:spacing w:line="240" w:lineRule="auto"/>
              <w:ind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项目名称</w:t>
            </w:r>
          </w:p>
        </w:tc>
        <w:tc>
          <w:tcPr>
            <w:tcW w:w="6270" w:type="dxa"/>
            <w:tcBorders>
              <w:top w:val="single" w:color="auto" w:sz="4" w:space="0"/>
              <w:left w:val="single" w:color="auto" w:sz="4" w:space="0"/>
              <w:bottom w:val="single" w:color="auto" w:sz="4" w:space="0"/>
              <w:right w:val="single" w:color="auto" w:sz="4" w:space="0"/>
            </w:tcBorders>
            <w:vAlign w:val="center"/>
          </w:tcPr>
          <w:p w14:paraId="3E6F96ED">
            <w:pPr>
              <w:spacing w:line="240" w:lineRule="auto"/>
              <w:ind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采购人要求</w:t>
            </w:r>
          </w:p>
        </w:tc>
      </w:tr>
      <w:tr w14:paraId="4805B1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98" w:type="dxa"/>
            <w:tcBorders>
              <w:top w:val="single" w:color="auto" w:sz="4" w:space="0"/>
              <w:left w:val="single" w:color="auto" w:sz="4" w:space="0"/>
              <w:bottom w:val="single" w:color="auto" w:sz="4" w:space="0"/>
              <w:right w:val="single" w:color="auto" w:sz="4" w:space="0"/>
            </w:tcBorders>
            <w:vAlign w:val="center"/>
          </w:tcPr>
          <w:p w14:paraId="2E21C672">
            <w:pPr>
              <w:spacing w:line="240" w:lineRule="auto"/>
              <w:ind w:firstLine="0" w:firstLineChars="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w:t>
            </w:r>
          </w:p>
        </w:tc>
        <w:tc>
          <w:tcPr>
            <w:tcW w:w="1688" w:type="dxa"/>
            <w:tcBorders>
              <w:top w:val="single" w:color="auto" w:sz="4" w:space="0"/>
              <w:left w:val="single" w:color="auto" w:sz="4" w:space="0"/>
              <w:bottom w:val="single" w:color="auto" w:sz="4" w:space="0"/>
              <w:right w:val="single" w:color="auto" w:sz="4" w:space="0"/>
            </w:tcBorders>
            <w:vAlign w:val="center"/>
          </w:tcPr>
          <w:p w14:paraId="07984523">
            <w:pPr>
              <w:spacing w:line="240" w:lineRule="auto"/>
              <w:ind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成交价</w:t>
            </w:r>
          </w:p>
        </w:tc>
        <w:tc>
          <w:tcPr>
            <w:tcW w:w="6270" w:type="dxa"/>
            <w:tcBorders>
              <w:top w:val="single" w:color="auto" w:sz="4" w:space="0"/>
              <w:left w:val="single" w:color="auto" w:sz="4" w:space="0"/>
              <w:bottom w:val="single" w:color="auto" w:sz="4" w:space="0"/>
              <w:right w:val="single" w:color="auto" w:sz="4" w:space="0"/>
            </w:tcBorders>
            <w:vAlign w:val="center"/>
          </w:tcPr>
          <w:p w14:paraId="22508E9B">
            <w:pPr>
              <w:spacing w:line="240" w:lineRule="auto"/>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人民币</w:t>
            </w:r>
          </w:p>
        </w:tc>
      </w:tr>
      <w:tr w14:paraId="20079E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698" w:type="dxa"/>
            <w:tcBorders>
              <w:top w:val="single" w:color="auto" w:sz="4" w:space="0"/>
              <w:left w:val="single" w:color="auto" w:sz="4" w:space="0"/>
              <w:bottom w:val="single" w:color="auto" w:sz="4" w:space="0"/>
              <w:right w:val="single" w:color="auto" w:sz="4" w:space="0"/>
            </w:tcBorders>
            <w:vAlign w:val="center"/>
          </w:tcPr>
          <w:p w14:paraId="7A3962CF">
            <w:pPr>
              <w:spacing w:line="240" w:lineRule="auto"/>
              <w:ind w:firstLine="0" w:firstLineChars="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2</w:t>
            </w:r>
          </w:p>
        </w:tc>
        <w:tc>
          <w:tcPr>
            <w:tcW w:w="1688" w:type="dxa"/>
            <w:tcBorders>
              <w:top w:val="single" w:color="auto" w:sz="4" w:space="0"/>
              <w:left w:val="single" w:color="auto" w:sz="4" w:space="0"/>
              <w:bottom w:val="single" w:color="auto" w:sz="4" w:space="0"/>
              <w:right w:val="single" w:color="auto" w:sz="4" w:space="0"/>
            </w:tcBorders>
            <w:vAlign w:val="center"/>
          </w:tcPr>
          <w:p w14:paraId="62BB36A6">
            <w:pPr>
              <w:spacing w:line="240" w:lineRule="auto"/>
              <w:ind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交货时间</w:t>
            </w:r>
          </w:p>
        </w:tc>
        <w:tc>
          <w:tcPr>
            <w:tcW w:w="6270" w:type="dxa"/>
            <w:tcBorders>
              <w:top w:val="single" w:color="auto" w:sz="4" w:space="0"/>
              <w:left w:val="single" w:color="auto" w:sz="4" w:space="0"/>
              <w:bottom w:val="single" w:color="auto" w:sz="4" w:space="0"/>
              <w:right w:val="single" w:color="auto" w:sz="4" w:space="0"/>
            </w:tcBorders>
            <w:vAlign w:val="center"/>
          </w:tcPr>
          <w:p w14:paraId="390CA940">
            <w:pPr>
              <w:rPr>
                <w:rFonts w:hint="eastAsia" w:ascii="宋体" w:hAnsi="宋体" w:eastAsia="宋体" w:cs="宋体"/>
                <w:color w:val="auto"/>
                <w:sz w:val="24"/>
                <w:szCs w:val="24"/>
                <w:highlight w:val="none"/>
              </w:rPr>
            </w:pPr>
            <w:r>
              <w:rPr>
                <w:rFonts w:hint="eastAsia" w:ascii="宋体" w:hAnsi="宋体"/>
                <w:color w:val="auto"/>
                <w:sz w:val="24"/>
                <w:highlight w:val="none"/>
              </w:rPr>
              <w:t>合同签订后60日内</w:t>
            </w:r>
          </w:p>
        </w:tc>
      </w:tr>
      <w:tr w14:paraId="09CA67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698" w:type="dxa"/>
            <w:tcBorders>
              <w:top w:val="single" w:color="auto" w:sz="4" w:space="0"/>
              <w:left w:val="single" w:color="auto" w:sz="4" w:space="0"/>
              <w:bottom w:val="single" w:color="auto" w:sz="4" w:space="0"/>
              <w:right w:val="single" w:color="auto" w:sz="4" w:space="0"/>
            </w:tcBorders>
            <w:vAlign w:val="center"/>
          </w:tcPr>
          <w:p w14:paraId="72868C2B">
            <w:pPr>
              <w:spacing w:line="240" w:lineRule="auto"/>
              <w:ind w:firstLine="0" w:firstLineChars="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w:t>
            </w:r>
          </w:p>
        </w:tc>
        <w:tc>
          <w:tcPr>
            <w:tcW w:w="1688" w:type="dxa"/>
            <w:tcBorders>
              <w:top w:val="single" w:color="auto" w:sz="4" w:space="0"/>
              <w:left w:val="single" w:color="auto" w:sz="4" w:space="0"/>
              <w:bottom w:val="single" w:color="auto" w:sz="4" w:space="0"/>
              <w:right w:val="single" w:color="auto" w:sz="4" w:space="0"/>
            </w:tcBorders>
            <w:vAlign w:val="center"/>
          </w:tcPr>
          <w:p w14:paraId="64585125">
            <w:pPr>
              <w:spacing w:line="240" w:lineRule="auto"/>
              <w:ind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付款方式</w:t>
            </w:r>
          </w:p>
        </w:tc>
        <w:tc>
          <w:tcPr>
            <w:tcW w:w="6270" w:type="dxa"/>
            <w:tcBorders>
              <w:top w:val="single" w:color="auto" w:sz="4" w:space="0"/>
              <w:left w:val="single" w:color="auto" w:sz="4" w:space="0"/>
              <w:bottom w:val="single" w:color="auto" w:sz="4" w:space="0"/>
              <w:right w:val="single" w:color="auto" w:sz="4" w:space="0"/>
            </w:tcBorders>
            <w:vAlign w:val="center"/>
          </w:tcPr>
          <w:p w14:paraId="0D67EC1B">
            <w:pPr>
              <w:rPr>
                <w:rFonts w:hint="eastAsia" w:ascii="宋体" w:hAnsi="宋体" w:eastAsia="宋体" w:cs="宋体"/>
                <w:color w:val="auto"/>
                <w:sz w:val="24"/>
                <w:szCs w:val="24"/>
                <w:highlight w:val="none"/>
              </w:rPr>
            </w:pPr>
            <w:r>
              <w:rPr>
                <w:rFonts w:hint="eastAsia" w:ascii="宋体" w:hAnsi="宋体" w:cs="宋体"/>
                <w:color w:val="auto"/>
                <w:sz w:val="24"/>
                <w:highlight w:val="none"/>
              </w:rPr>
              <w:t>货到本地上牌完毕并满足正常使用后付款97%，3%作为质保金，改装质保期结束无质量问题质保金无息退还。</w:t>
            </w:r>
          </w:p>
        </w:tc>
      </w:tr>
      <w:tr w14:paraId="541644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698" w:type="dxa"/>
            <w:tcBorders>
              <w:top w:val="single" w:color="auto" w:sz="4" w:space="0"/>
              <w:left w:val="single" w:color="auto" w:sz="4" w:space="0"/>
              <w:bottom w:val="single" w:color="auto" w:sz="4" w:space="0"/>
              <w:right w:val="single" w:color="auto" w:sz="4" w:space="0"/>
            </w:tcBorders>
            <w:vAlign w:val="center"/>
          </w:tcPr>
          <w:p w14:paraId="4A686BBA">
            <w:pPr>
              <w:spacing w:line="240" w:lineRule="auto"/>
              <w:ind w:firstLine="0" w:firstLineChars="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4</w:t>
            </w:r>
          </w:p>
        </w:tc>
        <w:tc>
          <w:tcPr>
            <w:tcW w:w="1688" w:type="dxa"/>
            <w:tcBorders>
              <w:top w:val="single" w:color="auto" w:sz="4" w:space="0"/>
              <w:left w:val="single" w:color="auto" w:sz="4" w:space="0"/>
              <w:bottom w:val="single" w:color="auto" w:sz="4" w:space="0"/>
              <w:right w:val="single" w:color="auto" w:sz="4" w:space="0"/>
            </w:tcBorders>
            <w:vAlign w:val="center"/>
          </w:tcPr>
          <w:p w14:paraId="0C637CF7">
            <w:pPr>
              <w:tabs>
                <w:tab w:val="left" w:pos="420"/>
              </w:tabs>
              <w:spacing w:line="240" w:lineRule="auto"/>
              <w:ind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安装验收</w:t>
            </w:r>
          </w:p>
        </w:tc>
        <w:tc>
          <w:tcPr>
            <w:tcW w:w="6270" w:type="dxa"/>
            <w:tcBorders>
              <w:top w:val="single" w:color="auto" w:sz="4" w:space="0"/>
              <w:left w:val="single" w:color="auto" w:sz="4" w:space="0"/>
              <w:bottom w:val="single" w:color="auto" w:sz="4" w:space="0"/>
              <w:right w:val="single" w:color="auto" w:sz="4" w:space="0"/>
            </w:tcBorders>
          </w:tcPr>
          <w:p w14:paraId="45AAE614">
            <w:pPr>
              <w:spacing w:line="240" w:lineRule="auto"/>
              <w:ind w:left="360" w:hanging="360" w:hangingChars="150"/>
              <w:rPr>
                <w:rFonts w:hint="eastAsia" w:ascii="宋体" w:hAnsi="宋体" w:eastAsia="宋体" w:cs="宋体"/>
                <w:color w:val="auto"/>
                <w:sz w:val="24"/>
                <w:szCs w:val="24"/>
              </w:rPr>
            </w:pPr>
            <w:r>
              <w:rPr>
                <w:rFonts w:hint="eastAsia" w:ascii="宋体" w:hAnsi="宋体" w:eastAsia="宋体" w:cs="宋体"/>
                <w:color w:val="auto"/>
                <w:sz w:val="24"/>
                <w:szCs w:val="24"/>
              </w:rPr>
              <w:t>A．设备验收由专家组和中标人联合在山东大学进行，验收条件按照合同规定执行。验收合格后填写山东大学大型仪器设备验收报告，该验收报告作为支付中标人货款的依据。</w:t>
            </w:r>
          </w:p>
          <w:p w14:paraId="289F2ECF">
            <w:pPr>
              <w:tabs>
                <w:tab w:val="left" w:pos="360"/>
              </w:tabs>
              <w:spacing w:line="240" w:lineRule="auto"/>
              <w:ind w:left="360" w:hanging="360" w:hangingChars="150"/>
              <w:rPr>
                <w:rFonts w:hint="eastAsia" w:ascii="宋体" w:hAnsi="宋体" w:eastAsia="宋体" w:cs="宋体"/>
                <w:color w:val="auto"/>
                <w:sz w:val="24"/>
                <w:szCs w:val="24"/>
              </w:rPr>
            </w:pPr>
            <w:r>
              <w:rPr>
                <w:rFonts w:hint="eastAsia" w:ascii="宋体" w:hAnsi="宋体" w:eastAsia="宋体" w:cs="宋体"/>
                <w:color w:val="auto"/>
                <w:sz w:val="24"/>
                <w:szCs w:val="24"/>
              </w:rPr>
              <w:t>B．对安装有特殊要求的设备，中标人应在合同签订后10个工作日内以书面形式向用户提出安装场地环境要求，用户负责如电源、地线、温度和湿度设备、静电和防尘设备等安装场地的准备。</w:t>
            </w:r>
          </w:p>
          <w:p w14:paraId="663FC167">
            <w:pPr>
              <w:tabs>
                <w:tab w:val="left" w:pos="360"/>
              </w:tabs>
              <w:spacing w:line="240" w:lineRule="auto"/>
              <w:ind w:left="360" w:hanging="360" w:hangingChars="150"/>
              <w:rPr>
                <w:rFonts w:hint="eastAsia" w:ascii="宋体" w:hAnsi="宋体" w:eastAsia="宋体" w:cs="宋体"/>
                <w:color w:val="auto"/>
                <w:sz w:val="24"/>
                <w:szCs w:val="24"/>
              </w:rPr>
            </w:pPr>
            <w:r>
              <w:rPr>
                <w:rFonts w:hint="eastAsia" w:ascii="宋体" w:hAnsi="宋体" w:eastAsia="宋体" w:cs="宋体"/>
                <w:color w:val="auto"/>
                <w:sz w:val="24"/>
                <w:szCs w:val="24"/>
              </w:rPr>
              <w:t>C．中标人应提供各种文档资料和中文电子版说明书以及调试仪器所需要的工具。</w:t>
            </w:r>
          </w:p>
          <w:p w14:paraId="1E587D6C">
            <w:pPr>
              <w:tabs>
                <w:tab w:val="left" w:pos="360"/>
              </w:tabs>
              <w:spacing w:line="240" w:lineRule="auto"/>
              <w:ind w:left="360" w:hanging="360" w:firstLineChars="0"/>
              <w:rPr>
                <w:rFonts w:hint="eastAsia" w:ascii="宋体" w:hAnsi="宋体" w:eastAsia="宋体" w:cs="宋体"/>
                <w:color w:val="auto"/>
                <w:sz w:val="24"/>
                <w:szCs w:val="24"/>
              </w:rPr>
            </w:pPr>
            <w:r>
              <w:rPr>
                <w:rFonts w:hint="eastAsia" w:ascii="宋体" w:hAnsi="宋体" w:eastAsia="宋体" w:cs="宋体"/>
                <w:color w:val="auto"/>
                <w:sz w:val="24"/>
                <w:szCs w:val="24"/>
              </w:rPr>
              <w:t>D．中标人派专门人员将仪器安装并调试好，达到说明书技术指标的要求。</w:t>
            </w:r>
          </w:p>
          <w:p w14:paraId="7918C721">
            <w:pPr>
              <w:tabs>
                <w:tab w:val="left" w:pos="360"/>
              </w:tabs>
              <w:spacing w:line="240" w:lineRule="auto"/>
              <w:ind w:left="360" w:hanging="360" w:firstLineChars="0"/>
              <w:rPr>
                <w:rFonts w:hint="eastAsia" w:ascii="宋体" w:hAnsi="宋体" w:eastAsia="宋体" w:cs="宋体"/>
                <w:color w:val="auto"/>
                <w:sz w:val="24"/>
                <w:szCs w:val="24"/>
              </w:rPr>
            </w:pPr>
            <w:r>
              <w:rPr>
                <w:rFonts w:hint="eastAsia" w:ascii="宋体" w:hAnsi="宋体" w:eastAsia="宋体" w:cs="宋体"/>
                <w:color w:val="auto"/>
                <w:sz w:val="24"/>
                <w:szCs w:val="24"/>
              </w:rPr>
              <w:t>E．如验收时货物质量与招标要求有负偏离，供应商需在7日内无条件更换合格设备，并承担相应的法律责任，否则采购方有权解除合同，并要求供应商赔偿损失；供应商提供的资质证明文件若为虚假文件，采购方有权拒收设备，并追究其法律责任。</w:t>
            </w:r>
          </w:p>
        </w:tc>
      </w:tr>
      <w:tr w14:paraId="545258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1" w:hRule="atLeast"/>
        </w:trPr>
        <w:tc>
          <w:tcPr>
            <w:tcW w:w="698" w:type="dxa"/>
            <w:tcBorders>
              <w:top w:val="single" w:color="auto" w:sz="4" w:space="0"/>
              <w:left w:val="single" w:color="auto" w:sz="4" w:space="0"/>
              <w:bottom w:val="single" w:color="auto" w:sz="4" w:space="0"/>
              <w:right w:val="single" w:color="auto" w:sz="4" w:space="0"/>
            </w:tcBorders>
            <w:vAlign w:val="center"/>
          </w:tcPr>
          <w:p w14:paraId="7219BC96">
            <w:pPr>
              <w:spacing w:line="300" w:lineRule="exact"/>
              <w:ind w:firstLine="0" w:firstLineChars="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5</w:t>
            </w:r>
          </w:p>
        </w:tc>
        <w:tc>
          <w:tcPr>
            <w:tcW w:w="1688" w:type="dxa"/>
            <w:tcBorders>
              <w:top w:val="single" w:color="auto" w:sz="4" w:space="0"/>
              <w:left w:val="single" w:color="auto" w:sz="4" w:space="0"/>
              <w:bottom w:val="single" w:color="auto" w:sz="4" w:space="0"/>
              <w:right w:val="single" w:color="auto" w:sz="4" w:space="0"/>
            </w:tcBorders>
            <w:vAlign w:val="center"/>
          </w:tcPr>
          <w:p w14:paraId="4F85069B">
            <w:pPr>
              <w:tabs>
                <w:tab w:val="left" w:pos="420"/>
              </w:tabs>
              <w:spacing w:line="300" w:lineRule="exact"/>
              <w:ind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培训</w:t>
            </w:r>
          </w:p>
        </w:tc>
        <w:tc>
          <w:tcPr>
            <w:tcW w:w="6270" w:type="dxa"/>
            <w:tcBorders>
              <w:top w:val="single" w:color="auto" w:sz="4" w:space="0"/>
              <w:left w:val="single" w:color="auto" w:sz="4" w:space="0"/>
              <w:bottom w:val="single" w:color="auto" w:sz="4" w:space="0"/>
              <w:right w:val="single" w:color="auto" w:sz="4" w:space="0"/>
            </w:tcBorders>
          </w:tcPr>
          <w:p w14:paraId="3AA4FDDC">
            <w:pPr>
              <w:spacing w:line="300" w:lineRule="exact"/>
              <w:ind w:left="305" w:hanging="304" w:hangingChars="127"/>
              <w:rPr>
                <w:rFonts w:hint="eastAsia" w:ascii="宋体" w:hAnsi="宋体" w:eastAsia="宋体" w:cs="宋体"/>
                <w:color w:val="000000"/>
                <w:sz w:val="24"/>
                <w:szCs w:val="24"/>
              </w:rPr>
            </w:pPr>
            <w:r>
              <w:rPr>
                <w:rFonts w:hint="eastAsia" w:ascii="宋体" w:hAnsi="宋体" w:eastAsia="宋体" w:cs="宋体"/>
                <w:color w:val="000000"/>
                <w:sz w:val="24"/>
                <w:szCs w:val="24"/>
              </w:rPr>
              <w:t>A．中标人应对用户人员进行技术培训。使其能掌握有关设备的使用、维护和管理等工作要求。</w:t>
            </w:r>
          </w:p>
          <w:p w14:paraId="7206C432">
            <w:pPr>
              <w:spacing w:line="300" w:lineRule="exact"/>
              <w:ind w:left="360" w:hanging="360" w:hangingChars="150"/>
              <w:rPr>
                <w:rFonts w:hint="eastAsia" w:ascii="宋体" w:hAnsi="宋体" w:eastAsia="宋体" w:cs="宋体"/>
                <w:color w:val="000000"/>
                <w:sz w:val="24"/>
                <w:szCs w:val="24"/>
              </w:rPr>
            </w:pPr>
            <w:r>
              <w:rPr>
                <w:rFonts w:hint="eastAsia" w:ascii="宋体" w:hAnsi="宋体" w:eastAsia="宋体" w:cs="宋体"/>
                <w:color w:val="000000"/>
                <w:sz w:val="24"/>
                <w:szCs w:val="24"/>
              </w:rPr>
              <w:t>B．及时提供相关领域新技术与新信息，终生提供相关实验室技术咨询（该项费用包含在报价中）。</w:t>
            </w:r>
          </w:p>
        </w:tc>
      </w:tr>
      <w:tr w14:paraId="529C7C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8" w:hRule="atLeast"/>
        </w:trPr>
        <w:tc>
          <w:tcPr>
            <w:tcW w:w="698" w:type="dxa"/>
            <w:tcBorders>
              <w:top w:val="single" w:color="auto" w:sz="4" w:space="0"/>
              <w:left w:val="single" w:color="auto" w:sz="4" w:space="0"/>
              <w:bottom w:val="single" w:color="auto" w:sz="4" w:space="0"/>
              <w:right w:val="single" w:color="auto" w:sz="4" w:space="0"/>
            </w:tcBorders>
            <w:vAlign w:val="center"/>
          </w:tcPr>
          <w:p w14:paraId="5A7DB04C">
            <w:pPr>
              <w:spacing w:line="300" w:lineRule="exact"/>
              <w:ind w:firstLine="0" w:firstLineChars="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6</w:t>
            </w:r>
          </w:p>
        </w:tc>
        <w:tc>
          <w:tcPr>
            <w:tcW w:w="1688" w:type="dxa"/>
            <w:tcBorders>
              <w:top w:val="single" w:color="auto" w:sz="4" w:space="0"/>
              <w:left w:val="single" w:color="auto" w:sz="4" w:space="0"/>
              <w:bottom w:val="single" w:color="auto" w:sz="4" w:space="0"/>
              <w:right w:val="single" w:color="auto" w:sz="4" w:space="0"/>
            </w:tcBorders>
            <w:vAlign w:val="center"/>
          </w:tcPr>
          <w:p w14:paraId="08D6FE67">
            <w:pPr>
              <w:spacing w:line="300" w:lineRule="exact"/>
              <w:ind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保修与维修</w:t>
            </w:r>
          </w:p>
        </w:tc>
        <w:tc>
          <w:tcPr>
            <w:tcW w:w="6270" w:type="dxa"/>
            <w:tcBorders>
              <w:top w:val="single" w:color="auto" w:sz="4" w:space="0"/>
              <w:left w:val="single" w:color="auto" w:sz="4" w:space="0"/>
              <w:bottom w:val="single" w:color="auto" w:sz="4" w:space="0"/>
              <w:right w:val="single" w:color="auto" w:sz="4" w:space="0"/>
            </w:tcBorders>
          </w:tcPr>
          <w:p w14:paraId="4EC8C23B">
            <w:pPr>
              <w:spacing w:line="300" w:lineRule="exact"/>
              <w:ind w:left="305" w:hanging="304" w:hangingChars="127"/>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A．质保期：底盘质保按制造商售后政策执行，改装部分质保1年</w:t>
            </w:r>
            <w:r>
              <w:rPr>
                <w:rFonts w:hint="eastAsia" w:ascii="宋体" w:hAnsi="宋体" w:eastAsia="宋体" w:cs="宋体"/>
                <w:color w:val="000000"/>
                <w:sz w:val="24"/>
                <w:szCs w:val="24"/>
                <w:lang w:eastAsia="zh-CN"/>
              </w:rPr>
              <w:t>。</w:t>
            </w:r>
          </w:p>
          <w:p w14:paraId="1158832A">
            <w:pPr>
              <w:spacing w:line="300" w:lineRule="exact"/>
              <w:ind w:left="305" w:hanging="304" w:hangingChars="127"/>
              <w:rPr>
                <w:rFonts w:hint="eastAsia" w:ascii="宋体" w:hAnsi="宋体" w:eastAsia="宋体" w:cs="宋体"/>
                <w:strike/>
                <w:color w:val="000000"/>
                <w:sz w:val="24"/>
                <w:szCs w:val="24"/>
              </w:rPr>
            </w:pPr>
            <w:r>
              <w:rPr>
                <w:rFonts w:hint="eastAsia" w:ascii="宋体" w:hAnsi="宋体" w:eastAsia="宋体" w:cs="宋体"/>
                <w:color w:val="000000"/>
                <w:sz w:val="24"/>
                <w:szCs w:val="24"/>
              </w:rPr>
              <w:t>B．中标人需提供负责售后服务的部门或单位的名称和联系方式。维修响应一般情况下4一8小时，终身维修。一般问题应在1周内解决，重大问题或其它无法迅速解决的问题应在1月内解决或提出明确解决方案，否则中标人应赔偿相应损失。</w:t>
            </w:r>
          </w:p>
          <w:p w14:paraId="26C062AC">
            <w:pPr>
              <w:spacing w:line="300" w:lineRule="exact"/>
              <w:ind w:left="305" w:hanging="304" w:hangingChars="127"/>
              <w:rPr>
                <w:rFonts w:hint="eastAsia" w:ascii="宋体" w:hAnsi="宋体" w:eastAsia="宋体" w:cs="宋体"/>
                <w:color w:val="000000"/>
                <w:sz w:val="24"/>
                <w:szCs w:val="24"/>
              </w:rPr>
            </w:pPr>
            <w:r>
              <w:rPr>
                <w:rFonts w:hint="eastAsia" w:ascii="宋体" w:hAnsi="宋体" w:eastAsia="宋体" w:cs="宋体"/>
                <w:color w:val="000000"/>
                <w:sz w:val="24"/>
                <w:szCs w:val="24"/>
              </w:rPr>
              <w:t>C．投标人必须列明保修期后的各项收费标准，需购买的附件和零配件的价格应按主机合同的折扣率给予优惠。</w:t>
            </w:r>
          </w:p>
          <w:p w14:paraId="06D4AEF0">
            <w:pPr>
              <w:spacing w:line="300" w:lineRule="exact"/>
              <w:ind w:left="305" w:hanging="304" w:hangingChars="127"/>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D.仪器中的软件享受终身升级(该项费用包含在报价中)</w:t>
            </w:r>
            <w:r>
              <w:rPr>
                <w:rFonts w:hint="eastAsia" w:ascii="宋体" w:hAnsi="宋体" w:eastAsia="宋体" w:cs="宋体"/>
                <w:color w:val="000000"/>
                <w:sz w:val="24"/>
                <w:szCs w:val="24"/>
                <w:lang w:eastAsia="zh-CN"/>
              </w:rPr>
              <w:t>。</w:t>
            </w:r>
          </w:p>
          <w:p w14:paraId="348ACEC2">
            <w:pPr>
              <w:spacing w:line="300" w:lineRule="exact"/>
              <w:ind w:left="305" w:hanging="304" w:hangingChars="127"/>
              <w:rPr>
                <w:rFonts w:hint="eastAsia" w:ascii="宋体" w:hAnsi="宋体" w:eastAsia="宋体" w:cs="宋体"/>
                <w:color w:val="000000"/>
                <w:sz w:val="24"/>
                <w:szCs w:val="24"/>
              </w:rPr>
            </w:pPr>
            <w:r>
              <w:rPr>
                <w:rFonts w:hint="eastAsia" w:ascii="宋体" w:hAnsi="宋体" w:eastAsia="宋体" w:cs="宋体"/>
                <w:color w:val="000000"/>
                <w:sz w:val="24"/>
                <w:szCs w:val="24"/>
              </w:rPr>
              <w:t>E.质保期内，若设备出现非人为故障，供应商未按要求及时处理，每逾期1天，按合同总金额的0.1%支付违约金。</w:t>
            </w:r>
          </w:p>
        </w:tc>
      </w:tr>
    </w:tbl>
    <w:p w14:paraId="6CA48AAD">
      <w:pPr>
        <w:ind w:left="0" w:leftChars="0" w:firstLine="0" w:firstLineChars="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D0924">
    <w:pPr>
      <w:pStyle w:val="8"/>
      <w:framePr w:wrap="around" w:vAnchor="text" w:hAnchor="margin" w:xAlign="center" w:y="1"/>
      <w:rPr>
        <w:rStyle w:val="13"/>
      </w:rPr>
    </w:pPr>
    <w:r>
      <w:rPr>
        <w:rStyle w:val="13"/>
      </w:rPr>
      <w:fldChar w:fldCharType="begin"/>
    </w:r>
    <w:r>
      <w:rPr>
        <w:rStyle w:val="13"/>
      </w:rPr>
      <w:instrText xml:space="preserve">PAGE  </w:instrText>
    </w:r>
    <w:r>
      <w:rPr>
        <w:rStyle w:val="13"/>
      </w:rPr>
      <w:fldChar w:fldCharType="separate"/>
    </w:r>
    <w:r>
      <w:rPr>
        <w:rStyle w:val="13"/>
      </w:rPr>
      <w:t>4</w:t>
    </w:r>
    <w:r>
      <w:rPr>
        <w:rStyle w:val="13"/>
      </w:rPr>
      <w:fldChar w:fldCharType="end"/>
    </w:r>
  </w:p>
  <w:p w14:paraId="4A0BD6D6">
    <w:pPr>
      <w:pStyle w:val="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206BC">
    <w:pPr>
      <w:pStyle w:val="8"/>
      <w:framePr w:wrap="around" w:vAnchor="text" w:hAnchor="margin" w:xAlign="center" w:y="1"/>
      <w:rPr>
        <w:rStyle w:val="13"/>
      </w:rPr>
    </w:pPr>
    <w:r>
      <w:rPr>
        <w:rStyle w:val="13"/>
      </w:rPr>
      <w:fldChar w:fldCharType="begin"/>
    </w:r>
    <w:r>
      <w:rPr>
        <w:rStyle w:val="13"/>
      </w:rPr>
      <w:instrText xml:space="preserve">PAGE  </w:instrText>
    </w:r>
    <w:r>
      <w:rPr>
        <w:rStyle w:val="13"/>
      </w:rPr>
      <w:fldChar w:fldCharType="separate"/>
    </w:r>
    <w:r>
      <w:rPr>
        <w:rStyle w:val="13"/>
      </w:rPr>
      <w:t>1</w:t>
    </w:r>
    <w:r>
      <w:rPr>
        <w:rStyle w:val="13"/>
      </w:rPr>
      <w:fldChar w:fldCharType="end"/>
    </w:r>
  </w:p>
  <w:p w14:paraId="6C1C43E3">
    <w:pPr>
      <w:pStyle w:val="8"/>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CF63FB"/>
    <w:rsid w:val="00014877"/>
    <w:rsid w:val="00107F51"/>
    <w:rsid w:val="00187FB5"/>
    <w:rsid w:val="01722086"/>
    <w:rsid w:val="01864C69"/>
    <w:rsid w:val="0208692A"/>
    <w:rsid w:val="02105937"/>
    <w:rsid w:val="027779FF"/>
    <w:rsid w:val="029A4ABB"/>
    <w:rsid w:val="031459D0"/>
    <w:rsid w:val="037A7FC6"/>
    <w:rsid w:val="042968D4"/>
    <w:rsid w:val="04EB264D"/>
    <w:rsid w:val="04FA2C4D"/>
    <w:rsid w:val="05094BC0"/>
    <w:rsid w:val="055869F3"/>
    <w:rsid w:val="05A20CE2"/>
    <w:rsid w:val="060B4770"/>
    <w:rsid w:val="0618640F"/>
    <w:rsid w:val="065057E0"/>
    <w:rsid w:val="082068BB"/>
    <w:rsid w:val="082B31B8"/>
    <w:rsid w:val="08B16E7B"/>
    <w:rsid w:val="09076941"/>
    <w:rsid w:val="0913450E"/>
    <w:rsid w:val="097255CA"/>
    <w:rsid w:val="09C16841"/>
    <w:rsid w:val="09D142C1"/>
    <w:rsid w:val="0A840C61"/>
    <w:rsid w:val="0AE359BC"/>
    <w:rsid w:val="0B1D5A27"/>
    <w:rsid w:val="0B32516C"/>
    <w:rsid w:val="0B58407D"/>
    <w:rsid w:val="0B7618F2"/>
    <w:rsid w:val="0BC37096"/>
    <w:rsid w:val="0C97522D"/>
    <w:rsid w:val="0CC765B1"/>
    <w:rsid w:val="0CC77D60"/>
    <w:rsid w:val="0D9A4CD8"/>
    <w:rsid w:val="0D9F1B48"/>
    <w:rsid w:val="0DD904E7"/>
    <w:rsid w:val="0E4002F1"/>
    <w:rsid w:val="0E8F7900"/>
    <w:rsid w:val="0E987BC3"/>
    <w:rsid w:val="0EFB58EA"/>
    <w:rsid w:val="0F59158D"/>
    <w:rsid w:val="0FDC426E"/>
    <w:rsid w:val="103E5D2F"/>
    <w:rsid w:val="104F387A"/>
    <w:rsid w:val="108F3CD9"/>
    <w:rsid w:val="10D64D5C"/>
    <w:rsid w:val="10DD0EA7"/>
    <w:rsid w:val="1125479F"/>
    <w:rsid w:val="1171089E"/>
    <w:rsid w:val="11932F02"/>
    <w:rsid w:val="11A77306"/>
    <w:rsid w:val="123918DC"/>
    <w:rsid w:val="125211DF"/>
    <w:rsid w:val="127B7650"/>
    <w:rsid w:val="12E67807"/>
    <w:rsid w:val="1352048D"/>
    <w:rsid w:val="138E6A50"/>
    <w:rsid w:val="13C539D9"/>
    <w:rsid w:val="149F5C2A"/>
    <w:rsid w:val="14B616EB"/>
    <w:rsid w:val="14BB54CD"/>
    <w:rsid w:val="14E4280C"/>
    <w:rsid w:val="14F9711F"/>
    <w:rsid w:val="150A7FF0"/>
    <w:rsid w:val="15211F63"/>
    <w:rsid w:val="15303D84"/>
    <w:rsid w:val="15352419"/>
    <w:rsid w:val="155722FF"/>
    <w:rsid w:val="159272D9"/>
    <w:rsid w:val="15A5483F"/>
    <w:rsid w:val="1692405F"/>
    <w:rsid w:val="16A13BDE"/>
    <w:rsid w:val="1708075F"/>
    <w:rsid w:val="183A1EC4"/>
    <w:rsid w:val="18D168C7"/>
    <w:rsid w:val="18FE6C33"/>
    <w:rsid w:val="190633A8"/>
    <w:rsid w:val="19AB6511"/>
    <w:rsid w:val="19BF2F21"/>
    <w:rsid w:val="19C67379"/>
    <w:rsid w:val="1A40342D"/>
    <w:rsid w:val="1A5067D4"/>
    <w:rsid w:val="1AEA6958"/>
    <w:rsid w:val="1AF45D59"/>
    <w:rsid w:val="1B002A8F"/>
    <w:rsid w:val="1B1B672A"/>
    <w:rsid w:val="1B2503B3"/>
    <w:rsid w:val="1B2C4819"/>
    <w:rsid w:val="1B81457B"/>
    <w:rsid w:val="1B966F1A"/>
    <w:rsid w:val="1BBB297E"/>
    <w:rsid w:val="1BD36D90"/>
    <w:rsid w:val="1CCE6C9E"/>
    <w:rsid w:val="1CD277DE"/>
    <w:rsid w:val="1CE07EA7"/>
    <w:rsid w:val="1D0213A9"/>
    <w:rsid w:val="1D540AFD"/>
    <w:rsid w:val="1D803678"/>
    <w:rsid w:val="1D947315"/>
    <w:rsid w:val="1DD65B22"/>
    <w:rsid w:val="1E0B5B62"/>
    <w:rsid w:val="1E1420D6"/>
    <w:rsid w:val="1E943953"/>
    <w:rsid w:val="1F2F46E8"/>
    <w:rsid w:val="1F663FC7"/>
    <w:rsid w:val="1FF63823"/>
    <w:rsid w:val="201E60AC"/>
    <w:rsid w:val="20322611"/>
    <w:rsid w:val="20652E7D"/>
    <w:rsid w:val="20907B80"/>
    <w:rsid w:val="20954636"/>
    <w:rsid w:val="209E7711"/>
    <w:rsid w:val="20D16233"/>
    <w:rsid w:val="20D96B23"/>
    <w:rsid w:val="211A4B0C"/>
    <w:rsid w:val="21587019"/>
    <w:rsid w:val="22047FDC"/>
    <w:rsid w:val="220E39AD"/>
    <w:rsid w:val="227F5DDF"/>
    <w:rsid w:val="229040EB"/>
    <w:rsid w:val="22D63784"/>
    <w:rsid w:val="22E00101"/>
    <w:rsid w:val="2358693D"/>
    <w:rsid w:val="235A7D5E"/>
    <w:rsid w:val="236A5EB2"/>
    <w:rsid w:val="257806A4"/>
    <w:rsid w:val="25B55E88"/>
    <w:rsid w:val="26860AF8"/>
    <w:rsid w:val="26F946EF"/>
    <w:rsid w:val="27454323"/>
    <w:rsid w:val="276724B2"/>
    <w:rsid w:val="27AE17AE"/>
    <w:rsid w:val="27B065D9"/>
    <w:rsid w:val="27EC3203"/>
    <w:rsid w:val="28497CE9"/>
    <w:rsid w:val="287E5D51"/>
    <w:rsid w:val="28853958"/>
    <w:rsid w:val="2899220D"/>
    <w:rsid w:val="28F36F96"/>
    <w:rsid w:val="29083185"/>
    <w:rsid w:val="291218A3"/>
    <w:rsid w:val="292F2F3C"/>
    <w:rsid w:val="293B132E"/>
    <w:rsid w:val="29B660AF"/>
    <w:rsid w:val="29EF48F6"/>
    <w:rsid w:val="2A5B35EC"/>
    <w:rsid w:val="2AB6061E"/>
    <w:rsid w:val="2B0C566F"/>
    <w:rsid w:val="2B1A015B"/>
    <w:rsid w:val="2B261739"/>
    <w:rsid w:val="2B673557"/>
    <w:rsid w:val="2B7427ED"/>
    <w:rsid w:val="2BCF662B"/>
    <w:rsid w:val="2C0D6332"/>
    <w:rsid w:val="2CBA36ED"/>
    <w:rsid w:val="2CDB0A3F"/>
    <w:rsid w:val="2D2D582E"/>
    <w:rsid w:val="2E3547B2"/>
    <w:rsid w:val="2E3B5A0D"/>
    <w:rsid w:val="2E6424E2"/>
    <w:rsid w:val="2E783031"/>
    <w:rsid w:val="2EB9037F"/>
    <w:rsid w:val="2EEB4B42"/>
    <w:rsid w:val="2F0927B5"/>
    <w:rsid w:val="2F09696A"/>
    <w:rsid w:val="2F6623A2"/>
    <w:rsid w:val="2F9C7562"/>
    <w:rsid w:val="2FBC1453"/>
    <w:rsid w:val="3018551A"/>
    <w:rsid w:val="302741E5"/>
    <w:rsid w:val="30FA1725"/>
    <w:rsid w:val="314C1540"/>
    <w:rsid w:val="31C763A2"/>
    <w:rsid w:val="32AD063B"/>
    <w:rsid w:val="32CF7C6A"/>
    <w:rsid w:val="32D7003E"/>
    <w:rsid w:val="32DC1712"/>
    <w:rsid w:val="32DE6B39"/>
    <w:rsid w:val="333B167A"/>
    <w:rsid w:val="33576006"/>
    <w:rsid w:val="33CE2588"/>
    <w:rsid w:val="34032B6D"/>
    <w:rsid w:val="341F3636"/>
    <w:rsid w:val="342B05CE"/>
    <w:rsid w:val="34334935"/>
    <w:rsid w:val="34336B72"/>
    <w:rsid w:val="3478118C"/>
    <w:rsid w:val="34917046"/>
    <w:rsid w:val="34A55CAF"/>
    <w:rsid w:val="34DA04A1"/>
    <w:rsid w:val="356D49D0"/>
    <w:rsid w:val="36C45BF0"/>
    <w:rsid w:val="36E32A61"/>
    <w:rsid w:val="374304CC"/>
    <w:rsid w:val="37563922"/>
    <w:rsid w:val="375C419C"/>
    <w:rsid w:val="3776067E"/>
    <w:rsid w:val="379B7260"/>
    <w:rsid w:val="3803313D"/>
    <w:rsid w:val="38081F51"/>
    <w:rsid w:val="38A31458"/>
    <w:rsid w:val="38C75919"/>
    <w:rsid w:val="393E30D3"/>
    <w:rsid w:val="396C36C6"/>
    <w:rsid w:val="398F3FBF"/>
    <w:rsid w:val="39E37447"/>
    <w:rsid w:val="39E77711"/>
    <w:rsid w:val="3A5A3DCE"/>
    <w:rsid w:val="3A5C44DE"/>
    <w:rsid w:val="3A9A3CF3"/>
    <w:rsid w:val="3AA76B24"/>
    <w:rsid w:val="3B3173C8"/>
    <w:rsid w:val="3B691A1F"/>
    <w:rsid w:val="3BDC084C"/>
    <w:rsid w:val="3BFE02EE"/>
    <w:rsid w:val="3C1A2779"/>
    <w:rsid w:val="3C314A4D"/>
    <w:rsid w:val="3C3275E3"/>
    <w:rsid w:val="3C432158"/>
    <w:rsid w:val="3CEA6867"/>
    <w:rsid w:val="3CF44DFB"/>
    <w:rsid w:val="3D224BDE"/>
    <w:rsid w:val="3D230748"/>
    <w:rsid w:val="3D3775C9"/>
    <w:rsid w:val="3D385A7A"/>
    <w:rsid w:val="3D3A5A3A"/>
    <w:rsid w:val="3D590F09"/>
    <w:rsid w:val="3D5973AB"/>
    <w:rsid w:val="3D71102F"/>
    <w:rsid w:val="3DCA347D"/>
    <w:rsid w:val="3DDF1802"/>
    <w:rsid w:val="3DFB1B0E"/>
    <w:rsid w:val="3E08609E"/>
    <w:rsid w:val="3E100775"/>
    <w:rsid w:val="3F591BA3"/>
    <w:rsid w:val="403326B5"/>
    <w:rsid w:val="40415F5B"/>
    <w:rsid w:val="40B0119D"/>
    <w:rsid w:val="414D52BF"/>
    <w:rsid w:val="418A0727"/>
    <w:rsid w:val="41DF1DC6"/>
    <w:rsid w:val="421074D3"/>
    <w:rsid w:val="422920EC"/>
    <w:rsid w:val="428928DD"/>
    <w:rsid w:val="43456004"/>
    <w:rsid w:val="438D51D7"/>
    <w:rsid w:val="43CD58CE"/>
    <w:rsid w:val="43D53DA6"/>
    <w:rsid w:val="43E202FE"/>
    <w:rsid w:val="43F01942"/>
    <w:rsid w:val="4462579A"/>
    <w:rsid w:val="44892B36"/>
    <w:rsid w:val="44EC4088"/>
    <w:rsid w:val="45067575"/>
    <w:rsid w:val="4576226F"/>
    <w:rsid w:val="458147A7"/>
    <w:rsid w:val="46843C9F"/>
    <w:rsid w:val="46846882"/>
    <w:rsid w:val="46866723"/>
    <w:rsid w:val="46C5455B"/>
    <w:rsid w:val="47194598"/>
    <w:rsid w:val="4739637A"/>
    <w:rsid w:val="477D2D67"/>
    <w:rsid w:val="48053CEE"/>
    <w:rsid w:val="4826047B"/>
    <w:rsid w:val="488512C3"/>
    <w:rsid w:val="489A7754"/>
    <w:rsid w:val="48AC5E86"/>
    <w:rsid w:val="48C30E74"/>
    <w:rsid w:val="490B1097"/>
    <w:rsid w:val="49133B00"/>
    <w:rsid w:val="49BA55F7"/>
    <w:rsid w:val="49F41C02"/>
    <w:rsid w:val="4A383AAE"/>
    <w:rsid w:val="4A842FC4"/>
    <w:rsid w:val="4AB60F23"/>
    <w:rsid w:val="4ADA723F"/>
    <w:rsid w:val="4B652E50"/>
    <w:rsid w:val="4BB74681"/>
    <w:rsid w:val="4BCB1E65"/>
    <w:rsid w:val="4C0673B0"/>
    <w:rsid w:val="4C4541C4"/>
    <w:rsid w:val="4C890E00"/>
    <w:rsid w:val="4CFF544D"/>
    <w:rsid w:val="4D664F0D"/>
    <w:rsid w:val="4D737BC0"/>
    <w:rsid w:val="4D90732F"/>
    <w:rsid w:val="4DB911F5"/>
    <w:rsid w:val="4E39006D"/>
    <w:rsid w:val="4E3F4042"/>
    <w:rsid w:val="4E4A5E9C"/>
    <w:rsid w:val="4E5E0C59"/>
    <w:rsid w:val="4F5758BF"/>
    <w:rsid w:val="4FED4EA3"/>
    <w:rsid w:val="50414FAD"/>
    <w:rsid w:val="508225E4"/>
    <w:rsid w:val="50A27F35"/>
    <w:rsid w:val="511145F1"/>
    <w:rsid w:val="51265427"/>
    <w:rsid w:val="512C2130"/>
    <w:rsid w:val="51586D6F"/>
    <w:rsid w:val="51C74D12"/>
    <w:rsid w:val="51C76515"/>
    <w:rsid w:val="51E2012B"/>
    <w:rsid w:val="52217DE8"/>
    <w:rsid w:val="52234144"/>
    <w:rsid w:val="528065BE"/>
    <w:rsid w:val="52A85446"/>
    <w:rsid w:val="52BC6652"/>
    <w:rsid w:val="5332144D"/>
    <w:rsid w:val="53817A93"/>
    <w:rsid w:val="53D517BB"/>
    <w:rsid w:val="53E34E8E"/>
    <w:rsid w:val="54381BD1"/>
    <w:rsid w:val="552A401D"/>
    <w:rsid w:val="553E5FA5"/>
    <w:rsid w:val="55885BB5"/>
    <w:rsid w:val="55CD5943"/>
    <w:rsid w:val="5655292B"/>
    <w:rsid w:val="5659437D"/>
    <w:rsid w:val="566770A4"/>
    <w:rsid w:val="56B83067"/>
    <w:rsid w:val="56F16299"/>
    <w:rsid w:val="572C398B"/>
    <w:rsid w:val="57DF2C91"/>
    <w:rsid w:val="580B5A68"/>
    <w:rsid w:val="58371843"/>
    <w:rsid w:val="585E5382"/>
    <w:rsid w:val="58623C63"/>
    <w:rsid w:val="58A50202"/>
    <w:rsid w:val="595A7F7E"/>
    <w:rsid w:val="59740071"/>
    <w:rsid w:val="59756698"/>
    <w:rsid w:val="59C33373"/>
    <w:rsid w:val="59C86CA9"/>
    <w:rsid w:val="59D43EF5"/>
    <w:rsid w:val="59D547EA"/>
    <w:rsid w:val="5A421A14"/>
    <w:rsid w:val="5A8D0756"/>
    <w:rsid w:val="5A8D3AFE"/>
    <w:rsid w:val="5B0F1B30"/>
    <w:rsid w:val="5B2E6B4B"/>
    <w:rsid w:val="5B5D4931"/>
    <w:rsid w:val="5BBE5C5A"/>
    <w:rsid w:val="5BC14016"/>
    <w:rsid w:val="5BEB236A"/>
    <w:rsid w:val="5C3A0A04"/>
    <w:rsid w:val="5CCA5E91"/>
    <w:rsid w:val="5D845BA8"/>
    <w:rsid w:val="5D8D3E71"/>
    <w:rsid w:val="5DA07FF7"/>
    <w:rsid w:val="5E01304D"/>
    <w:rsid w:val="5EE27322"/>
    <w:rsid w:val="5EE947C8"/>
    <w:rsid w:val="5F093A0F"/>
    <w:rsid w:val="5F10128B"/>
    <w:rsid w:val="5F6371E0"/>
    <w:rsid w:val="5F6F4B8F"/>
    <w:rsid w:val="5F916C75"/>
    <w:rsid w:val="60021EA4"/>
    <w:rsid w:val="600736BC"/>
    <w:rsid w:val="600A4B09"/>
    <w:rsid w:val="605F1D0B"/>
    <w:rsid w:val="6064444F"/>
    <w:rsid w:val="60CF63FB"/>
    <w:rsid w:val="611353F0"/>
    <w:rsid w:val="61985A2E"/>
    <w:rsid w:val="61D94A0C"/>
    <w:rsid w:val="62CD3DF2"/>
    <w:rsid w:val="62E96664"/>
    <w:rsid w:val="63041BE6"/>
    <w:rsid w:val="631043D5"/>
    <w:rsid w:val="649F377C"/>
    <w:rsid w:val="65064588"/>
    <w:rsid w:val="651519EE"/>
    <w:rsid w:val="653A2280"/>
    <w:rsid w:val="654732FD"/>
    <w:rsid w:val="6569233D"/>
    <w:rsid w:val="659C36B8"/>
    <w:rsid w:val="65EC26C9"/>
    <w:rsid w:val="668A5968"/>
    <w:rsid w:val="676505EB"/>
    <w:rsid w:val="67E56DD6"/>
    <w:rsid w:val="67F71073"/>
    <w:rsid w:val="689E5B3D"/>
    <w:rsid w:val="68D80B25"/>
    <w:rsid w:val="696D1859"/>
    <w:rsid w:val="6976206A"/>
    <w:rsid w:val="69BD5F23"/>
    <w:rsid w:val="69DD6A02"/>
    <w:rsid w:val="6A6B76AD"/>
    <w:rsid w:val="6A7D6396"/>
    <w:rsid w:val="6A80346D"/>
    <w:rsid w:val="6AAB27BF"/>
    <w:rsid w:val="6B3E7BB5"/>
    <w:rsid w:val="6B8A56F6"/>
    <w:rsid w:val="6BB64740"/>
    <w:rsid w:val="6BDE7EC2"/>
    <w:rsid w:val="6BFA7CAB"/>
    <w:rsid w:val="6C066525"/>
    <w:rsid w:val="6C543A41"/>
    <w:rsid w:val="6C8420F9"/>
    <w:rsid w:val="6D366A53"/>
    <w:rsid w:val="6D5A5A6E"/>
    <w:rsid w:val="6D6072F6"/>
    <w:rsid w:val="6D6B2D94"/>
    <w:rsid w:val="6DE17D2F"/>
    <w:rsid w:val="6E09125C"/>
    <w:rsid w:val="6E3F2708"/>
    <w:rsid w:val="6ECC1B03"/>
    <w:rsid w:val="6F081ECC"/>
    <w:rsid w:val="6F1F55DB"/>
    <w:rsid w:val="6F2F0829"/>
    <w:rsid w:val="6F367F8E"/>
    <w:rsid w:val="6FCF139E"/>
    <w:rsid w:val="70197D66"/>
    <w:rsid w:val="7036075E"/>
    <w:rsid w:val="70362978"/>
    <w:rsid w:val="70412488"/>
    <w:rsid w:val="70966DD4"/>
    <w:rsid w:val="70E525BA"/>
    <w:rsid w:val="70E75FDC"/>
    <w:rsid w:val="71082E7B"/>
    <w:rsid w:val="71270FB4"/>
    <w:rsid w:val="71695A58"/>
    <w:rsid w:val="716B02ED"/>
    <w:rsid w:val="71CA268E"/>
    <w:rsid w:val="72250458"/>
    <w:rsid w:val="725C4DCF"/>
    <w:rsid w:val="7297545B"/>
    <w:rsid w:val="729F408D"/>
    <w:rsid w:val="73002031"/>
    <w:rsid w:val="73351CA8"/>
    <w:rsid w:val="73FF0EDA"/>
    <w:rsid w:val="74464EE5"/>
    <w:rsid w:val="748529B1"/>
    <w:rsid w:val="74B626D6"/>
    <w:rsid w:val="74E108A3"/>
    <w:rsid w:val="74E42550"/>
    <w:rsid w:val="74E94751"/>
    <w:rsid w:val="751C6ECC"/>
    <w:rsid w:val="751F7A57"/>
    <w:rsid w:val="756B596A"/>
    <w:rsid w:val="75880514"/>
    <w:rsid w:val="75B901F2"/>
    <w:rsid w:val="75CF1E4C"/>
    <w:rsid w:val="75E777AA"/>
    <w:rsid w:val="76631429"/>
    <w:rsid w:val="76730EC0"/>
    <w:rsid w:val="76A603F3"/>
    <w:rsid w:val="76C138E8"/>
    <w:rsid w:val="76CE6F37"/>
    <w:rsid w:val="77C75D52"/>
    <w:rsid w:val="781C1AEE"/>
    <w:rsid w:val="783B369C"/>
    <w:rsid w:val="78BC1B1C"/>
    <w:rsid w:val="78BE1435"/>
    <w:rsid w:val="78C13D31"/>
    <w:rsid w:val="79287717"/>
    <w:rsid w:val="79C55761"/>
    <w:rsid w:val="7B5707FE"/>
    <w:rsid w:val="7B655E5A"/>
    <w:rsid w:val="7BAD448A"/>
    <w:rsid w:val="7BFA2B6E"/>
    <w:rsid w:val="7C5E1890"/>
    <w:rsid w:val="7CB06CB4"/>
    <w:rsid w:val="7D1623C2"/>
    <w:rsid w:val="7D1B4352"/>
    <w:rsid w:val="7D395CFE"/>
    <w:rsid w:val="7D4F7832"/>
    <w:rsid w:val="7D9253F8"/>
    <w:rsid w:val="7D9F2718"/>
    <w:rsid w:val="7DBA21EF"/>
    <w:rsid w:val="7DD556D7"/>
    <w:rsid w:val="7E3C37AE"/>
    <w:rsid w:val="7E450708"/>
    <w:rsid w:val="7FAF52AF"/>
    <w:rsid w:val="7FC4329C"/>
    <w:rsid w:val="7FE06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6"/>
    <w:autoRedefine/>
    <w:qFormat/>
    <w:uiPriority w:val="0"/>
    <w:pPr>
      <w:keepNext/>
      <w:keepLines/>
      <w:spacing w:beforeLines="0" w:beforeAutospacing="0" w:afterLines="0" w:afterAutospacing="0" w:line="360" w:lineRule="auto"/>
      <w:jc w:val="center"/>
      <w:outlineLvl w:val="0"/>
    </w:pPr>
    <w:rPr>
      <w:rFonts w:ascii="Times New Roman" w:hAnsi="Times New Roman"/>
      <w:b/>
      <w:kern w:val="44"/>
      <w:sz w:val="44"/>
      <w:szCs w:val="21"/>
    </w:rPr>
  </w:style>
  <w:style w:type="paragraph" w:styleId="3">
    <w:name w:val="heading 2"/>
    <w:basedOn w:val="1"/>
    <w:next w:val="1"/>
    <w:link w:val="15"/>
    <w:autoRedefine/>
    <w:semiHidden/>
    <w:unhideWhenUsed/>
    <w:qFormat/>
    <w:uiPriority w:val="0"/>
    <w:pPr>
      <w:keepNext/>
      <w:keepLines/>
      <w:spacing w:line="360" w:lineRule="auto"/>
      <w:ind w:firstLine="0" w:firstLineChars="0"/>
      <w:jc w:val="left"/>
      <w:outlineLvl w:val="1"/>
    </w:pPr>
    <w:rPr>
      <w:rFonts w:ascii="Arial" w:hAnsi="Arial" w:eastAsia="仿宋"/>
      <w:b/>
      <w:bCs/>
      <w:sz w:val="32"/>
      <w:szCs w:val="32"/>
    </w:rPr>
  </w:style>
  <w:style w:type="paragraph" w:styleId="4">
    <w:name w:val="heading 3"/>
    <w:basedOn w:val="1"/>
    <w:next w:val="5"/>
    <w:link w:val="18"/>
    <w:semiHidden/>
    <w:unhideWhenUsed/>
    <w:qFormat/>
    <w:uiPriority w:val="0"/>
    <w:pPr>
      <w:keepNext/>
      <w:keepLines/>
      <w:spacing w:beforeLines="0" w:afterLines="0" w:line="360" w:lineRule="auto"/>
      <w:ind w:firstLine="0" w:firstLineChars="0"/>
      <w:outlineLvl w:val="2"/>
    </w:pPr>
    <w:rPr>
      <w:rFonts w:eastAsia="仿宋" w:cs="Times New Roman"/>
      <w:b/>
      <w:bCs/>
      <w:sz w:val="30"/>
      <w:szCs w:val="32"/>
    </w:rPr>
  </w:style>
  <w:style w:type="character" w:default="1" w:styleId="12">
    <w:name w:val="Default Paragraph Font"/>
    <w:autoRedefine/>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style>
  <w:style w:type="paragraph" w:styleId="6">
    <w:name w:val="Body Text Indent"/>
    <w:basedOn w:val="1"/>
    <w:autoRedefine/>
    <w:qFormat/>
    <w:uiPriority w:val="0"/>
    <w:pPr>
      <w:spacing w:after="120" w:afterLines="0" w:afterAutospacing="0"/>
      <w:ind w:left="420" w:leftChars="200"/>
    </w:pPr>
  </w:style>
  <w:style w:type="paragraph" w:styleId="7">
    <w:name w:val="Plain Text"/>
    <w:basedOn w:val="1"/>
    <w:autoRedefine/>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kern w:val="0"/>
      <w:sz w:val="18"/>
      <w:szCs w:val="18"/>
    </w:rPr>
  </w:style>
  <w:style w:type="paragraph" w:styleId="9">
    <w:name w:val="Title"/>
    <w:basedOn w:val="1"/>
    <w:next w:val="1"/>
    <w:link w:val="17"/>
    <w:autoRedefine/>
    <w:qFormat/>
    <w:uiPriority w:val="0"/>
    <w:pPr>
      <w:spacing w:before="240" w:after="60"/>
      <w:jc w:val="left"/>
      <w:outlineLvl w:val="0"/>
    </w:pPr>
    <w:rPr>
      <w:rFonts w:ascii="Cambria" w:hAnsi="Cambria" w:eastAsia="仿宋" w:cs="黑体"/>
      <w:b/>
      <w:bCs/>
      <w:sz w:val="32"/>
      <w:szCs w:val="32"/>
    </w:rPr>
  </w:style>
  <w:style w:type="paragraph" w:styleId="10">
    <w:name w:val="Body Text First Indent 2"/>
    <w:basedOn w:val="6"/>
    <w:autoRedefine/>
    <w:qFormat/>
    <w:uiPriority w:val="0"/>
    <w:pPr>
      <w:ind w:firstLine="420" w:firstLineChars="200"/>
    </w:pPr>
  </w:style>
  <w:style w:type="character" w:styleId="13">
    <w:name w:val="page number"/>
    <w:qFormat/>
    <w:uiPriority w:val="99"/>
    <w:rPr>
      <w:rFonts w:cs="Times New Roman"/>
    </w:rPr>
  </w:style>
  <w:style w:type="character" w:styleId="14">
    <w:name w:val="Hyperlink"/>
    <w:qFormat/>
    <w:uiPriority w:val="0"/>
    <w:rPr>
      <w:rFonts w:ascii="Times New Roman" w:hAnsi="Times New Roman" w:eastAsia="宋体"/>
      <w:color w:val="auto"/>
      <w:u w:val="none"/>
      <w:shd w:val="clear" w:color="auto" w:fill="009688"/>
    </w:rPr>
  </w:style>
  <w:style w:type="character" w:customStyle="1" w:styleId="15">
    <w:name w:val="标题 2 Char"/>
    <w:link w:val="3"/>
    <w:autoRedefine/>
    <w:qFormat/>
    <w:uiPriority w:val="0"/>
    <w:rPr>
      <w:rFonts w:ascii="Arial" w:hAnsi="Arial" w:eastAsia="仿宋"/>
      <w:b/>
      <w:sz w:val="32"/>
      <w:szCs w:val="21"/>
    </w:rPr>
  </w:style>
  <w:style w:type="character" w:customStyle="1" w:styleId="16">
    <w:name w:val="标题 1 Char"/>
    <w:link w:val="2"/>
    <w:autoRedefine/>
    <w:qFormat/>
    <w:uiPriority w:val="0"/>
    <w:rPr>
      <w:rFonts w:ascii="Times New Roman" w:hAnsi="Times New Roman" w:eastAsia="仿宋" w:cs="Times New Roman"/>
      <w:b/>
      <w:kern w:val="44"/>
      <w:sz w:val="44"/>
      <w:szCs w:val="21"/>
    </w:rPr>
  </w:style>
  <w:style w:type="character" w:customStyle="1" w:styleId="17">
    <w:name w:val="标题 Char1"/>
    <w:link w:val="9"/>
    <w:autoRedefine/>
    <w:qFormat/>
    <w:uiPriority w:val="0"/>
    <w:rPr>
      <w:rFonts w:ascii="Cambria" w:hAnsi="Cambria" w:eastAsia="仿宋" w:cs="黑体"/>
      <w:b/>
      <w:bCs/>
      <w:sz w:val="32"/>
      <w:szCs w:val="32"/>
    </w:rPr>
  </w:style>
  <w:style w:type="character" w:customStyle="1" w:styleId="18">
    <w:name w:val="标题 3 Char"/>
    <w:link w:val="4"/>
    <w:autoRedefine/>
    <w:qFormat/>
    <w:uiPriority w:val="0"/>
    <w:rPr>
      <w:rFonts w:ascii="Calibri" w:hAnsi="Calibri" w:eastAsia="仿宋" w:cs="Times New Roman"/>
      <w:b/>
      <w:bCs/>
      <w:sz w:val="30"/>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2026-09-18T10:00:00Z</dcterms:created>
  <dc:creator>NTKO</dc:creator>
  <cp:lastModifiedBy>NTKO</cp:lastModifiedBy>
  <dcterms:modified xsi:type="dcterms:W3CDTF">2026-09-18T10:01:21Z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C74DB8403D8747509B7FE3CF12C2FF9B_11</vt:lpwstr>
  </property>
  <property fmtid="{D5CDD505-2E9C-101B-9397-08002B2CF9AE}" pid="4" name="KSOTemplateDocerSaveRecord">
    <vt:lpwstr>eyJoZGlkIjoiNjBmMzc0MTM4NjJhMmUzY2JiNzliNTRlNzc5MmI0OWYiLCJ1c2VySWQiOiI1MzUzMjkxNjcifQ==</vt:lpwstr>
  </property>
</Properties>
</file>