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DFC7B6">
      <w:pPr>
        <w:keepNext/>
        <w:keepLines/>
        <w:widowControl w:val="0"/>
        <w:spacing w:before="120" w:after="120" w:line="240" w:lineRule="auto"/>
        <w:jc w:val="center"/>
        <w:outlineLvl w:val="0"/>
        <w:rPr>
          <w:rFonts w:ascii="宋体" w:hAnsi="宋体" w:eastAsia="宋体" w:cs="Times New Roman"/>
          <w:b/>
          <w:bCs/>
          <w:kern w:val="2"/>
          <w:sz w:val="32"/>
          <w:szCs w:val="44"/>
          <w:highlight w:val="none"/>
          <w:lang w:val="en-US" w:eastAsia="zh-CN" w:bidi="ar-SA"/>
        </w:rPr>
      </w:pPr>
      <w:r>
        <w:rPr>
          <w:rFonts w:hint="eastAsia" w:ascii="宋体" w:hAnsi="宋体" w:eastAsia="宋体" w:cs="Times New Roman"/>
          <w:b/>
          <w:bCs/>
          <w:kern w:val="2"/>
          <w:sz w:val="32"/>
          <w:szCs w:val="44"/>
          <w:highlight w:val="none"/>
          <w:lang w:val="en-US" w:eastAsia="zh-CN" w:bidi="ar-SA"/>
        </w:rPr>
        <w:t>采购内容及项目要求</w:t>
      </w:r>
    </w:p>
    <w:p w14:paraId="6F57D7A8">
      <w:pPr>
        <w:widowControl/>
        <w:spacing w:line="520" w:lineRule="exact"/>
        <w:ind w:firstLine="120" w:firstLineChars="50"/>
        <w:jc w:val="left"/>
        <w:rPr>
          <w:rFonts w:hint="eastAsia" w:ascii="宋体" w:hAnsi="宋体"/>
          <w:sz w:val="24"/>
          <w:highlight w:val="none"/>
        </w:rPr>
      </w:pPr>
      <w:r>
        <w:rPr>
          <w:rFonts w:hint="eastAsia" w:ascii="宋体" w:hAnsi="宋体"/>
          <w:b/>
          <w:bCs/>
          <w:sz w:val="24"/>
          <w:highlight w:val="none"/>
        </w:rPr>
        <w:t>一、项目概况</w:t>
      </w:r>
    </w:p>
    <w:p w14:paraId="36BBE695">
      <w:pPr>
        <w:widowControl/>
        <w:spacing w:line="520" w:lineRule="exact"/>
        <w:ind w:firstLine="480" w:firstLineChars="200"/>
        <w:jc w:val="left"/>
        <w:rPr>
          <w:rFonts w:ascii="宋体" w:hAnsi="宋体"/>
          <w:sz w:val="24"/>
          <w:highlight w:val="none"/>
        </w:rPr>
      </w:pPr>
      <w:r>
        <w:rPr>
          <w:rFonts w:hint="eastAsia" w:ascii="宋体" w:hAnsi="宋体"/>
          <w:sz w:val="24"/>
          <w:highlight w:val="none"/>
        </w:rPr>
        <w:t>本项目共分为</w:t>
      </w:r>
      <w:r>
        <w:rPr>
          <w:rFonts w:hint="eastAsia" w:ascii="宋体" w:hAnsi="宋体"/>
          <w:sz w:val="24"/>
          <w:highlight w:val="none"/>
          <w:u w:val="single"/>
        </w:rPr>
        <w:t xml:space="preserve"> </w:t>
      </w:r>
      <w:r>
        <w:rPr>
          <w:rFonts w:hint="eastAsia" w:ascii="宋体" w:hAnsi="宋体"/>
          <w:sz w:val="24"/>
          <w:highlight w:val="none"/>
          <w:u w:val="single"/>
          <w:lang w:val="en-US" w:eastAsia="zh-CN"/>
        </w:rPr>
        <w:t>1</w:t>
      </w:r>
      <w:r>
        <w:rPr>
          <w:rFonts w:hint="eastAsia" w:ascii="宋体" w:hAnsi="宋体"/>
          <w:sz w:val="24"/>
          <w:highlight w:val="none"/>
          <w:u w:val="single"/>
        </w:rPr>
        <w:t xml:space="preserve"> </w:t>
      </w:r>
      <w:r>
        <w:rPr>
          <w:rFonts w:hint="eastAsia" w:ascii="宋体" w:hAnsi="宋体"/>
          <w:sz w:val="24"/>
          <w:highlight w:val="none"/>
        </w:rPr>
        <w:t>个包，供应商不得对包中所投货物和服务分解后进行响应。本项目预算金额为人民币</w:t>
      </w:r>
      <w:r>
        <w:rPr>
          <w:rFonts w:hint="eastAsia" w:ascii="宋体" w:hAnsi="宋体"/>
          <w:sz w:val="24"/>
          <w:highlight w:val="none"/>
          <w:lang w:eastAsia="zh-CN"/>
        </w:rPr>
        <w:t>190.5436</w:t>
      </w:r>
      <w:r>
        <w:rPr>
          <w:rFonts w:hint="eastAsia" w:ascii="宋体" w:hAnsi="宋体"/>
          <w:sz w:val="24"/>
          <w:highlight w:val="none"/>
        </w:rPr>
        <w:t>万元</w:t>
      </w:r>
      <w:r>
        <w:rPr>
          <w:rFonts w:hint="eastAsia" w:ascii="宋体" w:hAnsi="宋体"/>
          <w:sz w:val="24"/>
          <w:highlight w:val="none"/>
          <w:lang w:eastAsia="zh-CN"/>
        </w:rPr>
        <w:t>（</w:t>
      </w:r>
      <w:r>
        <w:rPr>
          <w:rFonts w:hint="eastAsia" w:ascii="宋体" w:hAnsi="宋体"/>
          <w:sz w:val="24"/>
          <w:highlight w:val="none"/>
          <w:lang w:val="en-US" w:eastAsia="zh-CN"/>
        </w:rPr>
        <w:t>含税</w:t>
      </w:r>
      <w:r>
        <w:rPr>
          <w:rFonts w:hint="eastAsia" w:ascii="宋体" w:hAnsi="宋体"/>
          <w:sz w:val="24"/>
          <w:highlight w:val="none"/>
          <w:lang w:eastAsia="zh-CN"/>
        </w:rPr>
        <w:t>）</w:t>
      </w:r>
      <w:r>
        <w:rPr>
          <w:rFonts w:hint="eastAsia" w:ascii="宋体" w:hAnsi="宋体"/>
          <w:sz w:val="24"/>
          <w:highlight w:val="none"/>
        </w:rPr>
        <w:t>。本项目旨在引入先进无线接入技术与高性能设备，显着提升网络带宽与并发承载能力，为全校师生提供“高速、稳定、安全”的上网体验。同的网络环境也将为校内各单位开展IPv6规模部署、人工智能及大数据应用等前沿领域的科学研究提供强有力的环境支撑与数据保障。</w:t>
      </w:r>
    </w:p>
    <w:p w14:paraId="59019572">
      <w:pPr>
        <w:widowControl/>
        <w:spacing w:line="520" w:lineRule="exact"/>
        <w:ind w:firstLine="120" w:firstLineChars="50"/>
        <w:jc w:val="left"/>
        <w:rPr>
          <w:rFonts w:ascii="宋体" w:hAnsi="宋体" w:cs="宋体"/>
          <w:kern w:val="0"/>
          <w:sz w:val="24"/>
          <w:highlight w:val="none"/>
        </w:rPr>
      </w:pPr>
      <w:r>
        <w:rPr>
          <w:rFonts w:hint="eastAsia" w:ascii="宋体" w:hAnsi="宋体"/>
          <w:b/>
          <w:bCs/>
          <w:sz w:val="24"/>
          <w:highlight w:val="none"/>
        </w:rPr>
        <w:t>二、技术条款及商务条款响应要求</w:t>
      </w:r>
    </w:p>
    <w:p w14:paraId="60729366">
      <w:pPr>
        <w:adjustRightInd w:val="0"/>
        <w:snapToGrid w:val="0"/>
        <w:spacing w:line="360" w:lineRule="auto"/>
        <w:jc w:val="center"/>
        <w:rPr>
          <w:rFonts w:hint="eastAsia"/>
          <w:b/>
          <w:sz w:val="32"/>
          <w:szCs w:val="32"/>
          <w:highlight w:val="none"/>
        </w:rPr>
      </w:pPr>
      <w:r>
        <w:rPr>
          <w:rFonts w:hint="eastAsia"/>
          <w:b/>
          <w:sz w:val="32"/>
          <w:szCs w:val="32"/>
          <w:highlight w:val="none"/>
        </w:rPr>
        <w:t>山东大学仪器设备采购技术条款响应一览表</w:t>
      </w:r>
    </w:p>
    <w:tbl>
      <w:tblPr>
        <w:tblStyle w:val="12"/>
        <w:tblpPr w:leftFromText="180" w:rightFromText="180" w:vertAnchor="text" w:horzAnchor="page" w:tblpX="972" w:tblpY="299"/>
        <w:tblW w:w="145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17"/>
        <w:gridCol w:w="1587"/>
        <w:gridCol w:w="6901"/>
        <w:gridCol w:w="868"/>
        <w:gridCol w:w="896"/>
        <w:gridCol w:w="1385"/>
        <w:gridCol w:w="1330"/>
        <w:gridCol w:w="783"/>
      </w:tblGrid>
      <w:tr w14:paraId="75C86E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10173" w:type="dxa"/>
            <w:gridSpan w:val="4"/>
            <w:tcBorders>
              <w:top w:val="single" w:color="auto" w:sz="4" w:space="0"/>
              <w:left w:val="single" w:color="auto" w:sz="4" w:space="0"/>
              <w:bottom w:val="single" w:color="auto" w:sz="4" w:space="0"/>
              <w:right w:val="single" w:color="auto" w:sz="4" w:space="0"/>
            </w:tcBorders>
            <w:noWrap w:val="0"/>
            <w:vAlign w:val="center"/>
          </w:tcPr>
          <w:p w14:paraId="4A67FFD0">
            <w:pPr>
              <w:autoSpaceDE w:val="0"/>
              <w:autoSpaceDN w:val="0"/>
              <w:adjustRightInd w:val="0"/>
              <w:spacing w:line="440" w:lineRule="exact"/>
              <w:jc w:val="center"/>
              <w:rPr>
                <w:rFonts w:hint="eastAsia" w:ascii="宋体" w:hAnsi="宋体" w:cs="宋体"/>
                <w:b/>
                <w:szCs w:val="21"/>
                <w:highlight w:val="none"/>
              </w:rPr>
            </w:pPr>
            <w:r>
              <w:rPr>
                <w:rFonts w:hint="eastAsia" w:ascii="宋体" w:hAnsi="宋体" w:cs="宋体"/>
                <w:b/>
                <w:szCs w:val="21"/>
                <w:highlight w:val="none"/>
              </w:rPr>
              <w:t>采购人要求（用户填写）</w:t>
            </w:r>
          </w:p>
        </w:tc>
        <w:tc>
          <w:tcPr>
            <w:tcW w:w="4394" w:type="dxa"/>
            <w:gridSpan w:val="4"/>
            <w:tcBorders>
              <w:top w:val="single" w:color="auto" w:sz="4" w:space="0"/>
              <w:bottom w:val="single" w:color="auto" w:sz="4" w:space="0"/>
            </w:tcBorders>
            <w:noWrap w:val="0"/>
            <w:vAlign w:val="center"/>
          </w:tcPr>
          <w:p w14:paraId="30755DA8">
            <w:pPr>
              <w:widowControl/>
              <w:spacing w:line="440" w:lineRule="exact"/>
              <w:jc w:val="center"/>
              <w:rPr>
                <w:rFonts w:hint="eastAsia" w:ascii="宋体" w:hAnsi="宋体" w:cs="宋体"/>
                <w:b/>
                <w:kern w:val="0"/>
                <w:szCs w:val="21"/>
                <w:highlight w:val="none"/>
              </w:rPr>
            </w:pPr>
            <w:r>
              <w:rPr>
                <w:rFonts w:hint="eastAsia" w:ascii="宋体" w:hAnsi="宋体" w:cs="宋体"/>
                <w:b/>
                <w:kern w:val="0"/>
                <w:szCs w:val="21"/>
                <w:highlight w:val="none"/>
              </w:rPr>
              <w:t>投标人（供应商）响应（投标人/供应商填写）</w:t>
            </w:r>
          </w:p>
        </w:tc>
      </w:tr>
      <w:tr w14:paraId="79DD0F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0DA62833">
            <w:pPr>
              <w:spacing w:line="440" w:lineRule="exact"/>
              <w:jc w:val="center"/>
              <w:rPr>
                <w:rFonts w:hint="eastAsia" w:ascii="宋体" w:hAnsi="宋体" w:cs="宋体"/>
                <w:szCs w:val="21"/>
                <w:highlight w:val="none"/>
              </w:rPr>
            </w:pPr>
            <w:r>
              <w:rPr>
                <w:rFonts w:hint="eastAsia" w:ascii="宋体" w:hAnsi="宋体" w:cs="宋体"/>
                <w:szCs w:val="21"/>
                <w:highlight w:val="none"/>
              </w:rPr>
              <w:t>配置序号</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456531F0">
            <w:pPr>
              <w:spacing w:line="440" w:lineRule="exact"/>
              <w:jc w:val="center"/>
              <w:rPr>
                <w:rFonts w:hint="eastAsia" w:ascii="宋体" w:hAnsi="宋体" w:cs="宋体"/>
                <w:szCs w:val="21"/>
                <w:highlight w:val="none"/>
              </w:rPr>
            </w:pPr>
            <w:r>
              <w:rPr>
                <w:rFonts w:hint="eastAsia" w:ascii="宋体" w:hAnsi="宋体" w:cs="宋体"/>
                <w:szCs w:val="21"/>
                <w:highlight w:val="none"/>
              </w:rPr>
              <w:t>配置名称</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42BAC0FA">
            <w:pPr>
              <w:spacing w:line="440" w:lineRule="exact"/>
              <w:jc w:val="center"/>
              <w:rPr>
                <w:rFonts w:hint="eastAsia" w:ascii="宋体" w:hAnsi="宋体" w:cs="宋体"/>
                <w:szCs w:val="21"/>
                <w:highlight w:val="none"/>
              </w:rPr>
            </w:pPr>
            <w:r>
              <w:rPr>
                <w:rFonts w:hint="eastAsia" w:ascii="宋体" w:hAnsi="宋体" w:cs="宋体"/>
                <w:szCs w:val="21"/>
                <w:highlight w:val="none"/>
              </w:rPr>
              <w:t>详细技术参数要求</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E505A94">
            <w:pPr>
              <w:spacing w:line="440" w:lineRule="exact"/>
              <w:jc w:val="center"/>
              <w:rPr>
                <w:rFonts w:hint="eastAsia" w:ascii="宋体" w:hAnsi="宋体" w:cs="宋体"/>
                <w:szCs w:val="21"/>
                <w:highlight w:val="none"/>
              </w:rPr>
            </w:pPr>
            <w:r>
              <w:rPr>
                <w:rFonts w:hint="eastAsia" w:ascii="宋体" w:hAnsi="宋体" w:cs="宋体"/>
                <w:szCs w:val="21"/>
                <w:highlight w:val="none"/>
              </w:rPr>
              <w:t>数量</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1283C24">
            <w:pPr>
              <w:spacing w:line="440" w:lineRule="exact"/>
              <w:jc w:val="center"/>
              <w:rPr>
                <w:rFonts w:hint="eastAsia" w:ascii="宋体" w:hAnsi="宋体" w:cs="宋体"/>
                <w:szCs w:val="21"/>
                <w:highlight w:val="none"/>
              </w:rPr>
            </w:pPr>
            <w:r>
              <w:rPr>
                <w:rFonts w:hint="eastAsia" w:ascii="宋体" w:hAnsi="宋体" w:cs="宋体"/>
                <w:szCs w:val="21"/>
                <w:highlight w:val="none"/>
              </w:rPr>
              <w:t>数量</w:t>
            </w:r>
          </w:p>
        </w:tc>
        <w:tc>
          <w:tcPr>
            <w:tcW w:w="1385" w:type="dxa"/>
            <w:tcBorders>
              <w:top w:val="single" w:color="auto" w:sz="4" w:space="0"/>
              <w:left w:val="single" w:color="auto" w:sz="4" w:space="0"/>
              <w:bottom w:val="single" w:color="auto" w:sz="4" w:space="0"/>
              <w:right w:val="single" w:color="auto" w:sz="4" w:space="0"/>
            </w:tcBorders>
            <w:noWrap w:val="0"/>
            <w:vAlign w:val="center"/>
          </w:tcPr>
          <w:p w14:paraId="0D068053">
            <w:pPr>
              <w:spacing w:line="440" w:lineRule="exact"/>
              <w:jc w:val="center"/>
              <w:rPr>
                <w:rFonts w:hint="eastAsia" w:ascii="宋体" w:hAnsi="宋体" w:cs="宋体"/>
                <w:szCs w:val="21"/>
                <w:highlight w:val="none"/>
              </w:rPr>
            </w:pPr>
            <w:r>
              <w:rPr>
                <w:rFonts w:hint="eastAsia" w:ascii="宋体" w:hAnsi="宋体" w:cs="宋体"/>
                <w:szCs w:val="21"/>
                <w:highlight w:val="none"/>
              </w:rPr>
              <w:t>应答技术规格指标</w:t>
            </w:r>
          </w:p>
        </w:tc>
        <w:tc>
          <w:tcPr>
            <w:tcW w:w="1330" w:type="dxa"/>
            <w:tcBorders>
              <w:top w:val="single" w:color="auto" w:sz="4" w:space="0"/>
              <w:left w:val="single" w:color="auto" w:sz="4" w:space="0"/>
              <w:bottom w:val="single" w:color="auto" w:sz="4" w:space="0"/>
              <w:right w:val="single" w:color="auto" w:sz="4" w:space="0"/>
            </w:tcBorders>
            <w:noWrap w:val="0"/>
            <w:vAlign w:val="center"/>
          </w:tcPr>
          <w:p w14:paraId="3DDE1846">
            <w:pPr>
              <w:spacing w:line="440" w:lineRule="exact"/>
              <w:jc w:val="center"/>
              <w:rPr>
                <w:rFonts w:hint="eastAsia" w:ascii="宋体" w:hAnsi="宋体" w:cs="宋体"/>
                <w:szCs w:val="21"/>
                <w:highlight w:val="none"/>
              </w:rPr>
            </w:pPr>
            <w:r>
              <w:rPr>
                <w:rFonts w:hint="eastAsia" w:ascii="宋体" w:hAnsi="宋体" w:cs="宋体"/>
                <w:szCs w:val="21"/>
                <w:highlight w:val="none"/>
              </w:rPr>
              <w:t>技术指标偏离情况</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488A988">
            <w:pPr>
              <w:spacing w:line="440" w:lineRule="exact"/>
              <w:jc w:val="center"/>
              <w:rPr>
                <w:rFonts w:hint="eastAsia" w:ascii="宋体" w:hAnsi="宋体" w:cs="宋体"/>
                <w:szCs w:val="21"/>
                <w:highlight w:val="none"/>
              </w:rPr>
            </w:pPr>
            <w:r>
              <w:rPr>
                <w:rFonts w:hint="eastAsia" w:ascii="宋体" w:hAnsi="宋体" w:cs="宋体"/>
                <w:szCs w:val="21"/>
                <w:highlight w:val="none"/>
              </w:rPr>
              <w:t>备注</w:t>
            </w:r>
          </w:p>
        </w:tc>
      </w:tr>
      <w:tr w14:paraId="271384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3FC22F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61E44C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室外无线光AP</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含授权</w:t>
            </w:r>
            <w:r>
              <w:rPr>
                <w:rFonts w:hint="eastAsia" w:ascii="宋体" w:hAnsi="宋体" w:eastAsia="宋体" w:cs="宋体"/>
                <w:szCs w:val="21"/>
                <w:highlight w:val="none"/>
                <w:lang w:eastAsia="zh-CN"/>
              </w:rPr>
              <w:t>）</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46139EB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1、整机</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三频6流，可工作在802.11a/b/g/n/ac/ac wave2/ax/be模式；（提供</w:t>
            </w:r>
            <w:r>
              <w:rPr>
                <w:rFonts w:hint="eastAsia" w:ascii="宋体" w:hAnsi="宋体" w:eastAsia="宋体" w:cs="宋体"/>
                <w:szCs w:val="21"/>
                <w:highlight w:val="none"/>
                <w:lang w:val="en-US" w:eastAsia="zh-CN"/>
              </w:rPr>
              <w:t>产品说明书有关页面的</w:t>
            </w:r>
            <w:r>
              <w:rPr>
                <w:rFonts w:hint="eastAsia" w:ascii="宋体" w:hAnsi="宋体" w:eastAsia="宋体" w:cs="宋体"/>
                <w:szCs w:val="21"/>
                <w:highlight w:val="none"/>
              </w:rPr>
              <w:t>截图）</w:t>
            </w:r>
          </w:p>
          <w:p w14:paraId="35DABE45">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2、整机接入速率≥11.5Gbps；</w:t>
            </w:r>
          </w:p>
          <w:p w14:paraId="2A19EBE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≥3个接口，其中1个10G SFP</w:t>
            </w:r>
            <w:r>
              <w:rPr>
                <w:rFonts w:hint="eastAsia" w:ascii="宋体" w:hAnsi="宋体" w:eastAsia="宋体" w:cs="宋体"/>
                <w:szCs w:val="21"/>
                <w:highlight w:val="none"/>
                <w:lang w:val="en-US" w:eastAsia="zh-CN"/>
              </w:rPr>
              <w:t>+</w:t>
            </w:r>
            <w:r>
              <w:rPr>
                <w:rFonts w:hint="eastAsia" w:ascii="宋体" w:hAnsi="宋体" w:eastAsia="宋体" w:cs="宋体"/>
                <w:szCs w:val="21"/>
                <w:highlight w:val="none"/>
              </w:rPr>
              <w:t>光口，1个100/1000M/2.5G/5G/10G电口，1个</w:t>
            </w:r>
            <w:r>
              <w:rPr>
                <w:rFonts w:hint="eastAsia" w:ascii="宋体" w:hAnsi="宋体" w:eastAsia="宋体" w:cs="宋体"/>
                <w:szCs w:val="21"/>
                <w:highlight w:val="none"/>
                <w:lang w:val="en-US" w:eastAsia="zh-CN"/>
              </w:rPr>
              <w:t>100M</w:t>
            </w:r>
            <w:r>
              <w:rPr>
                <w:rFonts w:hint="eastAsia" w:ascii="宋体" w:hAnsi="宋体" w:eastAsia="宋体" w:cs="宋体"/>
                <w:szCs w:val="21"/>
                <w:highlight w:val="none"/>
              </w:rPr>
              <w:t>电口（支持Po</w:t>
            </w:r>
            <w:r>
              <w:rPr>
                <w:rFonts w:hint="eastAsia" w:ascii="宋体" w:hAnsi="宋体" w:eastAsia="宋体" w:cs="宋体"/>
                <w:szCs w:val="21"/>
                <w:highlight w:val="none"/>
                <w:lang w:val="en-US" w:eastAsia="zh-CN"/>
              </w:rPr>
              <w:t>E</w:t>
            </w:r>
            <w:r>
              <w:rPr>
                <w:rFonts w:hint="eastAsia" w:ascii="宋体" w:hAnsi="宋体" w:eastAsia="宋体" w:cs="宋体"/>
                <w:szCs w:val="21"/>
                <w:highlight w:val="none"/>
              </w:rPr>
              <w:t xml:space="preserve"> out对外供电，可用于扩展物联网）；（</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42EE93B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4、内置全向天线；</w:t>
            </w:r>
          </w:p>
          <w:p w14:paraId="5BF125CA">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5、设备防护等级≥IP68；</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提供证明材料</w:t>
            </w:r>
            <w:r>
              <w:rPr>
                <w:rFonts w:hint="eastAsia" w:ascii="宋体" w:hAnsi="宋体" w:eastAsia="宋体" w:cs="宋体"/>
                <w:szCs w:val="21"/>
                <w:highlight w:val="none"/>
                <w:lang w:eastAsia="zh-CN"/>
              </w:rPr>
              <w:t>）</w:t>
            </w:r>
          </w:p>
          <w:p w14:paraId="0FC855A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6、设备支持光口和电口上行，且支持链路备份能力；</w:t>
            </w:r>
          </w:p>
          <w:p w14:paraId="1572C45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、在自动功率调整基础上，支持检测信号覆盖</w:t>
            </w:r>
            <w:r>
              <w:rPr>
                <w:rFonts w:hint="eastAsia" w:ascii="宋体" w:hAnsi="宋体" w:eastAsia="宋体" w:cs="宋体"/>
                <w:szCs w:val="21"/>
                <w:highlight w:val="none"/>
                <w:lang w:val="en-US" w:eastAsia="zh-CN"/>
              </w:rPr>
              <w:t>弱区</w:t>
            </w:r>
            <w:r>
              <w:rPr>
                <w:rFonts w:hint="eastAsia" w:ascii="宋体" w:hAnsi="宋体" w:eastAsia="宋体" w:cs="宋体"/>
                <w:szCs w:val="21"/>
                <w:highlight w:val="none"/>
              </w:rPr>
              <w:t>功能，并对AP功率做出修正，保证处于</w:t>
            </w:r>
            <w:r>
              <w:rPr>
                <w:rFonts w:hint="eastAsia" w:ascii="宋体" w:hAnsi="宋体" w:eastAsia="宋体" w:cs="宋体"/>
                <w:szCs w:val="21"/>
                <w:highlight w:val="none"/>
                <w:lang w:val="en-US" w:eastAsia="zh-CN"/>
              </w:rPr>
              <w:t>信号弱区</w:t>
            </w:r>
            <w:r>
              <w:rPr>
                <w:rFonts w:hint="eastAsia" w:ascii="宋体" w:hAnsi="宋体" w:eastAsia="宋体" w:cs="宋体"/>
                <w:szCs w:val="21"/>
                <w:highlight w:val="none"/>
              </w:rPr>
              <w:t>的终端接收到增强的AP信号。</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5C83B8DE">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10</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1747E7C1">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5411555A">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4DCEDD04">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13CB8818">
            <w:pPr>
              <w:spacing w:line="440" w:lineRule="exact"/>
              <w:jc w:val="center"/>
              <w:rPr>
                <w:rFonts w:hint="eastAsia" w:ascii="宋体" w:hAnsi="宋体" w:cs="宋体"/>
                <w:szCs w:val="21"/>
                <w:highlight w:val="none"/>
              </w:rPr>
            </w:pPr>
          </w:p>
        </w:tc>
      </w:tr>
      <w:tr w14:paraId="0878FF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1989C8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1481A91">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高密式无线光AP</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含授权</w:t>
            </w:r>
            <w:r>
              <w:rPr>
                <w:rFonts w:hint="eastAsia" w:ascii="宋体" w:hAnsi="宋体" w:eastAsia="宋体" w:cs="宋体"/>
                <w:szCs w:val="21"/>
                <w:highlight w:val="none"/>
                <w:lang w:eastAsia="zh-CN"/>
              </w:rPr>
              <w:t>）</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3D898FC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1、整机≥三频6流，可工作在802.11a/b/g/n/ac/ac wave2/ax/be模式；</w:t>
            </w:r>
          </w:p>
          <w:p w14:paraId="7BDF0591">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2、整机接入速率≥6.4Gbps；</w:t>
            </w:r>
          </w:p>
          <w:p w14:paraId="17A5374E">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 xml:space="preserve">个接口，其中1个≥2.5G </w:t>
            </w:r>
            <w:r>
              <w:rPr>
                <w:rFonts w:hint="eastAsia" w:ascii="宋体" w:hAnsi="宋体" w:eastAsia="宋体" w:cs="宋体"/>
                <w:szCs w:val="21"/>
                <w:highlight w:val="none"/>
                <w:lang w:val="en-US" w:eastAsia="zh-CN"/>
              </w:rPr>
              <w:t>光口</w:t>
            </w:r>
            <w:r>
              <w:rPr>
                <w:rFonts w:hint="eastAsia" w:ascii="宋体" w:hAnsi="宋体" w:eastAsia="宋体" w:cs="宋体"/>
                <w:szCs w:val="21"/>
                <w:highlight w:val="none"/>
              </w:rPr>
              <w:t>，2个100/1000M/2.5G电口；（</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2B03B3E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USB接口，可通过USB接口连接外置设备如U盘或手机等，实现文件转储和对外充电功能；</w:t>
            </w:r>
          </w:p>
          <w:p w14:paraId="3BD4C5D7">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5、</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WLAN上行链路检测功能，实时监测上行链路的可行性，当上行链路不可达时，射频关闭，避免终端连接到不可用的网络。当上行链路恢复时，射频自动开启，无线终端可以正常接入。</w:t>
            </w:r>
          </w:p>
          <w:p w14:paraId="50F0D1A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6、在自动功率调整基础上，支持检测信号</w:t>
            </w:r>
            <w:r>
              <w:rPr>
                <w:rFonts w:hint="eastAsia" w:ascii="宋体" w:hAnsi="宋体" w:eastAsia="宋体" w:cs="宋体"/>
                <w:szCs w:val="21"/>
                <w:highlight w:val="none"/>
                <w:lang w:val="en-US" w:eastAsia="zh-CN"/>
              </w:rPr>
              <w:t>弱区</w:t>
            </w:r>
            <w:r>
              <w:rPr>
                <w:rFonts w:hint="eastAsia" w:ascii="宋体" w:hAnsi="宋体" w:eastAsia="宋体" w:cs="宋体"/>
                <w:szCs w:val="21"/>
                <w:highlight w:val="none"/>
              </w:rPr>
              <w:t>功能，并对AP功率做出修正，保证处于</w:t>
            </w:r>
            <w:r>
              <w:rPr>
                <w:rFonts w:hint="eastAsia" w:ascii="宋体" w:hAnsi="宋体" w:eastAsia="宋体" w:cs="宋体"/>
                <w:szCs w:val="21"/>
                <w:highlight w:val="none"/>
                <w:lang w:val="en-US" w:eastAsia="zh-CN"/>
              </w:rPr>
              <w:t>信号弱区</w:t>
            </w:r>
            <w:r>
              <w:rPr>
                <w:rFonts w:hint="eastAsia" w:ascii="宋体" w:hAnsi="宋体" w:eastAsia="宋体" w:cs="宋体"/>
                <w:szCs w:val="21"/>
                <w:highlight w:val="none"/>
              </w:rPr>
              <w:t>的终端接收到增强的AP信号，保证体验。</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6B3A8A2F">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40</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622C7E6">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73A3B62E">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79C571FF">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79567BCB">
            <w:pPr>
              <w:spacing w:line="440" w:lineRule="exact"/>
              <w:jc w:val="center"/>
              <w:rPr>
                <w:rFonts w:hint="eastAsia" w:ascii="宋体" w:hAnsi="宋体" w:cs="宋体"/>
                <w:szCs w:val="21"/>
                <w:highlight w:val="none"/>
              </w:rPr>
            </w:pPr>
          </w:p>
        </w:tc>
      </w:tr>
      <w:tr w14:paraId="7D99FF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8B0FBB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4976359B">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面板式无线光AP</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含授权</w:t>
            </w:r>
            <w:r>
              <w:rPr>
                <w:rFonts w:hint="eastAsia" w:ascii="宋体" w:hAnsi="宋体" w:eastAsia="宋体" w:cs="宋体"/>
                <w:szCs w:val="21"/>
                <w:highlight w:val="none"/>
                <w:lang w:eastAsia="zh-CN"/>
              </w:rPr>
              <w:t>）</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2D1D8D57">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1、整机≥双频4流，可工作在802.11a/b/g/n/ac/ac wave2/ax/be模式；</w:t>
            </w:r>
          </w:p>
          <w:p w14:paraId="0556D26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2、整机接入速率≥3.57Gbps；</w:t>
            </w:r>
          </w:p>
          <w:p w14:paraId="5EB93D0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个接口，其中1个≥2.5G</w:t>
            </w:r>
            <w:r>
              <w:rPr>
                <w:rFonts w:hint="eastAsia" w:ascii="宋体" w:hAnsi="宋体" w:eastAsia="宋体" w:cs="宋体"/>
                <w:szCs w:val="21"/>
                <w:highlight w:val="none"/>
                <w:lang w:val="en-US" w:eastAsia="zh-CN"/>
              </w:rPr>
              <w:t>光口</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个100/1000M电口；（</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460392AA">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4、设备</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双冗余供电，其中GE电口支持802.3at/af供电；2.5G光口支持光电复合供电；</w:t>
            </w:r>
          </w:p>
          <w:p w14:paraId="4555FF1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USB接口，可通过USB接口连接外置设备如U盘或手机等，实现文件转储和对外充电功能；</w:t>
            </w:r>
          </w:p>
          <w:p w14:paraId="3386D764">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6、</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WLAN上行链路检测功能，实时监测上行链路的可行性，当上行链路不可达时，射频关闭，避免终端连接到不可用的网络。当上行链路恢复时，射频自动开启，无线终端可以正常接入。</w:t>
            </w:r>
          </w:p>
          <w:p w14:paraId="3574B28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7、在自动功率调整基础上，支持检测信号</w:t>
            </w:r>
            <w:r>
              <w:rPr>
                <w:rFonts w:hint="eastAsia" w:ascii="宋体" w:hAnsi="宋体" w:eastAsia="宋体" w:cs="宋体"/>
                <w:szCs w:val="21"/>
                <w:highlight w:val="none"/>
                <w:lang w:val="en-US" w:eastAsia="zh-CN"/>
              </w:rPr>
              <w:t>弱区</w:t>
            </w:r>
            <w:r>
              <w:rPr>
                <w:rFonts w:hint="eastAsia" w:ascii="宋体" w:hAnsi="宋体" w:eastAsia="宋体" w:cs="宋体"/>
                <w:szCs w:val="21"/>
                <w:highlight w:val="none"/>
              </w:rPr>
              <w:t>功能，并对AP功率做出修正，保证处于</w:t>
            </w:r>
            <w:r>
              <w:rPr>
                <w:rFonts w:hint="eastAsia" w:ascii="宋体" w:hAnsi="宋体" w:eastAsia="宋体" w:cs="宋体"/>
                <w:szCs w:val="21"/>
                <w:highlight w:val="none"/>
                <w:lang w:val="en-US" w:eastAsia="zh-CN"/>
              </w:rPr>
              <w:t>信号弱区</w:t>
            </w:r>
            <w:r>
              <w:rPr>
                <w:rFonts w:hint="eastAsia" w:ascii="宋体" w:hAnsi="宋体" w:eastAsia="宋体" w:cs="宋体"/>
                <w:szCs w:val="21"/>
                <w:highlight w:val="none"/>
              </w:rPr>
              <w:t>的终端接收到增强的AP信号，保证体验。</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5B1BF94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750</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14F4E541">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2F520355">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090C6B05">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69340C27">
            <w:pPr>
              <w:spacing w:line="440" w:lineRule="exact"/>
              <w:jc w:val="center"/>
              <w:rPr>
                <w:rFonts w:hint="eastAsia" w:ascii="宋体" w:hAnsi="宋体" w:cs="宋体"/>
                <w:szCs w:val="21"/>
                <w:highlight w:val="none"/>
              </w:rPr>
            </w:pPr>
          </w:p>
        </w:tc>
      </w:tr>
      <w:tr w14:paraId="4782B9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063A6E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B1B0EE5">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AC</w:t>
            </w:r>
            <w:r>
              <w:rPr>
                <w:rFonts w:hint="eastAsia" w:ascii="宋体" w:hAnsi="宋体" w:eastAsia="宋体" w:cs="宋体"/>
                <w:szCs w:val="21"/>
                <w:highlight w:val="none"/>
              </w:rPr>
              <w:t>控制器</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4AD2E83A">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1、标准机架式结构，提供≥8个千兆combo端口，≥8个万兆SFP+端口；整机吞吐量≥120Gbps；（</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7D20EC0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2、设备支持管理≥5120个AP，配置≥</w:t>
            </w:r>
            <w:r>
              <w:rPr>
                <w:rFonts w:hint="eastAsia" w:ascii="宋体" w:hAnsi="宋体" w:eastAsia="宋体" w:cs="宋体"/>
                <w:szCs w:val="21"/>
                <w:highlight w:val="none"/>
                <w:lang w:val="en-US" w:eastAsia="zh-CN"/>
              </w:rPr>
              <w:t>800</w:t>
            </w:r>
            <w:r>
              <w:rPr>
                <w:rFonts w:hint="eastAsia" w:ascii="宋体" w:hAnsi="宋体" w:eastAsia="宋体" w:cs="宋体"/>
                <w:szCs w:val="21"/>
                <w:highlight w:val="none"/>
              </w:rPr>
              <w:t>个AP管理授权；</w:t>
            </w:r>
          </w:p>
          <w:p w14:paraId="4FF5977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3、提供可插拔冗余电源，可插拔冗余风扇；</w:t>
            </w:r>
          </w:p>
          <w:p w14:paraId="209384B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4、满足标准IETF 5415 CAPWAP协议，AP和AC之间满足L2/L3层网络拓扑，AP与控制器之间能够满足DTLS对CAPWAP隧道进行加密处理。</w:t>
            </w:r>
          </w:p>
          <w:p w14:paraId="26BAA7C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5、支持WPA3</w:t>
            </w:r>
            <w:r>
              <w:rPr>
                <w:rFonts w:hint="eastAsia" w:ascii="宋体" w:hAnsi="宋体" w:eastAsia="宋体" w:cs="宋体"/>
                <w:szCs w:val="21"/>
                <w:highlight w:val="none"/>
                <w:lang w:eastAsia="zh-CN"/>
              </w:rPr>
              <w:t>个人级模式</w:t>
            </w:r>
            <w:r>
              <w:rPr>
                <w:rFonts w:hint="eastAsia" w:ascii="宋体" w:hAnsi="宋体" w:eastAsia="宋体" w:cs="宋体"/>
                <w:szCs w:val="21"/>
                <w:highlight w:val="none"/>
              </w:rPr>
              <w:t>下的终端接入；支持WPA3企业级模式下的终端接入功能。</w:t>
            </w:r>
          </w:p>
          <w:p w14:paraId="31A1E7E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6、支持防PSK暴力破解，当用户密码错误超过预设的阀值之后，能够将该用户加入动态黑名单，一段时间内禁止其接入网络。</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44A4D2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86CFF75">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668A4B11">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6EAF016A">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2F3F1745">
            <w:pPr>
              <w:spacing w:line="440" w:lineRule="exact"/>
              <w:jc w:val="center"/>
              <w:rPr>
                <w:rFonts w:hint="eastAsia" w:ascii="宋体" w:hAnsi="宋体" w:cs="宋体"/>
                <w:szCs w:val="21"/>
                <w:highlight w:val="none"/>
              </w:rPr>
            </w:pPr>
          </w:p>
        </w:tc>
      </w:tr>
      <w:tr w14:paraId="451F76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1ADF1580">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715F723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24口P</w:t>
            </w:r>
            <w:r>
              <w:rPr>
                <w:rFonts w:hint="eastAsia" w:ascii="宋体" w:hAnsi="宋体" w:eastAsia="宋体" w:cs="宋体"/>
                <w:szCs w:val="21"/>
                <w:highlight w:val="none"/>
                <w:lang w:val="en-US" w:eastAsia="zh-CN"/>
              </w:rPr>
              <w:t>o</w:t>
            </w:r>
            <w:r>
              <w:rPr>
                <w:rFonts w:hint="eastAsia" w:ascii="宋体" w:hAnsi="宋体" w:eastAsia="宋体" w:cs="宋体"/>
                <w:szCs w:val="21"/>
                <w:highlight w:val="none"/>
              </w:rPr>
              <w:t>E</w:t>
            </w:r>
            <w:r>
              <w:rPr>
                <w:rFonts w:hint="eastAsia" w:ascii="宋体" w:hAnsi="宋体" w:eastAsia="宋体" w:cs="宋体"/>
                <w:szCs w:val="21"/>
                <w:highlight w:val="none"/>
                <w:lang w:val="en-US" w:eastAsia="zh-CN"/>
              </w:rPr>
              <w:t>接入</w:t>
            </w:r>
            <w:r>
              <w:rPr>
                <w:rFonts w:hint="eastAsia" w:ascii="宋体" w:hAnsi="宋体" w:eastAsia="宋体" w:cs="宋体"/>
                <w:szCs w:val="21"/>
                <w:highlight w:val="none"/>
              </w:rPr>
              <w:t>交换机</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5A5FE1B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1、交换容量≥672Gbps，包转发率≥171Mpps；</w:t>
            </w:r>
          </w:p>
          <w:p w14:paraId="4AC556F9">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2、千兆电端口（支持P</w:t>
            </w:r>
            <w:r>
              <w:rPr>
                <w:rFonts w:hint="eastAsia" w:ascii="宋体" w:hAnsi="宋体" w:eastAsia="宋体" w:cs="宋体"/>
                <w:szCs w:val="21"/>
                <w:highlight w:val="none"/>
                <w:lang w:val="en-US" w:eastAsia="zh-CN"/>
              </w:rPr>
              <w:t>o</w:t>
            </w:r>
            <w:r>
              <w:rPr>
                <w:rFonts w:hint="eastAsia" w:ascii="宋体" w:hAnsi="宋体" w:eastAsia="宋体" w:cs="宋体"/>
                <w:szCs w:val="21"/>
                <w:highlight w:val="none"/>
              </w:rPr>
              <w:t>E供电）≥24个，1/2.5/10GE SFP+端口≥4个，带外管理网口≥1个，USB口≥1个；</w:t>
            </w:r>
          </w:p>
          <w:p w14:paraId="605EE5E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3、整机最大路由地址表≥3K，最大ARP地址表≥2K，最大MAC地址表≥16K；</w:t>
            </w:r>
          </w:p>
          <w:p w14:paraId="19627F5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4、支持IPv4静态路由、RIP、OSPF，支持IPv6静态路由、RIPng、OSPFv3；</w:t>
            </w:r>
          </w:p>
          <w:p w14:paraId="132D55B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5、P</w:t>
            </w:r>
            <w:r>
              <w:rPr>
                <w:rFonts w:hint="eastAsia" w:ascii="宋体" w:hAnsi="宋体" w:eastAsia="宋体" w:cs="宋体"/>
                <w:szCs w:val="21"/>
                <w:highlight w:val="none"/>
                <w:lang w:val="en-US" w:eastAsia="zh-CN"/>
              </w:rPr>
              <w:t>o</w:t>
            </w:r>
            <w:r>
              <w:rPr>
                <w:rFonts w:hint="eastAsia" w:ascii="宋体" w:hAnsi="宋体" w:eastAsia="宋体" w:cs="宋体"/>
                <w:szCs w:val="21"/>
                <w:highlight w:val="none"/>
              </w:rPr>
              <w:t>E供电功率≥400W。</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6C87685A">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92</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D987E93">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64A2DEFB">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7998C377">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02399378">
            <w:pPr>
              <w:spacing w:line="440" w:lineRule="exact"/>
              <w:jc w:val="center"/>
              <w:rPr>
                <w:rFonts w:hint="eastAsia" w:ascii="宋体" w:hAnsi="宋体" w:cs="宋体"/>
                <w:szCs w:val="21"/>
                <w:highlight w:val="none"/>
              </w:rPr>
            </w:pPr>
          </w:p>
        </w:tc>
      </w:tr>
      <w:tr w14:paraId="19BC9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60C8EC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49D65C7D">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无线接入交换机</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3916EA3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1、交换容量≥2.5Tbps，包转发率≥1620Mpps；</w:t>
            </w:r>
          </w:p>
          <w:p w14:paraId="0F7B562A">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2、实配1G/2.5G/10G 光接口(支持PoE++)≥48个，40G 光接口≥2个，40G/100G 光接口≥4个；（</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751312B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3、整机最大路由地址表≥120K，最大ARP地址表≥90K，最大MAC地址表≥200K；</w:t>
            </w:r>
          </w:p>
          <w:p w14:paraId="7AA67255">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4、支持IPv4静态路由、RIP、OSPF、ISIS、BGP，支持IPv6静态路由、RIPng、OSPFv3、ISISv6、BGP4+；</w:t>
            </w:r>
          </w:p>
          <w:p w14:paraId="32A2029C">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5、实配≥2个电源，≥3个风扇模块，整机P</w:t>
            </w:r>
            <w:r>
              <w:rPr>
                <w:rFonts w:hint="eastAsia" w:ascii="宋体" w:hAnsi="宋体" w:eastAsia="宋体" w:cs="宋体"/>
                <w:szCs w:val="21"/>
                <w:highlight w:val="none"/>
                <w:lang w:val="en-US" w:eastAsia="zh-CN"/>
              </w:rPr>
              <w:t>o</w:t>
            </w:r>
            <w:r>
              <w:rPr>
                <w:rFonts w:hint="eastAsia" w:ascii="宋体" w:hAnsi="宋体" w:eastAsia="宋体" w:cs="宋体"/>
                <w:szCs w:val="21"/>
                <w:highlight w:val="none"/>
              </w:rPr>
              <w:t>E功率≥1800W；（</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6D4D4DE1">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6、支持跨设备链路聚合技术。</w:t>
            </w:r>
          </w:p>
          <w:p w14:paraId="0DBBD642">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7、内置智能管理软件，可实现组网拓扑可视及管理、设备列表展示，实现设备备份、监控及故障替换等智能运维能力。（</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1C1EF81C">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8、配置≥2个 SFP 2.5G/1G单模光模块(1310nm,10km,LC)，≥2条光电混合缆一体式连接器尾纤</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01FD0498">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20</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636EDA0">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777AB9C1">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78D472A8">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7FF58DA0">
            <w:pPr>
              <w:spacing w:line="440" w:lineRule="exact"/>
              <w:jc w:val="center"/>
              <w:rPr>
                <w:rFonts w:hint="eastAsia" w:ascii="宋体" w:hAnsi="宋体" w:cs="宋体"/>
                <w:szCs w:val="21"/>
                <w:highlight w:val="none"/>
              </w:rPr>
            </w:pPr>
          </w:p>
        </w:tc>
      </w:tr>
      <w:tr w14:paraId="31B7E6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6D2C51C">
            <w:pPr>
              <w:spacing w:line="4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7</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5702413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楼宇有线</w:t>
            </w:r>
            <w:r>
              <w:rPr>
                <w:rFonts w:hint="eastAsia" w:ascii="宋体" w:hAnsi="宋体" w:eastAsia="宋体" w:cs="宋体"/>
                <w:szCs w:val="21"/>
                <w:highlight w:val="none"/>
              </w:rPr>
              <w:t>汇聚交换机</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79F8AF2A">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1、交换容量≥4.8Tbps，包转发率≥1620Mpps；</w:t>
            </w:r>
          </w:p>
          <w:p w14:paraId="066EB0F0">
            <w:pPr>
              <w:spacing w:line="440" w:lineRule="exact"/>
              <w:jc w:val="left"/>
              <w:rPr>
                <w:rFonts w:hint="eastAsia" w:ascii="宋体" w:hAnsi="宋体" w:eastAsia="宋体" w:cs="宋体"/>
                <w:szCs w:val="21"/>
                <w:highlight w:val="none"/>
              </w:rPr>
            </w:pPr>
            <w:r>
              <w:rPr>
                <w:rFonts w:hint="eastAsia" w:ascii="宋体" w:hAnsi="宋体"/>
                <w:b/>
                <w:sz w:val="24"/>
                <w:highlight w:val="none"/>
              </w:rPr>
              <w:t>▲</w:t>
            </w:r>
            <w:r>
              <w:rPr>
                <w:rFonts w:hint="eastAsia" w:ascii="宋体" w:hAnsi="宋体" w:eastAsia="宋体" w:cs="宋体"/>
                <w:szCs w:val="21"/>
                <w:highlight w:val="none"/>
              </w:rPr>
              <w:t>2、1/10GE SFP+端口≥32个，40/100GE QSFP28端口≥4个，</w:t>
            </w:r>
            <w:r>
              <w:rPr>
                <w:rFonts w:hint="eastAsia" w:ascii="宋体" w:hAnsi="宋体" w:eastAsia="宋体" w:cs="宋体"/>
                <w:szCs w:val="21"/>
                <w:highlight w:val="none"/>
                <w:lang w:val="en-US" w:eastAsia="zh-CN"/>
              </w:rPr>
              <w:t>具备</w:t>
            </w:r>
            <w:r>
              <w:rPr>
                <w:rFonts w:hint="eastAsia" w:ascii="宋体" w:hAnsi="宋体" w:eastAsia="宋体" w:cs="宋体"/>
                <w:szCs w:val="21"/>
                <w:highlight w:val="none"/>
              </w:rPr>
              <w:t>扩展插槽≥2个（可扩展10G、40G、100G以太网端口）；（</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4B8DD5F0">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3、实配≥2个电源，≥2个风扇；</w:t>
            </w:r>
          </w:p>
          <w:p w14:paraId="2D3FA38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4、整机最大路由地址表≥320K，最大ARP地址表≥170K，最大MAC地址表≥280K；</w:t>
            </w:r>
          </w:p>
          <w:p w14:paraId="6B664DE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5、支持IPv4静态路由、RIP、OSPF、ISIS、BGP，支持IPv6静态路由、RIPng、OSPFv3、ISISv6、BGP4+，支持IPv4和IPv6环境下的策略路由；</w:t>
            </w:r>
          </w:p>
          <w:p w14:paraId="23DB93D6">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、内置智能管理软件，可实现组网拓扑可视及管理、设备列表展示，实现设备备份、监控及故障替换等智能运维能力。（</w:t>
            </w:r>
            <w:r>
              <w:rPr>
                <w:rFonts w:hint="eastAsia" w:ascii="宋体" w:hAnsi="宋体" w:eastAsia="宋体" w:cs="宋体"/>
                <w:szCs w:val="21"/>
                <w:highlight w:val="none"/>
                <w:lang w:eastAsia="zh-CN"/>
              </w:rPr>
              <w:t>提供产品说明书有关页面的截图</w:t>
            </w:r>
            <w:r>
              <w:rPr>
                <w:rFonts w:hint="eastAsia" w:ascii="宋体" w:hAnsi="宋体" w:eastAsia="宋体" w:cs="宋体"/>
                <w:szCs w:val="21"/>
                <w:highlight w:val="none"/>
              </w:rPr>
              <w:t>）</w:t>
            </w:r>
          </w:p>
          <w:p w14:paraId="2A0BCB14">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、配置 ≥3个QSFP+ 40G光模块(1310nm,10km,LR4,LC)，≥1个 SFP 2.5G/1G单模光模块(1310nm,10km,LC)，≥1个光电混合缆一体式连接器尾纤，≥2个 SFP+ 万兆模块(1310nm,10km,LC)。</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601A7E1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AE77D10">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4A59BEA2">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63E1D34A">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1A89DDD4">
            <w:pPr>
              <w:spacing w:line="440" w:lineRule="exact"/>
              <w:jc w:val="center"/>
              <w:rPr>
                <w:rFonts w:hint="eastAsia" w:ascii="宋体" w:hAnsi="宋体" w:cs="宋体"/>
                <w:szCs w:val="21"/>
                <w:highlight w:val="none"/>
              </w:rPr>
            </w:pPr>
          </w:p>
        </w:tc>
      </w:tr>
      <w:tr w14:paraId="0E9499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9342442">
            <w:pPr>
              <w:spacing w:line="4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8</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1E3C3B74">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10G单模模块</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118DB168">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SFP+ 万兆模块(1310nm,10km,LC)</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7DC1CDA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78</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86AE07A">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4590ABC9">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6AE67C01">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0D2237D5">
            <w:pPr>
              <w:spacing w:line="440" w:lineRule="exact"/>
              <w:jc w:val="center"/>
              <w:rPr>
                <w:rFonts w:hint="eastAsia" w:ascii="宋体" w:hAnsi="宋体" w:cs="宋体"/>
                <w:szCs w:val="21"/>
                <w:highlight w:val="none"/>
              </w:rPr>
            </w:pPr>
          </w:p>
        </w:tc>
      </w:tr>
      <w:tr w14:paraId="293C18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AD49C01">
            <w:pPr>
              <w:spacing w:line="440" w:lineRule="exact"/>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9</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7C1DED17">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40G单模</w:t>
            </w:r>
            <w:r>
              <w:rPr>
                <w:rFonts w:hint="eastAsia" w:ascii="宋体" w:hAnsi="宋体" w:eastAsia="宋体" w:cs="宋体"/>
                <w:szCs w:val="21"/>
                <w:highlight w:val="none"/>
                <w:lang w:val="en-US" w:eastAsia="zh-CN"/>
              </w:rPr>
              <w:t>双纤</w:t>
            </w:r>
            <w:r>
              <w:rPr>
                <w:rFonts w:hint="eastAsia" w:ascii="宋体" w:hAnsi="宋体" w:eastAsia="宋体" w:cs="宋体"/>
                <w:szCs w:val="21"/>
                <w:highlight w:val="none"/>
              </w:rPr>
              <w:t>模块</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4A4F5E7D">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QSFP+ 40G光模块(1310nm,10km,LR4,LC)</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2DB5D163">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0</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5D7FA9F">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389046B0">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067D4FBE">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7E99D024">
            <w:pPr>
              <w:spacing w:line="440" w:lineRule="exact"/>
              <w:jc w:val="center"/>
              <w:rPr>
                <w:rFonts w:hint="eastAsia" w:ascii="宋体" w:hAnsi="宋体" w:cs="宋体"/>
                <w:szCs w:val="21"/>
                <w:highlight w:val="none"/>
              </w:rPr>
            </w:pPr>
          </w:p>
        </w:tc>
      </w:tr>
      <w:tr w14:paraId="4FADE5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F977466">
            <w:pPr>
              <w:spacing w:line="440" w:lineRule="exact"/>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10</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6C881A99">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2.5G</w:t>
            </w:r>
            <w:r>
              <w:rPr>
                <w:rFonts w:hint="eastAsia" w:ascii="宋体" w:hAnsi="宋体" w:eastAsia="宋体" w:cs="宋体"/>
                <w:szCs w:val="21"/>
                <w:highlight w:val="none"/>
                <w:lang w:val="en-US" w:eastAsia="zh-CN"/>
              </w:rPr>
              <w:t>单纤</w:t>
            </w:r>
            <w:r>
              <w:rPr>
                <w:rFonts w:hint="eastAsia" w:ascii="宋体" w:hAnsi="宋体" w:eastAsia="宋体" w:cs="宋体"/>
                <w:szCs w:val="21"/>
                <w:highlight w:val="none"/>
              </w:rPr>
              <w:t>单模</w:t>
            </w:r>
            <w:r>
              <w:rPr>
                <w:rFonts w:hint="eastAsia" w:ascii="宋体" w:hAnsi="宋体" w:eastAsia="宋体" w:cs="宋体"/>
                <w:szCs w:val="21"/>
                <w:highlight w:val="none"/>
                <w:lang w:val="en-US" w:eastAsia="zh-CN"/>
              </w:rPr>
              <w:t>1490</w:t>
            </w:r>
            <w:r>
              <w:rPr>
                <w:rFonts w:hint="eastAsia" w:ascii="宋体" w:hAnsi="宋体" w:eastAsia="宋体" w:cs="宋体"/>
                <w:szCs w:val="21"/>
                <w:highlight w:val="none"/>
              </w:rPr>
              <w:t>模块</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AP用</w:t>
            </w:r>
            <w:r>
              <w:rPr>
                <w:rFonts w:hint="eastAsia" w:ascii="宋体" w:hAnsi="宋体" w:eastAsia="宋体" w:cs="宋体"/>
                <w:szCs w:val="21"/>
                <w:highlight w:val="none"/>
                <w:lang w:eastAsia="zh-CN"/>
              </w:rPr>
              <w:t>）</w:t>
            </w:r>
          </w:p>
        </w:tc>
        <w:tc>
          <w:tcPr>
            <w:tcW w:w="6901" w:type="dxa"/>
            <w:tcBorders>
              <w:top w:val="single" w:color="auto" w:sz="4" w:space="0"/>
              <w:left w:val="single" w:color="auto" w:sz="4" w:space="0"/>
              <w:bottom w:val="single" w:color="auto" w:sz="4" w:space="0"/>
              <w:right w:val="single" w:color="auto" w:sz="4" w:space="0"/>
            </w:tcBorders>
            <w:noWrap w:val="0"/>
            <w:vAlign w:val="center"/>
          </w:tcPr>
          <w:p w14:paraId="0EA4568B">
            <w:pPr>
              <w:spacing w:line="440" w:lineRule="exact"/>
              <w:jc w:val="left"/>
              <w:rPr>
                <w:rFonts w:hint="eastAsia" w:ascii="宋体" w:hAnsi="宋体" w:eastAsia="宋体" w:cs="宋体"/>
                <w:szCs w:val="21"/>
                <w:highlight w:val="none"/>
              </w:rPr>
            </w:pPr>
            <w:r>
              <w:rPr>
                <w:rFonts w:hint="eastAsia" w:ascii="宋体" w:hAnsi="宋体" w:eastAsia="宋体" w:cs="宋体"/>
                <w:szCs w:val="21"/>
                <w:highlight w:val="none"/>
              </w:rPr>
              <w:t>SFP 2.5G光模块(1310nm,10km,LC)，支持工作温度-40°C到85°C；提供配套尾纤</w:t>
            </w:r>
          </w:p>
        </w:tc>
        <w:tc>
          <w:tcPr>
            <w:tcW w:w="868" w:type="dxa"/>
            <w:tcBorders>
              <w:top w:val="single" w:color="auto" w:sz="4" w:space="0"/>
              <w:left w:val="single" w:color="auto" w:sz="4" w:space="0"/>
              <w:bottom w:val="single" w:color="auto" w:sz="4" w:space="0"/>
              <w:right w:val="single" w:color="auto" w:sz="4" w:space="0"/>
            </w:tcBorders>
            <w:noWrap w:val="0"/>
            <w:vAlign w:val="center"/>
          </w:tcPr>
          <w:p w14:paraId="10ADBA5C">
            <w:pPr>
              <w:spacing w:line="440" w:lineRule="exact"/>
              <w:jc w:val="center"/>
              <w:rPr>
                <w:rFonts w:hint="eastAsia" w:ascii="宋体" w:hAnsi="宋体" w:eastAsia="宋体" w:cs="宋体"/>
                <w:szCs w:val="21"/>
                <w:highlight w:val="none"/>
              </w:rPr>
            </w:pPr>
            <w:r>
              <w:rPr>
                <w:rFonts w:hint="eastAsia" w:ascii="宋体" w:hAnsi="宋体" w:eastAsia="宋体" w:cs="宋体"/>
                <w:szCs w:val="21"/>
                <w:highlight w:val="none"/>
              </w:rPr>
              <w:t>150</w:t>
            </w:r>
            <w:r>
              <w:rPr>
                <w:rFonts w:hint="eastAsia" w:ascii="宋体" w:hAnsi="宋体" w:eastAsia="宋体" w:cs="宋体"/>
                <w:szCs w:val="21"/>
                <w:highlight w:val="none"/>
                <w:lang w:val="en-US" w:eastAsia="zh-CN"/>
              </w:rPr>
              <w:t>4</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A5B6D32">
            <w:pPr>
              <w:spacing w:line="440" w:lineRule="exact"/>
              <w:jc w:val="center"/>
              <w:rPr>
                <w:rFonts w:hint="eastAsia" w:ascii="宋体" w:hAnsi="宋体" w:cs="宋体"/>
                <w:szCs w:val="21"/>
                <w:highlight w:val="none"/>
              </w:rPr>
            </w:pPr>
          </w:p>
        </w:tc>
        <w:tc>
          <w:tcPr>
            <w:tcW w:w="1385" w:type="dxa"/>
            <w:tcBorders>
              <w:top w:val="single" w:color="auto" w:sz="4" w:space="0"/>
              <w:left w:val="single" w:color="auto" w:sz="4" w:space="0"/>
              <w:bottom w:val="single" w:color="auto" w:sz="4" w:space="0"/>
              <w:right w:val="single" w:color="auto" w:sz="4" w:space="0"/>
            </w:tcBorders>
            <w:noWrap w:val="0"/>
            <w:vAlign w:val="center"/>
          </w:tcPr>
          <w:p w14:paraId="35F36DBD">
            <w:pPr>
              <w:spacing w:line="440" w:lineRule="exact"/>
              <w:jc w:val="center"/>
              <w:rPr>
                <w:rFonts w:hint="eastAsia" w:ascii="宋体" w:hAnsi="宋体" w:cs="宋体"/>
                <w:szCs w:val="21"/>
                <w:highlight w:val="none"/>
              </w:rPr>
            </w:pPr>
          </w:p>
        </w:tc>
        <w:tc>
          <w:tcPr>
            <w:tcW w:w="1330" w:type="dxa"/>
            <w:tcBorders>
              <w:top w:val="single" w:color="auto" w:sz="4" w:space="0"/>
              <w:left w:val="single" w:color="auto" w:sz="4" w:space="0"/>
              <w:bottom w:val="single" w:color="auto" w:sz="4" w:space="0"/>
              <w:right w:val="single" w:color="auto" w:sz="4" w:space="0"/>
            </w:tcBorders>
            <w:noWrap w:val="0"/>
            <w:vAlign w:val="center"/>
          </w:tcPr>
          <w:p w14:paraId="65F6124D">
            <w:pPr>
              <w:spacing w:line="440" w:lineRule="exact"/>
              <w:jc w:val="center"/>
              <w:rPr>
                <w:rFonts w:hint="eastAsia" w:ascii="宋体" w:hAnsi="宋体" w:cs="宋体"/>
                <w:szCs w:val="21"/>
                <w:highlight w:val="none"/>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445B7C28">
            <w:pPr>
              <w:spacing w:line="440" w:lineRule="exact"/>
              <w:jc w:val="center"/>
              <w:rPr>
                <w:rFonts w:hint="eastAsia" w:ascii="宋体" w:hAnsi="宋体" w:cs="宋体"/>
                <w:szCs w:val="21"/>
                <w:highlight w:val="none"/>
              </w:rPr>
            </w:pPr>
          </w:p>
        </w:tc>
      </w:tr>
    </w:tbl>
    <w:p w14:paraId="6C129401">
      <w:pPr>
        <w:spacing w:after="0" w:line="560" w:lineRule="exact"/>
        <w:rPr>
          <w:rFonts w:hint="default" w:eastAsia="宋体"/>
          <w:b/>
          <w:bCs/>
          <w:highlight w:val="none"/>
          <w:lang w:val="en-US" w:eastAsia="zh-CN"/>
        </w:rPr>
        <w:sectPr>
          <w:headerReference r:id="rId3" w:type="default"/>
          <w:footerReference r:id="rId4" w:type="default"/>
          <w:pgSz w:w="16838" w:h="11906" w:orient="landscape"/>
          <w:pgMar w:top="1797" w:right="1440" w:bottom="1797" w:left="1440" w:header="851" w:footer="992" w:gutter="0"/>
          <w:cols w:space="720" w:num="1"/>
          <w:docGrid w:linePitch="312" w:charSpace="0"/>
        </w:sectPr>
      </w:pPr>
      <w:r>
        <w:rPr>
          <w:rFonts w:hint="eastAsia" w:ascii="Times New Roman" w:hAnsi="Times New Roman" w:eastAsia="宋体" w:cs="Times New Roman"/>
          <w:b/>
          <w:bCs/>
          <w:kern w:val="0"/>
          <w:sz w:val="20"/>
          <w:szCs w:val="24"/>
          <w:highlight w:val="none"/>
          <w:lang w:val="en-US" w:eastAsia="zh-CN" w:bidi="ar-SA"/>
        </w:rPr>
        <w:t>注：（1）核心产品为：24口PoE接入交换机；（2）供应商根据所投设备编制供货方案、网络优化方案、培训方案、售后服务等内容。（3）本项目产品功能要求中的所有名词（除国家标准、行业标准已规定的之外），仅代表采购人对功能的需求，不代表该功能的名称被指定。（4）招标产品的各功能模块划分，仅代表系统架构和系统实现的一种合理组合，投标人可提供覆盖本项目技术需求的其他架构软硬件或模块组合后的产品进行报价，并逐条列明参数响应情况。（5）招标文件中涉及的所有标准、规范、规定如有更新或未详尽载明，均以最新颁布的标准、规范、规定为准。（6）供应商应提供完善的网络优化方案，根据所投产品提供提升网络带宽利用率的措施、提升并发承载能力的措施、提高QoS的措施。</w:t>
      </w:r>
    </w:p>
    <w:p w14:paraId="2AF63667">
      <w:pPr>
        <w:spacing w:line="360" w:lineRule="auto"/>
        <w:jc w:val="center"/>
        <w:rPr>
          <w:rFonts w:hint="eastAsia"/>
          <w:b/>
          <w:bCs/>
          <w:sz w:val="32"/>
          <w:szCs w:val="40"/>
          <w:highlight w:val="none"/>
        </w:rPr>
      </w:pPr>
      <w:r>
        <w:rPr>
          <w:rFonts w:hint="eastAsia"/>
          <w:b/>
          <w:bCs/>
          <w:sz w:val="32"/>
          <w:szCs w:val="40"/>
          <w:highlight w:val="none"/>
        </w:rPr>
        <w:t>山东大学仪器设备采购商</w:t>
      </w:r>
      <w:bookmarkStart w:id="0" w:name="_GoBack"/>
      <w:bookmarkEnd w:id="0"/>
      <w:r>
        <w:rPr>
          <w:rFonts w:hint="eastAsia"/>
          <w:b/>
          <w:bCs/>
          <w:sz w:val="32"/>
          <w:szCs w:val="40"/>
          <w:highlight w:val="none"/>
        </w:rPr>
        <w:t>务条款响应一览表</w:t>
      </w:r>
    </w:p>
    <w:tbl>
      <w:tblPr>
        <w:tblStyle w:val="12"/>
        <w:tblpPr w:leftFromText="180" w:rightFromText="180" w:vertAnchor="text" w:horzAnchor="page" w:tblpX="1577" w:tblpY="646"/>
        <w:tblOverlap w:val="never"/>
        <w:tblW w:w="900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20"/>
        <w:gridCol w:w="1225"/>
        <w:gridCol w:w="4476"/>
        <w:gridCol w:w="2583"/>
      </w:tblGrid>
      <w:tr w14:paraId="6A2B0B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97A21D4">
            <w:pPr>
              <w:spacing w:line="440" w:lineRule="exact"/>
              <w:jc w:val="center"/>
              <w:rPr>
                <w:rFonts w:hint="eastAsia" w:ascii="宋体" w:hAnsi="宋体" w:cs="宋体"/>
                <w:b/>
                <w:bCs/>
                <w:szCs w:val="21"/>
                <w:highlight w:val="none"/>
              </w:rPr>
            </w:pPr>
            <w:r>
              <w:rPr>
                <w:rFonts w:hint="eastAsia" w:ascii="宋体" w:hAnsi="宋体" w:cs="宋体"/>
                <w:b/>
                <w:bCs/>
                <w:szCs w:val="21"/>
                <w:highlight w:val="none"/>
              </w:rPr>
              <w:t>项目序号</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08DD9AA8">
            <w:pPr>
              <w:spacing w:line="440" w:lineRule="exact"/>
              <w:jc w:val="center"/>
              <w:rPr>
                <w:rFonts w:hint="eastAsia" w:ascii="宋体" w:hAnsi="宋体" w:cs="宋体"/>
                <w:b/>
                <w:bCs/>
                <w:szCs w:val="21"/>
                <w:highlight w:val="none"/>
              </w:rPr>
            </w:pPr>
            <w:r>
              <w:rPr>
                <w:rFonts w:hint="eastAsia" w:ascii="宋体" w:hAnsi="宋体" w:cs="宋体"/>
                <w:b/>
                <w:bCs/>
                <w:szCs w:val="21"/>
                <w:highlight w:val="none"/>
              </w:rPr>
              <w:t>项目名称</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1F0B46D1">
            <w:pPr>
              <w:spacing w:line="440" w:lineRule="exact"/>
              <w:jc w:val="center"/>
              <w:rPr>
                <w:rFonts w:hint="eastAsia" w:ascii="宋体" w:hAnsi="宋体" w:cs="宋体"/>
                <w:b/>
                <w:bCs/>
                <w:szCs w:val="21"/>
                <w:highlight w:val="none"/>
              </w:rPr>
            </w:pPr>
            <w:r>
              <w:rPr>
                <w:rFonts w:hint="eastAsia" w:ascii="宋体" w:hAnsi="宋体" w:cs="宋体"/>
                <w:b/>
                <w:bCs/>
                <w:szCs w:val="21"/>
                <w:highlight w:val="none"/>
              </w:rPr>
              <w:t>采购人要求</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1D1A91DD">
            <w:pPr>
              <w:spacing w:line="440" w:lineRule="exact"/>
              <w:jc w:val="center"/>
              <w:rPr>
                <w:rFonts w:hint="eastAsia" w:ascii="宋体" w:hAnsi="宋体" w:cs="宋体"/>
                <w:b/>
                <w:bCs/>
                <w:szCs w:val="21"/>
                <w:highlight w:val="none"/>
              </w:rPr>
            </w:pPr>
            <w:r>
              <w:rPr>
                <w:rFonts w:hint="eastAsia" w:ascii="宋体" w:hAnsi="宋体" w:cs="宋体"/>
                <w:b/>
                <w:bCs/>
                <w:szCs w:val="21"/>
                <w:highlight w:val="none"/>
              </w:rPr>
              <w:t>投标人(供应商)响应</w:t>
            </w:r>
          </w:p>
        </w:tc>
      </w:tr>
      <w:tr w14:paraId="47EB8D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7F16048">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1</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12D55AD">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成交价</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0FA03170">
            <w:pPr>
              <w:spacing w:line="440" w:lineRule="exact"/>
              <w:rPr>
                <w:rFonts w:hint="eastAsia" w:ascii="宋体" w:hAnsi="宋体" w:cs="宋体"/>
                <w:color w:val="000000"/>
                <w:szCs w:val="21"/>
                <w:highlight w:val="none"/>
              </w:rPr>
            </w:pPr>
            <w:r>
              <w:rPr>
                <w:rFonts w:hint="eastAsia" w:ascii="宋体" w:hAnsi="宋体" w:cs="宋体"/>
                <w:szCs w:val="21"/>
                <w:highlight w:val="none"/>
              </w:rPr>
              <w:t>人民币（国产设备）</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48EB3CE2">
            <w:pPr>
              <w:spacing w:line="440" w:lineRule="exact"/>
              <w:jc w:val="center"/>
              <w:rPr>
                <w:rFonts w:hint="eastAsia" w:ascii="宋体" w:hAnsi="宋体" w:cs="宋体"/>
                <w:szCs w:val="21"/>
                <w:highlight w:val="none"/>
              </w:rPr>
            </w:pPr>
          </w:p>
        </w:tc>
      </w:tr>
      <w:tr w14:paraId="37486E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95CEC53">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2</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54D87E6D">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交货时间</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5C7D82D4">
            <w:pPr>
              <w:spacing w:line="440" w:lineRule="exact"/>
              <w:rPr>
                <w:rFonts w:hint="eastAsia" w:ascii="宋体" w:hAnsi="宋体" w:eastAsia="宋体" w:cs="宋体"/>
                <w:color w:val="000000"/>
                <w:szCs w:val="21"/>
                <w:highlight w:val="none"/>
                <w:lang w:eastAsia="zh-CN"/>
              </w:rPr>
            </w:pPr>
            <w:r>
              <w:rPr>
                <w:rFonts w:hint="eastAsia" w:ascii="宋体" w:hAnsi="宋体" w:cs="宋体"/>
                <w:szCs w:val="21"/>
                <w:highlight w:val="none"/>
                <w:lang w:eastAsia="zh-CN"/>
              </w:rPr>
              <w:t>合同签订后25个自然日内</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1AB676FD">
            <w:pPr>
              <w:spacing w:line="440" w:lineRule="exact"/>
              <w:jc w:val="center"/>
              <w:rPr>
                <w:rFonts w:hint="eastAsia" w:ascii="宋体" w:hAnsi="宋体" w:cs="宋体"/>
                <w:szCs w:val="21"/>
                <w:highlight w:val="none"/>
              </w:rPr>
            </w:pPr>
          </w:p>
        </w:tc>
      </w:tr>
      <w:tr w14:paraId="363CF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95E5EFC">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3</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4598174C">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付款方式</w:t>
            </w:r>
          </w:p>
        </w:tc>
        <w:tc>
          <w:tcPr>
            <w:tcW w:w="4476" w:type="dxa"/>
            <w:tcBorders>
              <w:top w:val="single" w:color="auto" w:sz="4" w:space="0"/>
              <w:left w:val="single" w:color="auto" w:sz="4" w:space="0"/>
              <w:bottom w:val="single" w:color="auto" w:sz="4" w:space="0"/>
              <w:right w:val="single" w:color="auto" w:sz="4" w:space="0"/>
            </w:tcBorders>
            <w:noWrap w:val="0"/>
            <w:vAlign w:val="center"/>
          </w:tcPr>
          <w:p w14:paraId="5D8B6509">
            <w:pPr>
              <w:spacing w:line="440" w:lineRule="exact"/>
              <w:rPr>
                <w:rFonts w:hint="eastAsia" w:ascii="宋体" w:hAnsi="宋体" w:eastAsia="宋体" w:cs="宋体"/>
                <w:color w:val="000000"/>
                <w:szCs w:val="21"/>
                <w:highlight w:val="none"/>
                <w:lang w:eastAsia="zh-CN"/>
              </w:rPr>
            </w:pPr>
            <w:r>
              <w:rPr>
                <w:rFonts w:hint="eastAsia" w:ascii="宋体" w:hAnsi="宋体" w:cs="宋体"/>
                <w:szCs w:val="21"/>
                <w:highlight w:val="none"/>
                <w:lang w:eastAsia="zh-CN"/>
              </w:rPr>
              <w:t>货到验收合格后支付</w:t>
            </w:r>
          </w:p>
        </w:tc>
        <w:tc>
          <w:tcPr>
            <w:tcW w:w="2583" w:type="dxa"/>
            <w:tcBorders>
              <w:top w:val="single" w:color="auto" w:sz="4" w:space="0"/>
              <w:left w:val="single" w:color="auto" w:sz="4" w:space="0"/>
              <w:bottom w:val="single" w:color="auto" w:sz="4" w:space="0"/>
              <w:right w:val="single" w:color="auto" w:sz="4" w:space="0"/>
            </w:tcBorders>
            <w:noWrap w:val="0"/>
            <w:vAlign w:val="center"/>
          </w:tcPr>
          <w:p w14:paraId="09589469">
            <w:pPr>
              <w:spacing w:line="440" w:lineRule="exact"/>
              <w:jc w:val="center"/>
              <w:rPr>
                <w:rFonts w:hint="eastAsia" w:ascii="宋体" w:hAnsi="宋体" w:cs="宋体"/>
                <w:szCs w:val="21"/>
                <w:highlight w:val="none"/>
              </w:rPr>
            </w:pPr>
          </w:p>
        </w:tc>
      </w:tr>
      <w:tr w14:paraId="6BF0BC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52CD314">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4</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024B955">
            <w:pPr>
              <w:tabs>
                <w:tab w:val="left" w:pos="420"/>
              </w:tabs>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安装验收</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07624819">
            <w:pPr>
              <w:tabs>
                <w:tab w:val="left" w:pos="40"/>
              </w:tabs>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A．设备验收由专家组和中标人联合在山东大学进行，验收条件按照合同规定执行。验收合格后填写山东大学大型仪器设备验收报告，该验收报告作为支付中标人货款的依据。</w:t>
            </w:r>
          </w:p>
          <w:p w14:paraId="2C5A8A84">
            <w:pPr>
              <w:tabs>
                <w:tab w:val="left" w:pos="40"/>
              </w:tabs>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B．对安装有特殊要求的设备，中标人应在合同签订后10个工作日内以书面形式向用户提出安装场地环境要求，用户负责如电源、地线、温度和湿度设备、静电和防尘设备等安装场地的准备。</w:t>
            </w:r>
          </w:p>
          <w:p w14:paraId="48C90C30">
            <w:pPr>
              <w:tabs>
                <w:tab w:val="left" w:pos="40"/>
              </w:tabs>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C．中标人应提供各种文档资料和中文电子版说明书以及调试仪器所需要的工具。</w:t>
            </w:r>
          </w:p>
          <w:p w14:paraId="68A779A0">
            <w:pPr>
              <w:tabs>
                <w:tab w:val="left" w:pos="40"/>
              </w:tabs>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D．中标人派专门人员将仪器安装并调试好，达到说明书技术指标的要求。</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1060423C">
            <w:pPr>
              <w:spacing w:line="440" w:lineRule="exact"/>
              <w:rPr>
                <w:rFonts w:hint="eastAsia" w:ascii="宋体" w:hAnsi="宋体" w:cs="宋体"/>
                <w:szCs w:val="21"/>
                <w:highlight w:val="none"/>
              </w:rPr>
            </w:pPr>
          </w:p>
        </w:tc>
      </w:tr>
      <w:tr w14:paraId="43E347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74531A2">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5</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130AF64B">
            <w:pPr>
              <w:tabs>
                <w:tab w:val="left" w:pos="420"/>
              </w:tabs>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培训</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2050311C">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A．中标人应对用户人员进行技术培训。使其能掌握有关设备的使用、维护和管理等工作要求。</w:t>
            </w:r>
          </w:p>
          <w:p w14:paraId="24E1F946">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B．及时提供相关领域新技术与新信息，终生提供相关实验室技术咨询（该项费用包含在报价中）。</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4D971E87">
            <w:pPr>
              <w:spacing w:line="440" w:lineRule="exact"/>
              <w:rPr>
                <w:rFonts w:hint="eastAsia" w:ascii="宋体" w:hAnsi="宋体" w:cs="宋体"/>
                <w:szCs w:val="21"/>
                <w:highlight w:val="none"/>
              </w:rPr>
            </w:pPr>
          </w:p>
        </w:tc>
      </w:tr>
      <w:tr w14:paraId="6E0034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A2269D0">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6</w:t>
            </w:r>
          </w:p>
        </w:tc>
        <w:tc>
          <w:tcPr>
            <w:tcW w:w="1225" w:type="dxa"/>
            <w:tcBorders>
              <w:top w:val="single" w:color="auto" w:sz="4" w:space="0"/>
              <w:left w:val="single" w:color="auto" w:sz="4" w:space="0"/>
              <w:bottom w:val="single" w:color="auto" w:sz="4" w:space="0"/>
              <w:right w:val="single" w:color="auto" w:sz="4" w:space="0"/>
            </w:tcBorders>
            <w:noWrap w:val="0"/>
            <w:vAlign w:val="center"/>
          </w:tcPr>
          <w:p w14:paraId="2FE990F3">
            <w:pPr>
              <w:spacing w:line="44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质保</w:t>
            </w:r>
          </w:p>
        </w:tc>
        <w:tc>
          <w:tcPr>
            <w:tcW w:w="4476" w:type="dxa"/>
            <w:tcBorders>
              <w:top w:val="single" w:color="auto" w:sz="4" w:space="0"/>
              <w:left w:val="single" w:color="auto" w:sz="4" w:space="0"/>
              <w:bottom w:val="single" w:color="auto" w:sz="4" w:space="0"/>
              <w:right w:val="single" w:color="auto" w:sz="4" w:space="0"/>
            </w:tcBorders>
            <w:noWrap w:val="0"/>
            <w:vAlign w:val="top"/>
          </w:tcPr>
          <w:p w14:paraId="5DF25EDF">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A．质保期：</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 xml:space="preserve"> 年。</w:t>
            </w:r>
          </w:p>
          <w:p w14:paraId="60A51404">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B．中标人应在验收合格之日起到</w:t>
            </w:r>
            <w:r>
              <w:rPr>
                <w:rFonts w:hint="eastAsia" w:ascii="宋体" w:hAnsi="宋体" w:cs="宋体"/>
                <w:color w:val="000000"/>
                <w:szCs w:val="21"/>
                <w:highlight w:val="none"/>
                <w:lang w:eastAsia="zh-CN"/>
              </w:rPr>
              <w:t>质保</w:t>
            </w:r>
            <w:r>
              <w:rPr>
                <w:rFonts w:hint="eastAsia" w:ascii="宋体" w:hAnsi="宋体" w:cs="宋体"/>
                <w:color w:val="000000"/>
                <w:szCs w:val="21"/>
                <w:highlight w:val="none"/>
              </w:rPr>
              <w:t>期满前一个月内，进行一次现场全面检查，</w:t>
            </w:r>
            <w:r>
              <w:rPr>
                <w:rFonts w:hint="eastAsia" w:ascii="宋体" w:hAnsi="宋体" w:cs="宋体"/>
                <w:color w:val="000000"/>
                <w:szCs w:val="21"/>
                <w:highlight w:val="none"/>
                <w:lang w:eastAsia="zh-CN"/>
              </w:rPr>
              <w:t>并出具书面检测报告</w:t>
            </w:r>
            <w:r>
              <w:rPr>
                <w:rFonts w:hint="eastAsia" w:ascii="宋体" w:hAnsi="宋体" w:cs="宋体"/>
                <w:color w:val="000000"/>
                <w:szCs w:val="21"/>
                <w:highlight w:val="none"/>
              </w:rPr>
              <w:t>。如发现问题应负责解决。</w:t>
            </w:r>
          </w:p>
          <w:p w14:paraId="15F7F4F8">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C．中标人需提供负责售后服务的部门或单位的名称和联系方式。维修响应一般情况下4—8小时，终身维修。一般问题应在1周内解决，重大问题或其它无法迅速解决的问题应在1月内解决或提出明确解决方案，否则中标人应赔偿相应损失。</w:t>
            </w:r>
          </w:p>
          <w:p w14:paraId="6F130C05">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D．中标人应定期回访用户。</w:t>
            </w:r>
          </w:p>
          <w:p w14:paraId="25D2EAC7">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E．投标人必须列明</w:t>
            </w:r>
            <w:r>
              <w:rPr>
                <w:rFonts w:hint="eastAsia" w:ascii="宋体" w:hAnsi="宋体" w:cs="宋体"/>
                <w:color w:val="000000"/>
                <w:szCs w:val="21"/>
                <w:highlight w:val="none"/>
                <w:lang w:eastAsia="zh-CN"/>
              </w:rPr>
              <w:t>质保</w:t>
            </w:r>
            <w:r>
              <w:rPr>
                <w:rFonts w:hint="eastAsia" w:ascii="宋体" w:hAnsi="宋体" w:cs="宋体"/>
                <w:color w:val="000000"/>
                <w:szCs w:val="21"/>
                <w:highlight w:val="none"/>
              </w:rPr>
              <w:t>期后的各项收费标准，需购买的附件和零配件的价格应按主机合同的折扣率给予优惠。</w:t>
            </w:r>
          </w:p>
          <w:p w14:paraId="70143ED8">
            <w:pPr>
              <w:spacing w:line="440" w:lineRule="exact"/>
              <w:rPr>
                <w:rFonts w:hint="eastAsia" w:ascii="宋体" w:hAnsi="宋体" w:cs="宋体"/>
                <w:color w:val="FF0000"/>
                <w:szCs w:val="21"/>
                <w:highlight w:val="none"/>
              </w:rPr>
            </w:pPr>
            <w:r>
              <w:rPr>
                <w:rFonts w:hint="eastAsia" w:ascii="宋体" w:hAnsi="宋体" w:cs="宋体"/>
                <w:color w:val="000000"/>
                <w:szCs w:val="21"/>
                <w:highlight w:val="none"/>
              </w:rPr>
              <w:t>F．仪器中的软件享受终身升级（该项费用包含在报价中）；</w:t>
            </w:r>
          </w:p>
        </w:tc>
        <w:tc>
          <w:tcPr>
            <w:tcW w:w="2583" w:type="dxa"/>
            <w:tcBorders>
              <w:top w:val="single" w:color="auto" w:sz="4" w:space="0"/>
              <w:left w:val="single" w:color="auto" w:sz="4" w:space="0"/>
              <w:bottom w:val="single" w:color="auto" w:sz="4" w:space="0"/>
              <w:right w:val="single" w:color="auto" w:sz="4" w:space="0"/>
            </w:tcBorders>
            <w:noWrap w:val="0"/>
            <w:vAlign w:val="top"/>
          </w:tcPr>
          <w:p w14:paraId="4D2C2F17">
            <w:pPr>
              <w:spacing w:line="440" w:lineRule="exact"/>
              <w:rPr>
                <w:rFonts w:hint="eastAsia" w:ascii="宋体" w:hAnsi="宋体" w:cs="宋体"/>
                <w:szCs w:val="21"/>
                <w:highlight w:val="none"/>
              </w:rPr>
            </w:pPr>
          </w:p>
        </w:tc>
      </w:tr>
    </w:tbl>
    <w:p w14:paraId="505695D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1B6DC">
    <w:pPr>
      <w:pStyle w:val="10"/>
      <w:framePr w:wrap="around" w:vAnchor="text" w:hAnchor="margin" w:xAlign="center" w:y="1"/>
      <w:rPr>
        <w:rStyle w:val="14"/>
      </w:rPr>
    </w:pPr>
    <w:r>
      <w:fldChar w:fldCharType="begin"/>
    </w:r>
    <w:r>
      <w:rPr>
        <w:rStyle w:val="14"/>
        <w:kern w:val="2"/>
        <w:sz w:val="21"/>
        <w:szCs w:val="24"/>
      </w:rPr>
      <w:instrText xml:space="preserve">PAGE  </w:instrText>
    </w:r>
    <w:r>
      <w:fldChar w:fldCharType="separate"/>
    </w:r>
    <w:r>
      <w:rPr>
        <w:rStyle w:val="14"/>
        <w:kern w:val="2"/>
        <w:sz w:val="21"/>
        <w:szCs w:val="24"/>
      </w:rPr>
      <w:t>44</w:t>
    </w:r>
    <w:r>
      <w:fldChar w:fldCharType="end"/>
    </w:r>
  </w:p>
  <w:p w14:paraId="486E3BF8">
    <w:pPr>
      <w:spacing w:line="200" w:lineRule="exact"/>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D17B1">
    <w:pPr>
      <w:ind w:left="-8" w:right="-1" w:firstLine="8"/>
      <w:jc w:val="left"/>
      <w:rPr>
        <w:rFonts w:ascii="仿宋" w:hAnsi="仿宋" w:eastAsia="仿宋"/>
        <w:b/>
        <w:szCs w:val="21"/>
      </w:rPr>
    </w:pPr>
    <w:r>
      <w:drawing>
        <wp:inline distT="0" distB="0" distL="114300" distR="114300">
          <wp:extent cx="137795" cy="103505"/>
          <wp:effectExtent l="0" t="0" r="190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stretch>
                    <a:fillRect/>
                  </a:stretch>
                </pic:blipFill>
                <pic:spPr>
                  <a:xfrm>
                    <a:off x="0" y="0"/>
                    <a:ext cx="137795" cy="103505"/>
                  </a:xfrm>
                  <a:prstGeom prst="rect">
                    <a:avLst/>
                  </a:prstGeom>
                  <a:noFill/>
                  <a:ln>
                    <a:noFill/>
                  </a:ln>
                </pic:spPr>
              </pic:pic>
            </a:graphicData>
          </a:graphic>
        </wp:inline>
      </w:drawing>
    </w:r>
    <w:r>
      <w:rPr>
        <w:rFonts w:hint="eastAsia"/>
      </w:rPr>
      <w:t xml:space="preserve">鲁成招标                                                                             </w:t>
    </w:r>
    <w:r>
      <w:rPr>
        <w:rFonts w:hint="eastAsia" w:ascii="宋体" w:hAnsi="宋体" w:cs="宋体"/>
        <w:kern w:val="0"/>
        <w:szCs w:val="21"/>
      </w:rPr>
      <w:t>山东大学</w:t>
    </w:r>
    <w:r>
      <w:rPr>
        <w:rFonts w:hint="eastAsia" w:ascii="宋体" w:hAnsi="宋体" w:cs="宋体"/>
        <w:kern w:val="0"/>
        <w:szCs w:val="21"/>
        <w:lang w:eastAsia="zh-CN"/>
      </w:rPr>
      <w:t>网络基础设施设备购置</w:t>
    </w:r>
    <w:r>
      <w:rPr>
        <w:rFonts w:hint="eastAsia" w:ascii="宋体" w:hAnsi="宋体" w:cs="宋体"/>
        <w:kern w:val="0"/>
        <w:szCs w:val="21"/>
      </w:rPr>
      <w:t>电子招标文件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14058"/>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C5C51D5"/>
    <w:rsid w:val="328C11EE"/>
    <w:rsid w:val="3AB85F64"/>
    <w:rsid w:val="3B9814E3"/>
    <w:rsid w:val="3BB83D9A"/>
    <w:rsid w:val="40834252"/>
    <w:rsid w:val="420F6CE4"/>
    <w:rsid w:val="43491507"/>
    <w:rsid w:val="45180407"/>
    <w:rsid w:val="452B4861"/>
    <w:rsid w:val="4649335D"/>
    <w:rsid w:val="4A2A2D74"/>
    <w:rsid w:val="4ABF7E6A"/>
    <w:rsid w:val="4B7A48F9"/>
    <w:rsid w:val="50F525E8"/>
    <w:rsid w:val="55867476"/>
    <w:rsid w:val="58D5360D"/>
    <w:rsid w:val="618810C7"/>
    <w:rsid w:val="65314058"/>
    <w:rsid w:val="65DF6447"/>
    <w:rsid w:val="679B0868"/>
    <w:rsid w:val="6F9F6052"/>
    <w:rsid w:val="70B346A9"/>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5"/>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6">
    <w:name w:val="heading 2"/>
    <w:basedOn w:val="1"/>
    <w:next w:val="1"/>
    <w:link w:val="17"/>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7">
    <w:name w:val="heading 3"/>
    <w:basedOn w:val="1"/>
    <w:next w:val="1"/>
    <w:link w:val="16"/>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8">
    <w:name w:val="heading 5"/>
    <w:basedOn w:val="1"/>
    <w:next w:val="1"/>
    <w:link w:val="18"/>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oc 1"/>
    <w:basedOn w:val="3"/>
    <w:next w:val="1"/>
    <w:qFormat/>
    <w:uiPriority w:val="0"/>
    <w:pPr>
      <w:tabs>
        <w:tab w:val="right" w:leader="dot" w:pos="9359"/>
      </w:tabs>
    </w:pPr>
    <w:rPr>
      <w:rFonts w:ascii="Calibri" w:hAnsi="Calibri" w:eastAsia="宋体"/>
      <w:sz w:val="30"/>
      <w:szCs w:val="20"/>
    </w:rPr>
  </w:style>
  <w:style w:type="paragraph" w:styleId="3">
    <w:name w:val="toc 2"/>
    <w:basedOn w:val="4"/>
    <w:next w:val="1"/>
    <w:qFormat/>
    <w:uiPriority w:val="0"/>
    <w:pPr>
      <w:tabs>
        <w:tab w:val="right" w:leader="dot" w:pos="9359"/>
      </w:tabs>
    </w:pPr>
    <w:rPr>
      <w:rFonts w:ascii="Calibri" w:hAnsi="Calibri" w:eastAsia="宋体"/>
      <w:sz w:val="28"/>
      <w:szCs w:val="20"/>
    </w:rPr>
  </w:style>
  <w:style w:type="paragraph" w:styleId="4">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9">
    <w:name w:val="Body Text"/>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styleId="10">
    <w:name w:val="footer"/>
    <w:unhideWhenUsed/>
    <w:qFormat/>
    <w:uiPriority w:val="0"/>
    <w:pPr>
      <w:widowControl w:val="0"/>
      <w:tabs>
        <w:tab w:val="center" w:pos="4153"/>
        <w:tab w:val="right" w:pos="8306"/>
      </w:tabs>
      <w:snapToGrid w:val="0"/>
      <w:jc w:val="left"/>
    </w:pPr>
    <w:rPr>
      <w:rFonts w:ascii="Times New Roman" w:hAnsi="Times New Roman" w:eastAsia="宋体" w:cs="Times New Roman"/>
      <w:kern w:val="0"/>
      <w:sz w:val="18"/>
      <w:szCs w:val="18"/>
      <w:lang w:val="en-US" w:eastAsia="zh-CN" w:bidi="ar-SA"/>
    </w:rPr>
  </w:style>
  <w:style w:type="paragraph" w:styleId="11">
    <w:name w:val="toc 4"/>
    <w:basedOn w:val="4"/>
    <w:next w:val="1"/>
    <w:uiPriority w:val="0"/>
    <w:rPr>
      <w:sz w:val="21"/>
    </w:rPr>
  </w:style>
  <w:style w:type="character" w:styleId="14">
    <w:name w:val="page number"/>
    <w:qFormat/>
    <w:uiPriority w:val="99"/>
    <w:rPr>
      <w:rFonts w:cs="Times New Roman"/>
    </w:rPr>
  </w:style>
  <w:style w:type="character" w:customStyle="1" w:styleId="15">
    <w:name w:val="标题 1 Char"/>
    <w:link w:val="5"/>
    <w:qFormat/>
    <w:uiPriority w:val="0"/>
    <w:rPr>
      <w:rFonts w:ascii="Times New Roman" w:hAnsi="Times New Roman" w:eastAsia="宋体" w:cs="Times New Roman"/>
      <w:b/>
      <w:bCs/>
      <w:kern w:val="44"/>
      <w:sz w:val="44"/>
      <w:szCs w:val="44"/>
    </w:rPr>
  </w:style>
  <w:style w:type="character" w:customStyle="1" w:styleId="16">
    <w:name w:val="标题 3 Char"/>
    <w:link w:val="7"/>
    <w:qFormat/>
    <w:uiPriority w:val="0"/>
    <w:rPr>
      <w:rFonts w:ascii="Times New Roman" w:hAnsi="Times New Roman" w:eastAsia="宋体" w:cs="Times New Roman"/>
      <w:b/>
      <w:bCs/>
      <w:sz w:val="24"/>
      <w:szCs w:val="32"/>
    </w:rPr>
  </w:style>
  <w:style w:type="character" w:customStyle="1" w:styleId="17">
    <w:name w:val="标题 2 Char"/>
    <w:link w:val="6"/>
    <w:qFormat/>
    <w:uiPriority w:val="0"/>
    <w:rPr>
      <w:rFonts w:ascii="Cambria" w:hAnsi="Cambria" w:eastAsia="宋体" w:cs="Times New Roman"/>
      <w:b/>
      <w:bCs/>
      <w:sz w:val="24"/>
      <w:szCs w:val="32"/>
    </w:rPr>
  </w:style>
  <w:style w:type="character" w:customStyle="1" w:styleId="18">
    <w:name w:val="标题 5 Char"/>
    <w:link w:val="8"/>
    <w:qFormat/>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2473</Words>
  <Characters>3172</Characters>
  <Lines>0</Lines>
  <Paragraphs>0</Paragraphs>
  <TotalTime>0</TotalTime>
  <ScaleCrop>false</ScaleCrop>
  <LinksUpToDate>false</LinksUpToDate>
  <CharactersWithSpaces>3199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2026-06-25T06:54:00Z</dcterms:created>
  <dc:creator>刘</dc:creator>
  <cp:lastModifiedBy>刘</cp:lastModifiedBy>
  <dcterms:modified xsi:type="dcterms:W3CDTF">2026-06-25T09:47:29Z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EFCE607C356C4EE8820713300EBE8513_11</vt:lpwstr>
  </property>
  <property fmtid="{D5CDD505-2E9C-101B-9397-08002B2CF9AE}" pid="4" name="KSOTemplateDocerSaveRecord">
    <vt:lpwstr>eyJoZGlkIjoiOTc3M2Y5NzIzMDFlZjAyY2Q4Njk5ODkyYjFjNzBiNTQiLCJ1c2VySWQiOiI0Mjc3NzIzNjAifQ==</vt:lpwstr>
  </property>
</Properties>
</file>