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240830">
      <w:pPr>
        <w:spacing w:line="24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（一）技术要求</w:t>
      </w:r>
    </w:p>
    <w:p w14:paraId="715AD96C">
      <w:pPr>
        <w:spacing w:line="240" w:lineRule="auto"/>
        <w:ind w:firstLine="0" w:firstLineChars="0"/>
        <w:jc w:val="center"/>
        <w:rPr>
          <w:rFonts w:hint="eastAsia" w:ascii="宋体" w:hAnsi="宋体" w:eastAsia="宋体" w:cs="宋体"/>
          <w:color w:val="4472C4"/>
          <w:sz w:val="24"/>
          <w:szCs w:val="24"/>
        </w:rPr>
      </w:pPr>
      <w:r>
        <w:rPr>
          <w:rFonts w:hint="eastAsia" w:ascii="宋体" w:hAnsi="宋体" w:eastAsia="宋体" w:cs="宋体"/>
          <w:b/>
          <w:bCs/>
          <w:sz w:val="24"/>
          <w:szCs w:val="24"/>
        </w:rPr>
        <w:t>技术条款响应一览表</w:t>
      </w:r>
    </w:p>
    <w:tbl>
      <w:tblPr>
        <w:tblStyle w:val="12"/>
        <w:tblpPr w:leftFromText="180" w:rightFromText="180" w:vertAnchor="text" w:horzAnchor="page" w:tblpX="1998" w:tblpY="12"/>
        <w:tblW w:w="486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08"/>
        <w:gridCol w:w="1225"/>
        <w:gridCol w:w="4623"/>
        <w:gridCol w:w="767"/>
        <w:gridCol w:w="871"/>
      </w:tblGrid>
      <w:tr w14:paraId="42EB67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87" w:type="pct"/>
            <w:tcBorders>
              <w:top w:val="single" w:color="auto" w:sz="4" w:space="0"/>
              <w:left w:val="single" w:color="auto" w:sz="4" w:space="0"/>
              <w:bottom w:val="single" w:color="auto" w:sz="4" w:space="0"/>
              <w:right w:val="single" w:color="auto" w:sz="4" w:space="0"/>
            </w:tcBorders>
            <w:vAlign w:val="center"/>
          </w:tcPr>
          <w:p w14:paraId="45540915">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配置序号</w:t>
            </w:r>
          </w:p>
        </w:tc>
        <w:tc>
          <w:tcPr>
            <w:tcW w:w="738" w:type="pct"/>
            <w:tcBorders>
              <w:top w:val="single" w:color="auto" w:sz="4" w:space="0"/>
              <w:left w:val="single" w:color="auto" w:sz="4" w:space="0"/>
              <w:bottom w:val="single" w:color="auto" w:sz="4" w:space="0"/>
              <w:right w:val="single" w:color="auto" w:sz="4" w:space="0"/>
            </w:tcBorders>
            <w:vAlign w:val="center"/>
          </w:tcPr>
          <w:p w14:paraId="43ED466B">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配置（家具）名称</w:t>
            </w:r>
          </w:p>
        </w:tc>
        <w:tc>
          <w:tcPr>
            <w:tcW w:w="2786" w:type="pct"/>
            <w:tcBorders>
              <w:top w:val="single" w:color="auto" w:sz="4" w:space="0"/>
              <w:left w:val="single" w:color="auto" w:sz="4" w:space="0"/>
              <w:bottom w:val="single" w:color="auto" w:sz="4" w:space="0"/>
              <w:right w:val="single" w:color="auto" w:sz="4" w:space="0"/>
            </w:tcBorders>
            <w:vAlign w:val="center"/>
          </w:tcPr>
          <w:p w14:paraId="00B33DE8">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详细技术参数要求</w:t>
            </w:r>
          </w:p>
        </w:tc>
        <w:tc>
          <w:tcPr>
            <w:tcW w:w="462" w:type="pct"/>
            <w:tcBorders>
              <w:top w:val="single" w:color="auto" w:sz="4" w:space="0"/>
              <w:left w:val="single" w:color="auto" w:sz="4" w:space="0"/>
              <w:bottom w:val="single" w:color="auto" w:sz="4" w:space="0"/>
              <w:right w:val="single" w:color="auto" w:sz="4" w:space="0"/>
            </w:tcBorders>
            <w:vAlign w:val="center"/>
          </w:tcPr>
          <w:p w14:paraId="775AA83F">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数量</w:t>
            </w:r>
          </w:p>
        </w:tc>
        <w:tc>
          <w:tcPr>
            <w:tcW w:w="525" w:type="pct"/>
            <w:tcBorders>
              <w:top w:val="single" w:color="auto" w:sz="4" w:space="0"/>
              <w:left w:val="single" w:color="auto" w:sz="4" w:space="0"/>
              <w:bottom w:val="single" w:color="auto" w:sz="4" w:space="0"/>
              <w:right w:val="single" w:color="auto" w:sz="4" w:space="0"/>
            </w:tcBorders>
            <w:vAlign w:val="center"/>
          </w:tcPr>
          <w:p w14:paraId="6BF57737">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2E4B2C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87" w:type="pct"/>
            <w:tcBorders>
              <w:top w:val="single" w:color="auto" w:sz="4" w:space="0"/>
              <w:left w:val="single" w:color="auto" w:sz="4" w:space="0"/>
              <w:bottom w:val="single" w:color="auto" w:sz="4" w:space="0"/>
              <w:right w:val="single" w:color="auto" w:sz="4" w:space="0"/>
            </w:tcBorders>
            <w:vAlign w:val="center"/>
          </w:tcPr>
          <w:p w14:paraId="5BF9EFD3">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738" w:type="pct"/>
            <w:tcBorders>
              <w:top w:val="single" w:color="auto" w:sz="4" w:space="0"/>
              <w:left w:val="single" w:color="auto" w:sz="4" w:space="0"/>
              <w:bottom w:val="single" w:color="auto" w:sz="4" w:space="0"/>
              <w:right w:val="single" w:color="auto" w:sz="4" w:space="0"/>
            </w:tcBorders>
            <w:vAlign w:val="center"/>
          </w:tcPr>
          <w:p w14:paraId="1E724F04">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食品检测特种作业车</w:t>
            </w:r>
          </w:p>
        </w:tc>
        <w:tc>
          <w:tcPr>
            <w:tcW w:w="2786" w:type="pct"/>
            <w:tcBorders>
              <w:top w:val="single" w:color="auto" w:sz="4" w:space="0"/>
              <w:left w:val="single" w:color="auto" w:sz="4" w:space="0"/>
              <w:bottom w:val="single" w:color="auto" w:sz="4" w:space="0"/>
              <w:right w:val="single" w:color="auto" w:sz="4" w:space="0"/>
            </w:tcBorders>
          </w:tcPr>
          <w:p w14:paraId="2BDD3138">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1.核载成员5人</w:t>
            </w:r>
          </w:p>
          <w:p w14:paraId="5FB5F946">
            <w:pPr>
              <w:spacing w:line="240" w:lineRule="auto"/>
              <w:ind w:firstLine="0" w:firstLineChars="0"/>
              <w:jc w:val="left"/>
              <w:rPr>
                <w:rFonts w:hint="default" w:ascii="宋体" w:hAnsi="宋体" w:eastAsia="宋体" w:cs="宋体"/>
                <w:sz w:val="24"/>
                <w:szCs w:val="24"/>
                <w:lang w:val="en-US" w:eastAsia="zh-CN"/>
              </w:rPr>
            </w:pPr>
            <w:r>
              <w:rPr>
                <w:rFonts w:hint="eastAsia" w:ascii="宋体" w:hAnsi="宋体" w:eastAsia="宋体" w:cs="宋体"/>
                <w:sz w:val="24"/>
                <w:szCs w:val="24"/>
              </w:rPr>
              <w:t>2.整车尺寸＜5800×2100×2700</w:t>
            </w:r>
            <w:r>
              <w:rPr>
                <w:rFonts w:hint="eastAsia" w:ascii="宋体" w:hAnsi="宋体" w:eastAsia="宋体" w:cs="宋体"/>
                <w:sz w:val="24"/>
                <w:szCs w:val="24"/>
                <w:lang w:val="en-US" w:eastAsia="zh-CN"/>
              </w:rPr>
              <w:t>mm</w:t>
            </w:r>
          </w:p>
          <w:p w14:paraId="6328DAA7">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3.车厢内高＞1600mm</w:t>
            </w:r>
          </w:p>
          <w:p w14:paraId="31592BE9">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4.车身主体为白色，车辆正、后、侧部均应喷绘有统一标识的警示彩条，车门喷绘有“山东大学”字样</w:t>
            </w:r>
          </w:p>
          <w:p w14:paraId="44F64B0F">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5.左前司机门，右侧副驾门及乘员门，尾门(双开门，设置后上车踏脚板)，驾乘区与检测区设独立隔离门</w:t>
            </w:r>
          </w:p>
          <w:p w14:paraId="37AA47E1">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6.司机位座椅可前后、升降调整</w:t>
            </w:r>
          </w:p>
          <w:p w14:paraId="1A945CE1">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7.内置冷暖空调</w:t>
            </w:r>
          </w:p>
          <w:p w14:paraId="6C3028A3">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8.驾驶台嵌入式安装原厂集触控屏幕、倒车雷达、倒车影像一体</w:t>
            </w:r>
          </w:p>
          <w:p w14:paraId="0E93EB4E">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.高清行车记录仪一套，配128GB专用高速内存卡</w:t>
            </w:r>
          </w:p>
          <w:p w14:paraId="0EE365A6">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.检测台</w:t>
            </w:r>
            <w:r>
              <w:rPr>
                <w:rFonts w:hint="eastAsia" w:ascii="宋体" w:hAnsi="宋体" w:eastAsia="宋体" w:cs="宋体"/>
                <w:sz w:val="24"/>
                <w:szCs w:val="24"/>
                <w:lang w:eastAsia="zh-CN"/>
              </w:rPr>
              <w:t>、</w:t>
            </w:r>
            <w:r>
              <w:rPr>
                <w:rFonts w:hint="eastAsia" w:ascii="宋体" w:hAnsi="宋体" w:eastAsia="宋体" w:cs="宋体"/>
                <w:sz w:val="24"/>
                <w:szCs w:val="24"/>
              </w:rPr>
              <w:t>插座（≥4 个）、给排水、水槽、空调、换气扇、照明灯（≥300lux）、仪器固定架、储物柜、灭火器（1kg、2 个）、安全锤（2 个）、检测区车窗遮光帘、办公椅、座椅（2 人座）、脚踏式垃圾桶、可摇摆水咀</w:t>
            </w:r>
            <w:r>
              <w:rPr>
                <w:rFonts w:hint="eastAsia" w:ascii="宋体" w:hAnsi="宋体" w:eastAsia="宋体" w:cs="宋体"/>
                <w:sz w:val="24"/>
                <w:szCs w:val="24"/>
                <w:lang w:eastAsia="zh-CN"/>
              </w:rPr>
              <w:t>、车载冰箱</w:t>
            </w:r>
            <w:r>
              <w:rPr>
                <w:rFonts w:hint="eastAsia" w:ascii="宋体" w:hAnsi="宋体" w:eastAsia="宋体" w:cs="宋体"/>
                <w:sz w:val="24"/>
                <w:szCs w:val="24"/>
              </w:rPr>
              <w:t>等</w:t>
            </w:r>
          </w:p>
          <w:p w14:paraId="44BF5351">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.驾驶乘坐区与实验区，隔断门及观察窗，防水、阻燃、耐腐蚀、防紫外线</w:t>
            </w:r>
          </w:p>
          <w:p w14:paraId="7AEC253C">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.地面铺设灰色石英砂材质地板革,按车厢实际尺寸铺设，地板应防滑、耐酸碱腐蚀、整体无拼接、外表面平整光洁，其颜色与内饰协调一致</w:t>
            </w:r>
          </w:p>
          <w:p w14:paraId="505D74B1">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.电子可调大灯+前雾灯/遥控锁/倒车雷达/前后保险杠/车身同色后视镜防炫目内后视镜/高位制动灯/电子防盗功能</w:t>
            </w:r>
          </w:p>
          <w:p w14:paraId="2C529AEB">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.电气系统包括配电箱、电源开关、电源防雷系统、逆变器等</w:t>
            </w:r>
          </w:p>
          <w:p w14:paraId="780E036F">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.整车主要配置：HHC、EPB电子驻车、前后雷达、可视高清倒车影像</w:t>
            </w:r>
          </w:p>
          <w:p w14:paraId="4CA69FE7">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.动力配置：电池容量≥</w:t>
            </w:r>
            <w:r>
              <w:rPr>
                <w:rFonts w:hint="eastAsia" w:ascii="宋体" w:hAnsi="宋体" w:eastAsia="宋体" w:cs="宋体"/>
                <w:sz w:val="24"/>
                <w:szCs w:val="24"/>
                <w:lang w:val="en-US" w:eastAsia="zh-CN"/>
              </w:rPr>
              <w:t>50</w:t>
            </w:r>
            <w:r>
              <w:rPr>
                <w:rFonts w:hint="eastAsia" w:ascii="宋体" w:hAnsi="宋体" w:eastAsia="宋体" w:cs="宋体"/>
                <w:sz w:val="24"/>
                <w:szCs w:val="24"/>
              </w:rPr>
              <w:t>kWh、综合续驶里程≥</w:t>
            </w:r>
            <w:r>
              <w:rPr>
                <w:rFonts w:hint="eastAsia" w:ascii="宋体" w:hAnsi="宋体" w:eastAsia="宋体" w:cs="宋体"/>
                <w:sz w:val="24"/>
                <w:szCs w:val="24"/>
                <w:lang w:val="en-US" w:eastAsia="zh-CN"/>
              </w:rPr>
              <w:t>3</w:t>
            </w:r>
            <w:r>
              <w:rPr>
                <w:rFonts w:hint="eastAsia" w:ascii="宋体" w:hAnsi="宋体" w:eastAsia="宋体" w:cs="宋体"/>
                <w:sz w:val="24"/>
                <w:szCs w:val="24"/>
              </w:rPr>
              <w:t>00km</w:t>
            </w:r>
          </w:p>
          <w:p w14:paraId="5D14743E">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7</w:t>
            </w:r>
            <w:r>
              <w:rPr>
                <w:rFonts w:hint="eastAsia" w:ascii="宋体" w:hAnsi="宋体" w:eastAsia="宋体" w:cs="宋体"/>
                <w:sz w:val="24"/>
                <w:szCs w:val="24"/>
              </w:rPr>
              <w:t>.随车工具及附件：充电桩1组（含安装</w:t>
            </w:r>
          </w:p>
          <w:p w14:paraId="2F512E05">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费、充电桩至配电箱约70米线缆，线缆规格满足使用，根据采购人要求地点安装）</w:t>
            </w:r>
          </w:p>
          <w:p w14:paraId="649B4D25">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.投标报价须包含托运费、临时牌照及车</w:t>
            </w:r>
          </w:p>
          <w:p w14:paraId="585F4C22">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辆上牌所需交纳的相关费用（不包含车辆保险费用及购置税）</w:t>
            </w:r>
          </w:p>
          <w:p w14:paraId="224E0C5E">
            <w:pPr>
              <w:spacing w:line="240" w:lineRule="auto"/>
              <w:ind w:firstLine="0" w:firstLineChars="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19</w:t>
            </w:r>
            <w:r>
              <w:rPr>
                <w:rFonts w:hint="eastAsia" w:ascii="宋体" w:hAnsi="宋体" w:eastAsia="宋体" w:cs="宋体"/>
                <w:sz w:val="24"/>
                <w:szCs w:val="24"/>
              </w:rPr>
              <w:t>.</w:t>
            </w:r>
            <w:r>
              <w:rPr>
                <w:rFonts w:hint="eastAsia" w:ascii="宋体" w:hAnsi="宋体" w:eastAsia="宋体" w:cs="宋体"/>
                <w:sz w:val="24"/>
                <w:szCs w:val="24"/>
                <w:lang w:val="en-US" w:eastAsia="zh-CN"/>
              </w:rPr>
              <w:t>改造后</w:t>
            </w:r>
            <w:r>
              <w:rPr>
                <w:rFonts w:hint="eastAsia" w:ascii="宋体" w:hAnsi="宋体" w:eastAsia="宋体" w:cs="宋体"/>
                <w:sz w:val="24"/>
                <w:szCs w:val="24"/>
              </w:rPr>
              <w:t>专用车</w:t>
            </w:r>
            <w:r>
              <w:rPr>
                <w:rFonts w:hint="eastAsia" w:ascii="宋体" w:hAnsi="宋体" w:eastAsia="宋体" w:cs="宋体"/>
                <w:sz w:val="24"/>
                <w:szCs w:val="24"/>
                <w:lang w:val="en-US" w:eastAsia="zh-CN"/>
              </w:rPr>
              <w:t>车型</w:t>
            </w:r>
            <w:r>
              <w:rPr>
                <w:rFonts w:hint="eastAsia" w:ascii="宋体" w:hAnsi="宋体" w:eastAsia="宋体" w:cs="宋体"/>
                <w:sz w:val="24"/>
                <w:szCs w:val="24"/>
              </w:rPr>
              <w:t>在工信部公告</w:t>
            </w:r>
            <w:r>
              <w:rPr>
                <w:rFonts w:hint="eastAsia" w:ascii="宋体" w:hAnsi="宋体" w:eastAsia="宋体" w:cs="宋体"/>
                <w:sz w:val="24"/>
                <w:szCs w:val="24"/>
                <w:lang w:val="en-US" w:eastAsia="zh-CN"/>
              </w:rPr>
              <w:t>备案、取得合格证并确保车辆上牌</w:t>
            </w:r>
          </w:p>
        </w:tc>
        <w:tc>
          <w:tcPr>
            <w:tcW w:w="462" w:type="pct"/>
            <w:tcBorders>
              <w:top w:val="single" w:color="auto" w:sz="4" w:space="0"/>
              <w:left w:val="single" w:color="auto" w:sz="4" w:space="0"/>
              <w:bottom w:val="single" w:color="auto" w:sz="4" w:space="0"/>
              <w:right w:val="single" w:color="auto" w:sz="4" w:space="0"/>
            </w:tcBorders>
            <w:vAlign w:val="center"/>
          </w:tcPr>
          <w:p w14:paraId="273D49AB">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525" w:type="pct"/>
            <w:tcBorders>
              <w:top w:val="single" w:color="auto" w:sz="4" w:space="0"/>
              <w:left w:val="single" w:color="auto" w:sz="4" w:space="0"/>
              <w:bottom w:val="single" w:color="auto" w:sz="4" w:space="0"/>
              <w:right w:val="single" w:color="auto" w:sz="4" w:space="0"/>
            </w:tcBorders>
            <w:vAlign w:val="center"/>
          </w:tcPr>
          <w:p w14:paraId="753FDE97">
            <w:pPr>
              <w:spacing w:line="240" w:lineRule="auto"/>
              <w:ind w:firstLine="0" w:firstLineChars="0"/>
              <w:jc w:val="center"/>
              <w:rPr>
                <w:rFonts w:hint="eastAsia" w:ascii="宋体" w:hAnsi="宋体" w:eastAsia="宋体" w:cs="宋体"/>
                <w:sz w:val="24"/>
                <w:szCs w:val="24"/>
              </w:rPr>
            </w:pPr>
          </w:p>
        </w:tc>
      </w:tr>
    </w:tbl>
    <w:p w14:paraId="6D1A1B93">
      <w:pPr>
        <w:spacing w:line="240" w:lineRule="auto"/>
        <w:rPr>
          <w:rFonts w:hint="eastAsia" w:ascii="宋体" w:hAnsi="宋体" w:eastAsia="宋体" w:cs="宋体"/>
          <w:b/>
          <w:bCs/>
          <w:sz w:val="24"/>
          <w:szCs w:val="24"/>
        </w:rPr>
      </w:pPr>
      <w:r>
        <w:rPr>
          <w:rFonts w:hint="eastAsia" w:ascii="宋体" w:hAnsi="宋体" w:eastAsia="宋体" w:cs="宋体"/>
          <w:b/>
          <w:bCs/>
          <w:sz w:val="24"/>
          <w:szCs w:val="24"/>
          <w:lang w:eastAsia="zh-CN"/>
        </w:rPr>
        <w:t>注：</w:t>
      </w:r>
      <w:r>
        <w:rPr>
          <w:rFonts w:hint="eastAsia" w:ascii="宋体" w:hAnsi="宋体" w:eastAsia="宋体" w:cs="宋体"/>
          <w:b/>
          <w:bCs/>
          <w:sz w:val="24"/>
          <w:szCs w:val="24"/>
        </w:rPr>
        <w:t>采购标的需执行的国家相关标准、行业标准、地方标准或者其他标准、规范</w:t>
      </w:r>
    </w:p>
    <w:p w14:paraId="356E67CE">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18384电动汽车安全要求</w:t>
      </w:r>
    </w:p>
    <w:p w14:paraId="6F97B8ED">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38031电动汽车用动力蓄电池安全要求</w:t>
      </w:r>
    </w:p>
    <w:p w14:paraId="10A76DA7">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GB/T 29471食品安全检测移动实验室通用技术规范</w:t>
      </w:r>
    </w:p>
    <w:p w14:paraId="54DE97D9">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GB/T 29477移动实验室实验舱通用技术规范</w:t>
      </w:r>
    </w:p>
    <w:p w14:paraId="0BC609F6">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GB/T29478 移动实验室有害废物管理规范</w:t>
      </w:r>
    </w:p>
    <w:p w14:paraId="5589255C">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DB41/T2849食品快速检测通用技术规范</w:t>
      </w:r>
    </w:p>
    <w:p w14:paraId="5F7CEF32">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1589汽车、挂车及汽车列车外廓尺寸、轴荷及质量限值</w:t>
      </w:r>
    </w:p>
    <w:p w14:paraId="66BADFD4">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7258机动车运行安全技术条件</w:t>
      </w:r>
    </w:p>
    <w:p w14:paraId="29702E0C">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24820实验室家具通用技术条件</w:t>
      </w:r>
    </w:p>
    <w:p w14:paraId="296DD7FC">
      <w:pPr>
        <w:ind w:left="0" w:leftChars="0" w:firstLine="0" w:firstLineChars="0"/>
        <w:rPr>
          <w:rFonts w:hint="eastAsia" w:ascii="宋体" w:hAnsi="宋体" w:eastAsia="宋体" w:cs="宋体"/>
          <w:sz w:val="24"/>
          <w:szCs w:val="24"/>
        </w:rPr>
      </w:pPr>
    </w:p>
    <w:p w14:paraId="2A3D9B07">
      <w:pPr>
        <w:rPr>
          <w:rFonts w:hint="eastAsia" w:ascii="宋体" w:hAnsi="宋体" w:eastAsia="宋体" w:cs="宋体"/>
          <w:b/>
          <w:bCs/>
          <w:sz w:val="24"/>
          <w:szCs w:val="24"/>
        </w:rPr>
      </w:pPr>
    </w:p>
    <w:p w14:paraId="08995565">
      <w:pPr>
        <w:rPr>
          <w:rFonts w:hint="eastAsia" w:ascii="宋体" w:hAnsi="宋体" w:eastAsia="宋体" w:cs="宋体"/>
          <w:b/>
          <w:bCs/>
          <w:sz w:val="24"/>
          <w:szCs w:val="24"/>
        </w:rPr>
      </w:pPr>
      <w:r>
        <w:rPr>
          <w:rFonts w:hint="eastAsia" w:ascii="宋体" w:hAnsi="宋体" w:eastAsia="宋体" w:cs="宋体"/>
          <w:b/>
          <w:bCs/>
          <w:sz w:val="24"/>
          <w:szCs w:val="24"/>
        </w:rPr>
        <w:br w:type="page"/>
      </w:r>
    </w:p>
    <w:p w14:paraId="77AB2182">
      <w:pPr>
        <w:spacing w:line="24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（二）商务要求</w:t>
      </w:r>
    </w:p>
    <w:p w14:paraId="7B317C8C">
      <w:pPr>
        <w:spacing w:line="240" w:lineRule="auto"/>
        <w:ind w:left="0" w:lef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商务条款响应一览表</w:t>
      </w:r>
    </w:p>
    <w:tbl>
      <w:tblPr>
        <w:tblStyle w:val="12"/>
        <w:tblW w:w="865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98"/>
        <w:gridCol w:w="1688"/>
        <w:gridCol w:w="6270"/>
      </w:tblGrid>
      <w:tr w14:paraId="25E399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698" w:type="dxa"/>
            <w:tcBorders>
              <w:top w:val="single" w:color="auto" w:sz="4" w:space="0"/>
              <w:left w:val="single" w:color="auto" w:sz="4" w:space="0"/>
              <w:bottom w:val="single" w:color="auto" w:sz="4" w:space="0"/>
              <w:right w:val="single" w:color="auto" w:sz="4" w:space="0"/>
            </w:tcBorders>
            <w:vAlign w:val="center"/>
          </w:tcPr>
          <w:p w14:paraId="46CDD10B">
            <w:pPr>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688" w:type="dxa"/>
            <w:tcBorders>
              <w:top w:val="single" w:color="auto" w:sz="4" w:space="0"/>
              <w:left w:val="single" w:color="auto" w:sz="4" w:space="0"/>
              <w:bottom w:val="single" w:color="auto" w:sz="4" w:space="0"/>
              <w:right w:val="single" w:color="auto" w:sz="4" w:space="0"/>
            </w:tcBorders>
            <w:vAlign w:val="center"/>
          </w:tcPr>
          <w:p w14:paraId="60D9748D">
            <w:pPr>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6270" w:type="dxa"/>
            <w:tcBorders>
              <w:top w:val="single" w:color="auto" w:sz="4" w:space="0"/>
              <w:left w:val="single" w:color="auto" w:sz="4" w:space="0"/>
              <w:bottom w:val="single" w:color="auto" w:sz="4" w:space="0"/>
              <w:right w:val="single" w:color="auto" w:sz="4" w:space="0"/>
            </w:tcBorders>
            <w:vAlign w:val="center"/>
          </w:tcPr>
          <w:p w14:paraId="11593219">
            <w:pPr>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采购人要求</w:t>
            </w:r>
          </w:p>
        </w:tc>
      </w:tr>
      <w:tr w14:paraId="48AD9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98" w:type="dxa"/>
            <w:tcBorders>
              <w:top w:val="single" w:color="auto" w:sz="4" w:space="0"/>
              <w:left w:val="single" w:color="auto" w:sz="4" w:space="0"/>
              <w:bottom w:val="single" w:color="auto" w:sz="4" w:space="0"/>
              <w:right w:val="single" w:color="auto" w:sz="4" w:space="0"/>
            </w:tcBorders>
            <w:vAlign w:val="center"/>
          </w:tcPr>
          <w:p w14:paraId="2789D0AB">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w:t>
            </w:r>
          </w:p>
        </w:tc>
        <w:tc>
          <w:tcPr>
            <w:tcW w:w="1688" w:type="dxa"/>
            <w:tcBorders>
              <w:top w:val="single" w:color="auto" w:sz="4" w:space="0"/>
              <w:left w:val="single" w:color="auto" w:sz="4" w:space="0"/>
              <w:bottom w:val="single" w:color="auto" w:sz="4" w:space="0"/>
              <w:right w:val="single" w:color="auto" w:sz="4" w:space="0"/>
            </w:tcBorders>
            <w:vAlign w:val="center"/>
          </w:tcPr>
          <w:p w14:paraId="6D16EA6A">
            <w:pPr>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成交价</w:t>
            </w:r>
          </w:p>
        </w:tc>
        <w:tc>
          <w:tcPr>
            <w:tcW w:w="6270" w:type="dxa"/>
            <w:tcBorders>
              <w:top w:val="single" w:color="auto" w:sz="4" w:space="0"/>
              <w:left w:val="single" w:color="auto" w:sz="4" w:space="0"/>
              <w:bottom w:val="single" w:color="auto" w:sz="4" w:space="0"/>
              <w:right w:val="single" w:color="auto" w:sz="4" w:space="0"/>
            </w:tcBorders>
            <w:vAlign w:val="center"/>
          </w:tcPr>
          <w:p w14:paraId="6203D920">
            <w:pPr>
              <w:spacing w:line="240" w:lineRule="auto"/>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人民币</w:t>
            </w:r>
          </w:p>
        </w:tc>
      </w:tr>
      <w:tr w14:paraId="24C74F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698" w:type="dxa"/>
            <w:tcBorders>
              <w:top w:val="single" w:color="auto" w:sz="4" w:space="0"/>
              <w:left w:val="single" w:color="auto" w:sz="4" w:space="0"/>
              <w:bottom w:val="single" w:color="auto" w:sz="4" w:space="0"/>
              <w:right w:val="single" w:color="auto" w:sz="4" w:space="0"/>
            </w:tcBorders>
            <w:vAlign w:val="center"/>
          </w:tcPr>
          <w:p w14:paraId="46A9A614">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w:t>
            </w:r>
          </w:p>
        </w:tc>
        <w:tc>
          <w:tcPr>
            <w:tcW w:w="1688" w:type="dxa"/>
            <w:tcBorders>
              <w:top w:val="single" w:color="auto" w:sz="4" w:space="0"/>
              <w:left w:val="single" w:color="auto" w:sz="4" w:space="0"/>
              <w:bottom w:val="single" w:color="auto" w:sz="4" w:space="0"/>
              <w:right w:val="single" w:color="auto" w:sz="4" w:space="0"/>
            </w:tcBorders>
            <w:vAlign w:val="center"/>
          </w:tcPr>
          <w:p w14:paraId="75551E56">
            <w:pPr>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交货时间</w:t>
            </w:r>
          </w:p>
        </w:tc>
        <w:tc>
          <w:tcPr>
            <w:tcW w:w="6270" w:type="dxa"/>
            <w:tcBorders>
              <w:top w:val="single" w:color="auto" w:sz="4" w:space="0"/>
              <w:left w:val="single" w:color="auto" w:sz="4" w:space="0"/>
              <w:bottom w:val="single" w:color="auto" w:sz="4" w:space="0"/>
              <w:right w:val="single" w:color="auto" w:sz="4" w:space="0"/>
            </w:tcBorders>
            <w:vAlign w:val="center"/>
          </w:tcPr>
          <w:p w14:paraId="2185CAF1">
            <w:pPr>
              <w:spacing w:line="240" w:lineRule="auto"/>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合同签订后90日</w:t>
            </w:r>
          </w:p>
        </w:tc>
      </w:tr>
      <w:tr w14:paraId="4799DE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698" w:type="dxa"/>
            <w:tcBorders>
              <w:top w:val="single" w:color="auto" w:sz="4" w:space="0"/>
              <w:left w:val="single" w:color="auto" w:sz="4" w:space="0"/>
              <w:bottom w:val="single" w:color="auto" w:sz="4" w:space="0"/>
              <w:right w:val="single" w:color="auto" w:sz="4" w:space="0"/>
            </w:tcBorders>
            <w:vAlign w:val="center"/>
          </w:tcPr>
          <w:p w14:paraId="0D391476">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w:t>
            </w:r>
          </w:p>
        </w:tc>
        <w:tc>
          <w:tcPr>
            <w:tcW w:w="1688" w:type="dxa"/>
            <w:tcBorders>
              <w:top w:val="single" w:color="auto" w:sz="4" w:space="0"/>
              <w:left w:val="single" w:color="auto" w:sz="4" w:space="0"/>
              <w:bottom w:val="single" w:color="auto" w:sz="4" w:space="0"/>
              <w:right w:val="single" w:color="auto" w:sz="4" w:space="0"/>
            </w:tcBorders>
            <w:vAlign w:val="center"/>
          </w:tcPr>
          <w:p w14:paraId="61D2B926">
            <w:pPr>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付款方式</w:t>
            </w:r>
          </w:p>
        </w:tc>
        <w:tc>
          <w:tcPr>
            <w:tcW w:w="6270" w:type="dxa"/>
            <w:tcBorders>
              <w:top w:val="single" w:color="auto" w:sz="4" w:space="0"/>
              <w:left w:val="single" w:color="auto" w:sz="4" w:space="0"/>
              <w:bottom w:val="single" w:color="auto" w:sz="4" w:space="0"/>
              <w:right w:val="single" w:color="auto" w:sz="4" w:space="0"/>
            </w:tcBorders>
            <w:vAlign w:val="center"/>
          </w:tcPr>
          <w:p w14:paraId="1BB9F287">
            <w:pPr>
              <w:spacing w:line="240" w:lineRule="auto"/>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货到验收合格并安装完毕满足正常使用后付款97%，3%作为质保金，改装质保期结束无质量问题质保金无息退还。</w:t>
            </w:r>
          </w:p>
        </w:tc>
      </w:tr>
      <w:tr w14:paraId="122828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698" w:type="dxa"/>
            <w:tcBorders>
              <w:top w:val="single" w:color="auto" w:sz="4" w:space="0"/>
              <w:left w:val="single" w:color="auto" w:sz="4" w:space="0"/>
              <w:bottom w:val="single" w:color="auto" w:sz="4" w:space="0"/>
              <w:right w:val="single" w:color="auto" w:sz="4" w:space="0"/>
            </w:tcBorders>
            <w:vAlign w:val="center"/>
          </w:tcPr>
          <w:p w14:paraId="74EEAE28">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w:t>
            </w:r>
          </w:p>
        </w:tc>
        <w:tc>
          <w:tcPr>
            <w:tcW w:w="1688" w:type="dxa"/>
            <w:tcBorders>
              <w:top w:val="single" w:color="auto" w:sz="4" w:space="0"/>
              <w:left w:val="single" w:color="auto" w:sz="4" w:space="0"/>
              <w:bottom w:val="single" w:color="auto" w:sz="4" w:space="0"/>
              <w:right w:val="single" w:color="auto" w:sz="4" w:space="0"/>
            </w:tcBorders>
            <w:vAlign w:val="center"/>
          </w:tcPr>
          <w:p w14:paraId="039C2DFE">
            <w:pPr>
              <w:tabs>
                <w:tab w:val="left" w:pos="420"/>
              </w:tabs>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安装验收</w:t>
            </w:r>
          </w:p>
        </w:tc>
        <w:tc>
          <w:tcPr>
            <w:tcW w:w="6270" w:type="dxa"/>
            <w:tcBorders>
              <w:top w:val="single" w:color="auto" w:sz="4" w:space="0"/>
              <w:left w:val="single" w:color="auto" w:sz="4" w:space="0"/>
              <w:bottom w:val="single" w:color="auto" w:sz="4" w:space="0"/>
              <w:right w:val="single" w:color="auto" w:sz="4" w:space="0"/>
            </w:tcBorders>
          </w:tcPr>
          <w:p w14:paraId="199D2DB0">
            <w:pPr>
              <w:spacing w:line="240" w:lineRule="auto"/>
              <w:ind w:left="360" w:hanging="360" w:hangingChars="150"/>
              <w:rPr>
                <w:rFonts w:hint="eastAsia" w:ascii="宋体" w:hAnsi="宋体" w:eastAsia="宋体" w:cs="宋体"/>
                <w:color w:val="000000"/>
                <w:sz w:val="24"/>
                <w:szCs w:val="24"/>
              </w:rPr>
            </w:pPr>
            <w:r>
              <w:rPr>
                <w:rFonts w:hint="eastAsia" w:ascii="宋体" w:hAnsi="宋体" w:eastAsia="宋体" w:cs="宋体"/>
                <w:color w:val="000000"/>
                <w:sz w:val="24"/>
                <w:szCs w:val="24"/>
              </w:rPr>
              <w:t>A．设备验收由专家组和中标人联合在山东大学进行，验收条件按照合同规定执行。验收合格后填写山东大学大型仪器设备验收报告，该验收报告作为支付中标人货款的依据。</w:t>
            </w:r>
          </w:p>
          <w:p w14:paraId="3DEE6632">
            <w:pPr>
              <w:tabs>
                <w:tab w:val="left" w:pos="360"/>
              </w:tabs>
              <w:spacing w:line="240" w:lineRule="auto"/>
              <w:ind w:left="360" w:hanging="360" w:hangingChars="150"/>
              <w:rPr>
                <w:rFonts w:hint="eastAsia" w:ascii="宋体" w:hAnsi="宋体" w:eastAsia="宋体" w:cs="宋体"/>
                <w:color w:val="000000"/>
                <w:sz w:val="24"/>
                <w:szCs w:val="24"/>
              </w:rPr>
            </w:pPr>
            <w:r>
              <w:rPr>
                <w:rFonts w:hint="eastAsia" w:ascii="宋体" w:hAnsi="宋体" w:eastAsia="宋体" w:cs="宋体"/>
                <w:color w:val="000000"/>
                <w:sz w:val="24"/>
                <w:szCs w:val="24"/>
              </w:rPr>
              <w:t>B．对安装有特殊要求的设备，中标人应在合同签订后10个工作日内以书面形式向用户提出安装场地环境要求，用户负责如电源、地线、温度和湿度设备、静电和防尘设备等安装场地的准备。</w:t>
            </w:r>
          </w:p>
          <w:p w14:paraId="7DD35AE9">
            <w:pPr>
              <w:tabs>
                <w:tab w:val="left" w:pos="360"/>
              </w:tabs>
              <w:spacing w:line="240" w:lineRule="auto"/>
              <w:ind w:left="360" w:hanging="360" w:hangingChars="150"/>
              <w:rPr>
                <w:rFonts w:hint="eastAsia" w:ascii="宋体" w:hAnsi="宋体" w:eastAsia="宋体" w:cs="宋体"/>
                <w:color w:val="000000"/>
                <w:sz w:val="24"/>
                <w:szCs w:val="24"/>
              </w:rPr>
            </w:pPr>
            <w:r>
              <w:rPr>
                <w:rFonts w:hint="eastAsia" w:ascii="宋体" w:hAnsi="宋体" w:eastAsia="宋体" w:cs="宋体"/>
                <w:color w:val="000000"/>
                <w:sz w:val="24"/>
                <w:szCs w:val="24"/>
              </w:rPr>
              <w:t>C．中标人应提供各种文档资料和中文电子版说明书以及调试仪器所需要的工具。</w:t>
            </w:r>
          </w:p>
          <w:p w14:paraId="29260FB5">
            <w:pPr>
              <w:tabs>
                <w:tab w:val="left" w:pos="360"/>
              </w:tabs>
              <w:spacing w:line="240" w:lineRule="auto"/>
              <w:ind w:left="360" w:hanging="36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D．中标人派专门人员将仪器安装并调试好，达到说明书技术指标的要求。</w:t>
            </w:r>
          </w:p>
          <w:p w14:paraId="3053992D">
            <w:pPr>
              <w:tabs>
                <w:tab w:val="left" w:pos="360"/>
              </w:tabs>
              <w:spacing w:line="240" w:lineRule="auto"/>
              <w:ind w:left="360" w:hanging="36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E．如验收时货物质量与招标要求有负偏离，供应商需在7日内无条件更换合格设备，并承担相应的法律责任，否则采购方有权解除合同，并要求供应商赔偿损失；供应商提供的资质证明文件若为虚假文件，采购方有权拒收设备，并追究其法律责任。</w:t>
            </w:r>
          </w:p>
        </w:tc>
      </w:tr>
      <w:tr w14:paraId="3DFE67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698" w:type="dxa"/>
            <w:tcBorders>
              <w:top w:val="single" w:color="auto" w:sz="4" w:space="0"/>
              <w:left w:val="single" w:color="auto" w:sz="4" w:space="0"/>
              <w:bottom w:val="single" w:color="auto" w:sz="4" w:space="0"/>
              <w:right w:val="single" w:color="auto" w:sz="4" w:space="0"/>
            </w:tcBorders>
            <w:vAlign w:val="center"/>
          </w:tcPr>
          <w:p w14:paraId="29B9635A">
            <w:pPr>
              <w:spacing w:line="300" w:lineRule="exact"/>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w:t>
            </w:r>
          </w:p>
        </w:tc>
        <w:tc>
          <w:tcPr>
            <w:tcW w:w="1688" w:type="dxa"/>
            <w:tcBorders>
              <w:top w:val="single" w:color="auto" w:sz="4" w:space="0"/>
              <w:left w:val="single" w:color="auto" w:sz="4" w:space="0"/>
              <w:bottom w:val="single" w:color="auto" w:sz="4" w:space="0"/>
              <w:right w:val="single" w:color="auto" w:sz="4" w:space="0"/>
            </w:tcBorders>
            <w:vAlign w:val="center"/>
          </w:tcPr>
          <w:p w14:paraId="48254DAF">
            <w:pPr>
              <w:tabs>
                <w:tab w:val="left" w:pos="420"/>
              </w:tabs>
              <w:spacing w:line="300" w:lineRule="exact"/>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培训</w:t>
            </w:r>
          </w:p>
        </w:tc>
        <w:tc>
          <w:tcPr>
            <w:tcW w:w="6270" w:type="dxa"/>
            <w:tcBorders>
              <w:top w:val="single" w:color="auto" w:sz="4" w:space="0"/>
              <w:left w:val="single" w:color="auto" w:sz="4" w:space="0"/>
              <w:bottom w:val="single" w:color="auto" w:sz="4" w:space="0"/>
              <w:right w:val="single" w:color="auto" w:sz="4" w:space="0"/>
            </w:tcBorders>
          </w:tcPr>
          <w:p w14:paraId="5A22122E">
            <w:pPr>
              <w:spacing w:line="300" w:lineRule="exact"/>
              <w:ind w:left="305" w:hanging="304" w:hangingChars="127"/>
              <w:rPr>
                <w:rFonts w:hint="eastAsia" w:ascii="宋体" w:hAnsi="宋体" w:eastAsia="宋体" w:cs="宋体"/>
                <w:color w:val="000000"/>
                <w:sz w:val="24"/>
                <w:szCs w:val="24"/>
              </w:rPr>
            </w:pPr>
            <w:r>
              <w:rPr>
                <w:rFonts w:hint="eastAsia" w:ascii="宋体" w:hAnsi="宋体" w:eastAsia="宋体" w:cs="宋体"/>
                <w:color w:val="000000"/>
                <w:sz w:val="24"/>
                <w:szCs w:val="24"/>
              </w:rPr>
              <w:t>A．中标人应对用户人员进行技术培训。使其能掌握有关设备的使用、维护和管理等工作要求。</w:t>
            </w:r>
          </w:p>
          <w:p w14:paraId="68206638">
            <w:pPr>
              <w:spacing w:line="300" w:lineRule="exact"/>
              <w:ind w:left="360" w:hanging="360" w:hangingChars="150"/>
              <w:rPr>
                <w:rFonts w:hint="eastAsia" w:ascii="宋体" w:hAnsi="宋体" w:eastAsia="宋体" w:cs="宋体"/>
                <w:color w:val="000000"/>
                <w:sz w:val="24"/>
                <w:szCs w:val="24"/>
              </w:rPr>
            </w:pPr>
            <w:r>
              <w:rPr>
                <w:rFonts w:hint="eastAsia" w:ascii="宋体" w:hAnsi="宋体" w:eastAsia="宋体" w:cs="宋体"/>
                <w:color w:val="000000"/>
                <w:sz w:val="24"/>
                <w:szCs w:val="24"/>
              </w:rPr>
              <w:t>B．及时提供相关领域新技术与新信息，终生提供相关实验室技术咨询（该项费用包含在报价中）。</w:t>
            </w:r>
          </w:p>
        </w:tc>
      </w:tr>
      <w:tr w14:paraId="1D65CF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698" w:type="dxa"/>
            <w:tcBorders>
              <w:top w:val="single" w:color="auto" w:sz="4" w:space="0"/>
              <w:left w:val="single" w:color="auto" w:sz="4" w:space="0"/>
              <w:bottom w:val="single" w:color="auto" w:sz="4" w:space="0"/>
              <w:right w:val="single" w:color="auto" w:sz="4" w:space="0"/>
            </w:tcBorders>
            <w:vAlign w:val="center"/>
          </w:tcPr>
          <w:p w14:paraId="63DC6948">
            <w:pPr>
              <w:spacing w:line="300" w:lineRule="exact"/>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6</w:t>
            </w:r>
          </w:p>
        </w:tc>
        <w:tc>
          <w:tcPr>
            <w:tcW w:w="1688" w:type="dxa"/>
            <w:tcBorders>
              <w:top w:val="single" w:color="auto" w:sz="4" w:space="0"/>
              <w:left w:val="single" w:color="auto" w:sz="4" w:space="0"/>
              <w:bottom w:val="single" w:color="auto" w:sz="4" w:space="0"/>
              <w:right w:val="single" w:color="auto" w:sz="4" w:space="0"/>
            </w:tcBorders>
            <w:vAlign w:val="center"/>
          </w:tcPr>
          <w:p w14:paraId="19BFDEA7">
            <w:pPr>
              <w:spacing w:line="300" w:lineRule="exact"/>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保修与维修</w:t>
            </w:r>
          </w:p>
        </w:tc>
        <w:tc>
          <w:tcPr>
            <w:tcW w:w="6270" w:type="dxa"/>
            <w:tcBorders>
              <w:top w:val="single" w:color="auto" w:sz="4" w:space="0"/>
              <w:left w:val="single" w:color="auto" w:sz="4" w:space="0"/>
              <w:bottom w:val="single" w:color="auto" w:sz="4" w:space="0"/>
              <w:right w:val="single" w:color="auto" w:sz="4" w:space="0"/>
            </w:tcBorders>
          </w:tcPr>
          <w:p w14:paraId="70CD6AEE">
            <w:pPr>
              <w:spacing w:line="300" w:lineRule="exact"/>
              <w:ind w:left="305" w:hanging="304" w:hangingChars="127"/>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A．质保期：底盘质保按制造商售后政策执行，改装部分质保1年</w:t>
            </w:r>
            <w:r>
              <w:rPr>
                <w:rFonts w:hint="eastAsia" w:ascii="宋体" w:hAnsi="宋体" w:eastAsia="宋体" w:cs="宋体"/>
                <w:color w:val="000000"/>
                <w:sz w:val="24"/>
                <w:szCs w:val="24"/>
                <w:lang w:eastAsia="zh-CN"/>
              </w:rPr>
              <w:t>。</w:t>
            </w:r>
          </w:p>
          <w:p w14:paraId="0346EB56">
            <w:pPr>
              <w:spacing w:line="300" w:lineRule="exact"/>
              <w:ind w:left="305" w:hanging="304" w:hangingChars="127"/>
              <w:rPr>
                <w:rFonts w:hint="eastAsia" w:ascii="宋体" w:hAnsi="宋体" w:eastAsia="宋体" w:cs="宋体"/>
                <w:strike/>
                <w:color w:val="000000"/>
                <w:sz w:val="24"/>
                <w:szCs w:val="24"/>
              </w:rPr>
            </w:pPr>
            <w:r>
              <w:rPr>
                <w:rFonts w:hint="eastAsia" w:ascii="宋体" w:hAnsi="宋体" w:eastAsia="宋体" w:cs="宋体"/>
                <w:color w:val="000000"/>
                <w:sz w:val="24"/>
                <w:szCs w:val="24"/>
              </w:rPr>
              <w:t>B．中标人需提供负责售后服务的部门或单位的名称和联系方式。维修响应一般情况下4一8小时，终身维修。一般问题应在1周内解决，重大问题或其它无法迅速解决的问题应在1月内解决或提出明确解决方案，否则中标人应赔偿相应损失。</w:t>
            </w:r>
          </w:p>
          <w:p w14:paraId="52BEE143">
            <w:pPr>
              <w:spacing w:line="300" w:lineRule="exact"/>
              <w:ind w:left="305" w:hanging="304" w:hangingChars="127"/>
              <w:rPr>
                <w:rFonts w:hint="eastAsia" w:ascii="宋体" w:hAnsi="宋体" w:eastAsia="宋体" w:cs="宋体"/>
                <w:color w:val="000000"/>
                <w:sz w:val="24"/>
                <w:szCs w:val="24"/>
              </w:rPr>
            </w:pPr>
            <w:r>
              <w:rPr>
                <w:rFonts w:hint="eastAsia" w:ascii="宋体" w:hAnsi="宋体" w:eastAsia="宋体" w:cs="宋体"/>
                <w:color w:val="000000"/>
                <w:sz w:val="24"/>
                <w:szCs w:val="24"/>
              </w:rPr>
              <w:t>C．投标人必须列明保修期后的各项收费标准，需购买的附件和零配件的价格应按主机合同的折扣率给予优惠。</w:t>
            </w:r>
          </w:p>
          <w:p w14:paraId="75446AA4">
            <w:pPr>
              <w:spacing w:line="300" w:lineRule="exact"/>
              <w:ind w:left="305" w:hanging="304" w:hangingChars="127"/>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D.仪器中的软件享受终身升级(该项费用包含在报价中)</w:t>
            </w:r>
            <w:r>
              <w:rPr>
                <w:rFonts w:hint="eastAsia" w:ascii="宋体" w:hAnsi="宋体" w:eastAsia="宋体" w:cs="宋体"/>
                <w:color w:val="000000"/>
                <w:sz w:val="24"/>
                <w:szCs w:val="24"/>
                <w:lang w:eastAsia="zh-CN"/>
              </w:rPr>
              <w:t>。</w:t>
            </w:r>
          </w:p>
          <w:p w14:paraId="0306227D">
            <w:pPr>
              <w:spacing w:line="300" w:lineRule="exact"/>
              <w:ind w:left="305" w:hanging="304" w:hangingChars="127"/>
              <w:rPr>
                <w:rFonts w:hint="eastAsia" w:ascii="宋体" w:hAnsi="宋体" w:eastAsia="宋体" w:cs="宋体"/>
                <w:color w:val="000000"/>
                <w:sz w:val="24"/>
                <w:szCs w:val="24"/>
              </w:rPr>
            </w:pPr>
            <w:r>
              <w:rPr>
                <w:rFonts w:hint="eastAsia" w:ascii="宋体" w:hAnsi="宋体" w:eastAsia="宋体" w:cs="宋体"/>
                <w:color w:val="000000"/>
                <w:sz w:val="24"/>
                <w:szCs w:val="24"/>
              </w:rPr>
              <w:t>E.质保期内，若设备出现非人为故障，供应商未按要求及时处理，每逾期1天，按合同总金额的0.1%支付违约金。</w:t>
            </w:r>
            <w:bookmarkStart w:id="0" w:name="_GoBack"/>
            <w:bookmarkEnd w:id="0"/>
          </w:p>
        </w:tc>
      </w:tr>
    </w:tbl>
    <w:p w14:paraId="60E09A85">
      <w:pPr>
        <w:ind w:left="0" w:leftChars="0" w:firstLine="0" w:firstLineChars="0"/>
        <w:rPr>
          <w:rFonts w:hint="eastAsia" w:ascii="宋体" w:hAnsi="宋体" w:eastAsia="宋体" w:cs="宋体"/>
          <w:sz w:val="24"/>
          <w:szCs w:val="24"/>
          <w:lang w:eastAsia="zh-CN"/>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A2ED5">
    <w:pPr>
      <w:pStyle w:val="8"/>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49785">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1149785">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10346A"/>
    <w:rsid w:val="00014877"/>
    <w:rsid w:val="00107F51"/>
    <w:rsid w:val="00187FB5"/>
    <w:rsid w:val="01722086"/>
    <w:rsid w:val="01864C69"/>
    <w:rsid w:val="0208692A"/>
    <w:rsid w:val="02105937"/>
    <w:rsid w:val="027779FF"/>
    <w:rsid w:val="029A4ABB"/>
    <w:rsid w:val="031459D0"/>
    <w:rsid w:val="037A7FC6"/>
    <w:rsid w:val="042968D4"/>
    <w:rsid w:val="04EB264D"/>
    <w:rsid w:val="04FA2C4D"/>
    <w:rsid w:val="05094BC0"/>
    <w:rsid w:val="055869F3"/>
    <w:rsid w:val="05A20CE2"/>
    <w:rsid w:val="060B4770"/>
    <w:rsid w:val="0618640F"/>
    <w:rsid w:val="065057E0"/>
    <w:rsid w:val="082068BB"/>
    <w:rsid w:val="082B31B8"/>
    <w:rsid w:val="08B16E7B"/>
    <w:rsid w:val="09076941"/>
    <w:rsid w:val="0913450E"/>
    <w:rsid w:val="097255CA"/>
    <w:rsid w:val="09C16841"/>
    <w:rsid w:val="09D142C1"/>
    <w:rsid w:val="0A840C61"/>
    <w:rsid w:val="0AE359BC"/>
    <w:rsid w:val="0B1D5A27"/>
    <w:rsid w:val="0B32516C"/>
    <w:rsid w:val="0B58407D"/>
    <w:rsid w:val="0B7618F2"/>
    <w:rsid w:val="0BC37096"/>
    <w:rsid w:val="0C97522D"/>
    <w:rsid w:val="0CC765B1"/>
    <w:rsid w:val="0CC77D60"/>
    <w:rsid w:val="0D9A4CD8"/>
    <w:rsid w:val="0D9F1B48"/>
    <w:rsid w:val="0DD904E7"/>
    <w:rsid w:val="0E4002F1"/>
    <w:rsid w:val="0E8F7900"/>
    <w:rsid w:val="0E987BC3"/>
    <w:rsid w:val="0EFB58EA"/>
    <w:rsid w:val="0F59158D"/>
    <w:rsid w:val="0FDC426E"/>
    <w:rsid w:val="103E5D2F"/>
    <w:rsid w:val="104F387A"/>
    <w:rsid w:val="108F3CD9"/>
    <w:rsid w:val="10D64D5C"/>
    <w:rsid w:val="10DD0EA7"/>
    <w:rsid w:val="1125479F"/>
    <w:rsid w:val="1171089E"/>
    <w:rsid w:val="11932F02"/>
    <w:rsid w:val="11A77306"/>
    <w:rsid w:val="123918DC"/>
    <w:rsid w:val="125211DF"/>
    <w:rsid w:val="127B7650"/>
    <w:rsid w:val="12E67807"/>
    <w:rsid w:val="1352048D"/>
    <w:rsid w:val="138E6A50"/>
    <w:rsid w:val="13C539D9"/>
    <w:rsid w:val="149F5C2A"/>
    <w:rsid w:val="14B616EB"/>
    <w:rsid w:val="14BB54CD"/>
    <w:rsid w:val="14E4280C"/>
    <w:rsid w:val="14F9711F"/>
    <w:rsid w:val="150A7FF0"/>
    <w:rsid w:val="151E5583"/>
    <w:rsid w:val="15211F63"/>
    <w:rsid w:val="15303D84"/>
    <w:rsid w:val="15352419"/>
    <w:rsid w:val="155722FF"/>
    <w:rsid w:val="159272D9"/>
    <w:rsid w:val="15A5483F"/>
    <w:rsid w:val="1692405F"/>
    <w:rsid w:val="16A13BDE"/>
    <w:rsid w:val="1708075F"/>
    <w:rsid w:val="183A1EC4"/>
    <w:rsid w:val="18D168C7"/>
    <w:rsid w:val="18FE6C33"/>
    <w:rsid w:val="190633A8"/>
    <w:rsid w:val="19AB6511"/>
    <w:rsid w:val="19BF2F21"/>
    <w:rsid w:val="19C67379"/>
    <w:rsid w:val="1A40342D"/>
    <w:rsid w:val="1A5067D4"/>
    <w:rsid w:val="1AEA6958"/>
    <w:rsid w:val="1AF45D59"/>
    <w:rsid w:val="1B002A8F"/>
    <w:rsid w:val="1B1B672A"/>
    <w:rsid w:val="1B2503B3"/>
    <w:rsid w:val="1B2C4819"/>
    <w:rsid w:val="1B81457B"/>
    <w:rsid w:val="1B966F1A"/>
    <w:rsid w:val="1BBB297E"/>
    <w:rsid w:val="1BD36D90"/>
    <w:rsid w:val="1CCE6C9E"/>
    <w:rsid w:val="1CD277DE"/>
    <w:rsid w:val="1CE07EA7"/>
    <w:rsid w:val="1D0213A9"/>
    <w:rsid w:val="1D540AFD"/>
    <w:rsid w:val="1D803678"/>
    <w:rsid w:val="1D947315"/>
    <w:rsid w:val="1DD65B22"/>
    <w:rsid w:val="1E0B5B62"/>
    <w:rsid w:val="1E1420D6"/>
    <w:rsid w:val="1E943953"/>
    <w:rsid w:val="1F2F46E8"/>
    <w:rsid w:val="1F663FC7"/>
    <w:rsid w:val="1FF63823"/>
    <w:rsid w:val="201E60AC"/>
    <w:rsid w:val="20322611"/>
    <w:rsid w:val="20652E7D"/>
    <w:rsid w:val="20907B80"/>
    <w:rsid w:val="20954636"/>
    <w:rsid w:val="209E7711"/>
    <w:rsid w:val="20D16233"/>
    <w:rsid w:val="20D96B23"/>
    <w:rsid w:val="211A4B0C"/>
    <w:rsid w:val="21587019"/>
    <w:rsid w:val="22047FDC"/>
    <w:rsid w:val="220E39AD"/>
    <w:rsid w:val="227F5DDF"/>
    <w:rsid w:val="229040EB"/>
    <w:rsid w:val="22D63784"/>
    <w:rsid w:val="22E00101"/>
    <w:rsid w:val="2358693D"/>
    <w:rsid w:val="235A7D5E"/>
    <w:rsid w:val="236A5EB2"/>
    <w:rsid w:val="257806A4"/>
    <w:rsid w:val="25B55E88"/>
    <w:rsid w:val="26860AF8"/>
    <w:rsid w:val="26F946EF"/>
    <w:rsid w:val="27454323"/>
    <w:rsid w:val="276724B2"/>
    <w:rsid w:val="27AE17AE"/>
    <w:rsid w:val="27B065D9"/>
    <w:rsid w:val="27EC3203"/>
    <w:rsid w:val="28497CE9"/>
    <w:rsid w:val="287E5D51"/>
    <w:rsid w:val="28853958"/>
    <w:rsid w:val="2899220D"/>
    <w:rsid w:val="28F36F96"/>
    <w:rsid w:val="29083185"/>
    <w:rsid w:val="291218A3"/>
    <w:rsid w:val="292F2F3C"/>
    <w:rsid w:val="293B132E"/>
    <w:rsid w:val="29B660AF"/>
    <w:rsid w:val="29E62ED5"/>
    <w:rsid w:val="29EF48F6"/>
    <w:rsid w:val="2A5B35EC"/>
    <w:rsid w:val="2AB6061E"/>
    <w:rsid w:val="2B0C566F"/>
    <w:rsid w:val="2B1A015B"/>
    <w:rsid w:val="2B261739"/>
    <w:rsid w:val="2B673557"/>
    <w:rsid w:val="2B7427ED"/>
    <w:rsid w:val="2BCF662B"/>
    <w:rsid w:val="2C0D6332"/>
    <w:rsid w:val="2CBA36ED"/>
    <w:rsid w:val="2CDB0A3F"/>
    <w:rsid w:val="2D2D582E"/>
    <w:rsid w:val="2E3547B2"/>
    <w:rsid w:val="2E3B5A0D"/>
    <w:rsid w:val="2E6424E2"/>
    <w:rsid w:val="2E783031"/>
    <w:rsid w:val="2EB9037F"/>
    <w:rsid w:val="2EEB4B42"/>
    <w:rsid w:val="2F0927B5"/>
    <w:rsid w:val="2F09696A"/>
    <w:rsid w:val="2F6623A2"/>
    <w:rsid w:val="2F9C7562"/>
    <w:rsid w:val="2FBC1453"/>
    <w:rsid w:val="3018551A"/>
    <w:rsid w:val="302741E5"/>
    <w:rsid w:val="30FA1725"/>
    <w:rsid w:val="314C1540"/>
    <w:rsid w:val="31C763A2"/>
    <w:rsid w:val="32AD063B"/>
    <w:rsid w:val="32CF7C6A"/>
    <w:rsid w:val="32D7003E"/>
    <w:rsid w:val="32DC1712"/>
    <w:rsid w:val="32DE6B39"/>
    <w:rsid w:val="333B167A"/>
    <w:rsid w:val="33576006"/>
    <w:rsid w:val="33CE2588"/>
    <w:rsid w:val="34032B6D"/>
    <w:rsid w:val="341F3636"/>
    <w:rsid w:val="342B05CE"/>
    <w:rsid w:val="34334935"/>
    <w:rsid w:val="34336B72"/>
    <w:rsid w:val="3478118C"/>
    <w:rsid w:val="34917046"/>
    <w:rsid w:val="34A55CAF"/>
    <w:rsid w:val="34DA04A1"/>
    <w:rsid w:val="356D49D0"/>
    <w:rsid w:val="36C45BF0"/>
    <w:rsid w:val="36E32A61"/>
    <w:rsid w:val="374304CC"/>
    <w:rsid w:val="37563922"/>
    <w:rsid w:val="375C419C"/>
    <w:rsid w:val="3776067E"/>
    <w:rsid w:val="379B7260"/>
    <w:rsid w:val="3803313D"/>
    <w:rsid w:val="38081F51"/>
    <w:rsid w:val="38A31458"/>
    <w:rsid w:val="38C75919"/>
    <w:rsid w:val="393E30D3"/>
    <w:rsid w:val="396C36C6"/>
    <w:rsid w:val="398F3FBF"/>
    <w:rsid w:val="39E37447"/>
    <w:rsid w:val="39E77711"/>
    <w:rsid w:val="3A5A3DCE"/>
    <w:rsid w:val="3A5C44DE"/>
    <w:rsid w:val="3A9A3CF3"/>
    <w:rsid w:val="3AA76B24"/>
    <w:rsid w:val="3B3173C8"/>
    <w:rsid w:val="3B691A1F"/>
    <w:rsid w:val="3BDC084C"/>
    <w:rsid w:val="3BFE02EE"/>
    <w:rsid w:val="3C1A2779"/>
    <w:rsid w:val="3C314A4D"/>
    <w:rsid w:val="3C3275E3"/>
    <w:rsid w:val="3C432158"/>
    <w:rsid w:val="3CB30808"/>
    <w:rsid w:val="3CEA6867"/>
    <w:rsid w:val="3CF44DFB"/>
    <w:rsid w:val="3D224BDE"/>
    <w:rsid w:val="3D230748"/>
    <w:rsid w:val="3D3775C9"/>
    <w:rsid w:val="3D385A7A"/>
    <w:rsid w:val="3D3A5A3A"/>
    <w:rsid w:val="3D590F09"/>
    <w:rsid w:val="3D5973AB"/>
    <w:rsid w:val="3D71102F"/>
    <w:rsid w:val="3D76057E"/>
    <w:rsid w:val="3DCA347D"/>
    <w:rsid w:val="3DDF1802"/>
    <w:rsid w:val="3DFB1B0E"/>
    <w:rsid w:val="3E08609E"/>
    <w:rsid w:val="3E100775"/>
    <w:rsid w:val="3F591BA3"/>
    <w:rsid w:val="403326B5"/>
    <w:rsid w:val="40415F5B"/>
    <w:rsid w:val="40B0119D"/>
    <w:rsid w:val="414D52BF"/>
    <w:rsid w:val="418A0727"/>
    <w:rsid w:val="41DF1DC6"/>
    <w:rsid w:val="421074D3"/>
    <w:rsid w:val="422920EC"/>
    <w:rsid w:val="428928DD"/>
    <w:rsid w:val="43456004"/>
    <w:rsid w:val="438D51D7"/>
    <w:rsid w:val="43CD58CE"/>
    <w:rsid w:val="43D53DA6"/>
    <w:rsid w:val="43E202FE"/>
    <w:rsid w:val="43F01942"/>
    <w:rsid w:val="4462579A"/>
    <w:rsid w:val="44892B36"/>
    <w:rsid w:val="44EC4088"/>
    <w:rsid w:val="45067575"/>
    <w:rsid w:val="4576226F"/>
    <w:rsid w:val="458147A7"/>
    <w:rsid w:val="46843C9F"/>
    <w:rsid w:val="46846882"/>
    <w:rsid w:val="46866723"/>
    <w:rsid w:val="46C5455B"/>
    <w:rsid w:val="47194598"/>
    <w:rsid w:val="4739637A"/>
    <w:rsid w:val="477D2D67"/>
    <w:rsid w:val="48053CEE"/>
    <w:rsid w:val="4826047B"/>
    <w:rsid w:val="488512C3"/>
    <w:rsid w:val="489A7754"/>
    <w:rsid w:val="48AC5E86"/>
    <w:rsid w:val="48C30E74"/>
    <w:rsid w:val="490B1097"/>
    <w:rsid w:val="49133B00"/>
    <w:rsid w:val="49BA55F7"/>
    <w:rsid w:val="49F41C02"/>
    <w:rsid w:val="4A383AAE"/>
    <w:rsid w:val="4A842FC4"/>
    <w:rsid w:val="4AB60F23"/>
    <w:rsid w:val="4ADA723F"/>
    <w:rsid w:val="4B652E50"/>
    <w:rsid w:val="4BB74681"/>
    <w:rsid w:val="4BCB1E65"/>
    <w:rsid w:val="4C0673B0"/>
    <w:rsid w:val="4C4541C4"/>
    <w:rsid w:val="4C890E00"/>
    <w:rsid w:val="4CFF544D"/>
    <w:rsid w:val="4D664F0D"/>
    <w:rsid w:val="4D737BC0"/>
    <w:rsid w:val="4D90732F"/>
    <w:rsid w:val="4DB911F5"/>
    <w:rsid w:val="4E39006D"/>
    <w:rsid w:val="4E3F4042"/>
    <w:rsid w:val="4E4A5E9C"/>
    <w:rsid w:val="4E5E0C59"/>
    <w:rsid w:val="4E6D1B28"/>
    <w:rsid w:val="4F5758BF"/>
    <w:rsid w:val="4FED4EA3"/>
    <w:rsid w:val="50414FAD"/>
    <w:rsid w:val="508225E4"/>
    <w:rsid w:val="50A27F35"/>
    <w:rsid w:val="511145F1"/>
    <w:rsid w:val="51265427"/>
    <w:rsid w:val="512C2130"/>
    <w:rsid w:val="51586D6F"/>
    <w:rsid w:val="51C74D12"/>
    <w:rsid w:val="51C76515"/>
    <w:rsid w:val="51E2012B"/>
    <w:rsid w:val="52217DE8"/>
    <w:rsid w:val="52234144"/>
    <w:rsid w:val="528065BE"/>
    <w:rsid w:val="52A85446"/>
    <w:rsid w:val="52BC6652"/>
    <w:rsid w:val="5332144D"/>
    <w:rsid w:val="53817A93"/>
    <w:rsid w:val="53D517BB"/>
    <w:rsid w:val="53E34E8E"/>
    <w:rsid w:val="54381BD1"/>
    <w:rsid w:val="552A401D"/>
    <w:rsid w:val="553E5FA5"/>
    <w:rsid w:val="55885BB5"/>
    <w:rsid w:val="55CD5943"/>
    <w:rsid w:val="5655292B"/>
    <w:rsid w:val="5659437D"/>
    <w:rsid w:val="566770A4"/>
    <w:rsid w:val="56B83067"/>
    <w:rsid w:val="56F16299"/>
    <w:rsid w:val="572C398B"/>
    <w:rsid w:val="57DF2C91"/>
    <w:rsid w:val="580B5A68"/>
    <w:rsid w:val="58371843"/>
    <w:rsid w:val="585E5382"/>
    <w:rsid w:val="58623C63"/>
    <w:rsid w:val="58A50202"/>
    <w:rsid w:val="595A7F7E"/>
    <w:rsid w:val="59740071"/>
    <w:rsid w:val="59756698"/>
    <w:rsid w:val="59C33373"/>
    <w:rsid w:val="59C86CA9"/>
    <w:rsid w:val="59D43EF5"/>
    <w:rsid w:val="59D547EA"/>
    <w:rsid w:val="5A421A14"/>
    <w:rsid w:val="5A8D0756"/>
    <w:rsid w:val="5A8D3AFE"/>
    <w:rsid w:val="5AB7104B"/>
    <w:rsid w:val="5B0F1B30"/>
    <w:rsid w:val="5B2E6B4B"/>
    <w:rsid w:val="5B5D4931"/>
    <w:rsid w:val="5BBE5C5A"/>
    <w:rsid w:val="5BC14016"/>
    <w:rsid w:val="5BEB236A"/>
    <w:rsid w:val="5C3A0A04"/>
    <w:rsid w:val="5CCA5E91"/>
    <w:rsid w:val="5D845BA8"/>
    <w:rsid w:val="5D8D3E71"/>
    <w:rsid w:val="5DA07FF7"/>
    <w:rsid w:val="5E01304D"/>
    <w:rsid w:val="5EE27322"/>
    <w:rsid w:val="5EE947C8"/>
    <w:rsid w:val="5F093A0F"/>
    <w:rsid w:val="5F10128B"/>
    <w:rsid w:val="5F6371E0"/>
    <w:rsid w:val="5F6F4B8F"/>
    <w:rsid w:val="5F916C75"/>
    <w:rsid w:val="60021EA4"/>
    <w:rsid w:val="600736BC"/>
    <w:rsid w:val="600A4B09"/>
    <w:rsid w:val="605F1D0B"/>
    <w:rsid w:val="6064444F"/>
    <w:rsid w:val="611353F0"/>
    <w:rsid w:val="61985A2E"/>
    <w:rsid w:val="61D94A0C"/>
    <w:rsid w:val="62CD3DF2"/>
    <w:rsid w:val="62E96664"/>
    <w:rsid w:val="63041BE6"/>
    <w:rsid w:val="631043D5"/>
    <w:rsid w:val="649F377C"/>
    <w:rsid w:val="65064588"/>
    <w:rsid w:val="651519EE"/>
    <w:rsid w:val="653A2280"/>
    <w:rsid w:val="654732FD"/>
    <w:rsid w:val="6569233D"/>
    <w:rsid w:val="659C36B8"/>
    <w:rsid w:val="65EC26C9"/>
    <w:rsid w:val="668A5968"/>
    <w:rsid w:val="676505EB"/>
    <w:rsid w:val="67E56DD6"/>
    <w:rsid w:val="67F71073"/>
    <w:rsid w:val="689E5B3D"/>
    <w:rsid w:val="68D80B25"/>
    <w:rsid w:val="696D1859"/>
    <w:rsid w:val="6976206A"/>
    <w:rsid w:val="69BD5F23"/>
    <w:rsid w:val="69DD6A02"/>
    <w:rsid w:val="6A6B76AD"/>
    <w:rsid w:val="6A7D6396"/>
    <w:rsid w:val="6A80346D"/>
    <w:rsid w:val="6AAB27BF"/>
    <w:rsid w:val="6B3E7BB5"/>
    <w:rsid w:val="6B8A56F6"/>
    <w:rsid w:val="6BB64740"/>
    <w:rsid w:val="6BDE7EC2"/>
    <w:rsid w:val="6BFA7CAB"/>
    <w:rsid w:val="6C066525"/>
    <w:rsid w:val="6C543A41"/>
    <w:rsid w:val="6C8420F9"/>
    <w:rsid w:val="6D366A53"/>
    <w:rsid w:val="6D5A5A6E"/>
    <w:rsid w:val="6D6072F6"/>
    <w:rsid w:val="6D6B2D94"/>
    <w:rsid w:val="6DE17D2F"/>
    <w:rsid w:val="6E09125C"/>
    <w:rsid w:val="6E3F2708"/>
    <w:rsid w:val="6ECC1B03"/>
    <w:rsid w:val="6F081ECC"/>
    <w:rsid w:val="6F1F55DB"/>
    <w:rsid w:val="6F2F0829"/>
    <w:rsid w:val="6F367F8E"/>
    <w:rsid w:val="6F573822"/>
    <w:rsid w:val="6FCF139E"/>
    <w:rsid w:val="70197D66"/>
    <w:rsid w:val="7036075E"/>
    <w:rsid w:val="70362978"/>
    <w:rsid w:val="70412488"/>
    <w:rsid w:val="70966DD4"/>
    <w:rsid w:val="70E525BA"/>
    <w:rsid w:val="70E75FDC"/>
    <w:rsid w:val="71082E7B"/>
    <w:rsid w:val="71270FB4"/>
    <w:rsid w:val="71695A58"/>
    <w:rsid w:val="716B02ED"/>
    <w:rsid w:val="71CA268E"/>
    <w:rsid w:val="72250458"/>
    <w:rsid w:val="725C4DCF"/>
    <w:rsid w:val="7297545B"/>
    <w:rsid w:val="729F408D"/>
    <w:rsid w:val="73002031"/>
    <w:rsid w:val="73351CA8"/>
    <w:rsid w:val="73FF0EDA"/>
    <w:rsid w:val="7425394E"/>
    <w:rsid w:val="74464EE5"/>
    <w:rsid w:val="748529B1"/>
    <w:rsid w:val="74B626D6"/>
    <w:rsid w:val="74E108A3"/>
    <w:rsid w:val="74E42550"/>
    <w:rsid w:val="74E94751"/>
    <w:rsid w:val="751C6ECC"/>
    <w:rsid w:val="751F7A57"/>
    <w:rsid w:val="756B596A"/>
    <w:rsid w:val="75880514"/>
    <w:rsid w:val="75B901F2"/>
    <w:rsid w:val="75CF1E4C"/>
    <w:rsid w:val="75E777AA"/>
    <w:rsid w:val="76631429"/>
    <w:rsid w:val="76730EC0"/>
    <w:rsid w:val="76A603F3"/>
    <w:rsid w:val="76C138E8"/>
    <w:rsid w:val="76CE6F37"/>
    <w:rsid w:val="77C75D52"/>
    <w:rsid w:val="781C1AEE"/>
    <w:rsid w:val="783B369C"/>
    <w:rsid w:val="78BC1B1C"/>
    <w:rsid w:val="78BE1435"/>
    <w:rsid w:val="78C13D31"/>
    <w:rsid w:val="79287717"/>
    <w:rsid w:val="79C55761"/>
    <w:rsid w:val="7B5707FE"/>
    <w:rsid w:val="7B655E5A"/>
    <w:rsid w:val="7BAD448A"/>
    <w:rsid w:val="7BFA2B6E"/>
    <w:rsid w:val="7C5E1890"/>
    <w:rsid w:val="7CB06CB4"/>
    <w:rsid w:val="7D1623C2"/>
    <w:rsid w:val="7D1B4352"/>
    <w:rsid w:val="7D395CFE"/>
    <w:rsid w:val="7D4F7832"/>
    <w:rsid w:val="7D9253F8"/>
    <w:rsid w:val="7D9F2718"/>
    <w:rsid w:val="7DBA21EF"/>
    <w:rsid w:val="7DD556D7"/>
    <w:rsid w:val="7E10346A"/>
    <w:rsid w:val="7E3C37AE"/>
    <w:rsid w:val="7E450708"/>
    <w:rsid w:val="7FAF52AF"/>
    <w:rsid w:val="7FC4329C"/>
    <w:rsid w:val="7FE06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40" w:lineRule="exact"/>
      <w:ind w:firstLine="720" w:firstLineChars="200"/>
      <w:jc w:val="both"/>
    </w:pPr>
    <w:rPr>
      <w:rFonts w:ascii="Calibri" w:hAnsi="Calibri" w:eastAsia="仿宋_GB2312" w:cs="Times New Roman"/>
      <w:kern w:val="2"/>
      <w:sz w:val="32"/>
      <w:szCs w:val="24"/>
      <w:lang w:val="en-US" w:eastAsia="zh-CN" w:bidi="ar-SA"/>
    </w:rPr>
  </w:style>
  <w:style w:type="paragraph" w:styleId="2">
    <w:name w:val="heading 1"/>
    <w:basedOn w:val="1"/>
    <w:next w:val="1"/>
    <w:link w:val="16"/>
    <w:autoRedefine/>
    <w:qFormat/>
    <w:uiPriority w:val="0"/>
    <w:pPr>
      <w:keepNext/>
      <w:keepLines/>
      <w:spacing w:beforeLines="0" w:beforeAutospacing="0" w:afterLines="0" w:afterAutospacing="0" w:line="360" w:lineRule="auto"/>
      <w:jc w:val="center"/>
      <w:outlineLvl w:val="0"/>
    </w:pPr>
    <w:rPr>
      <w:rFonts w:ascii="Times New Roman" w:hAnsi="Times New Roman"/>
      <w:b/>
      <w:kern w:val="44"/>
      <w:sz w:val="44"/>
      <w:szCs w:val="21"/>
    </w:rPr>
  </w:style>
  <w:style w:type="paragraph" w:styleId="3">
    <w:name w:val="heading 2"/>
    <w:basedOn w:val="1"/>
    <w:next w:val="1"/>
    <w:link w:val="15"/>
    <w:autoRedefine/>
    <w:semiHidden/>
    <w:unhideWhenUsed/>
    <w:qFormat/>
    <w:uiPriority w:val="0"/>
    <w:pPr>
      <w:keepNext/>
      <w:keepLines/>
      <w:spacing w:line="360" w:lineRule="auto"/>
      <w:ind w:firstLine="0" w:firstLineChars="0"/>
      <w:jc w:val="left"/>
      <w:outlineLvl w:val="1"/>
    </w:pPr>
    <w:rPr>
      <w:rFonts w:ascii="Arial" w:hAnsi="Arial" w:eastAsia="仿宋"/>
      <w:b/>
      <w:bCs/>
      <w:sz w:val="32"/>
      <w:szCs w:val="32"/>
    </w:rPr>
  </w:style>
  <w:style w:type="paragraph" w:styleId="4">
    <w:name w:val="heading 3"/>
    <w:basedOn w:val="1"/>
    <w:next w:val="5"/>
    <w:link w:val="18"/>
    <w:semiHidden/>
    <w:unhideWhenUsed/>
    <w:qFormat/>
    <w:uiPriority w:val="0"/>
    <w:pPr>
      <w:keepNext/>
      <w:keepLines/>
      <w:spacing w:beforeLines="0" w:afterLines="0" w:line="360" w:lineRule="auto"/>
      <w:ind w:firstLine="0" w:firstLineChars="0"/>
      <w:outlineLvl w:val="2"/>
    </w:pPr>
    <w:rPr>
      <w:rFonts w:eastAsia="仿宋" w:cs="Times New Roman"/>
      <w:b/>
      <w:bCs/>
      <w:sz w:val="30"/>
      <w:szCs w:val="32"/>
    </w:rPr>
  </w:style>
  <w:style w:type="character" w:default="1" w:styleId="13">
    <w:name w:val="Default Paragraph Font"/>
    <w:autoRedefine/>
    <w:semiHidden/>
    <w:qFormat/>
    <w:uiPriority w:val="0"/>
  </w:style>
  <w:style w:type="table" w:default="1" w:styleId="12">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Body Text Indent"/>
    <w:basedOn w:val="1"/>
    <w:autoRedefine/>
    <w:qFormat/>
    <w:uiPriority w:val="0"/>
    <w:pPr>
      <w:spacing w:after="120" w:afterLines="0" w:afterAutospacing="0"/>
      <w:ind w:left="420" w:leftChars="200"/>
    </w:pPr>
  </w:style>
  <w:style w:type="paragraph" w:styleId="7">
    <w:name w:val="Plain Text"/>
    <w:basedOn w:val="1"/>
    <w:autoRedefine/>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itle"/>
    <w:basedOn w:val="1"/>
    <w:next w:val="1"/>
    <w:link w:val="17"/>
    <w:autoRedefine/>
    <w:qFormat/>
    <w:uiPriority w:val="0"/>
    <w:pPr>
      <w:spacing w:before="240" w:after="60"/>
      <w:jc w:val="left"/>
      <w:outlineLvl w:val="0"/>
    </w:pPr>
    <w:rPr>
      <w:rFonts w:ascii="Cambria" w:hAnsi="Cambria" w:eastAsia="仿宋" w:cs="黑体"/>
      <w:b/>
      <w:bCs/>
      <w:sz w:val="32"/>
      <w:szCs w:val="32"/>
    </w:rPr>
  </w:style>
  <w:style w:type="paragraph" w:styleId="11">
    <w:name w:val="Body Text First Indent 2"/>
    <w:basedOn w:val="6"/>
    <w:autoRedefine/>
    <w:qFormat/>
    <w:uiPriority w:val="0"/>
    <w:pPr>
      <w:ind w:firstLine="420" w:firstLineChars="200"/>
    </w:pPr>
  </w:style>
  <w:style w:type="character" w:styleId="14">
    <w:name w:val="Hyperlink"/>
    <w:qFormat/>
    <w:uiPriority w:val="0"/>
    <w:rPr>
      <w:rFonts w:ascii="Times New Roman" w:hAnsi="Times New Roman" w:eastAsia="宋体"/>
      <w:color w:val="auto"/>
      <w:u w:val="none"/>
      <w:shd w:val="clear" w:color="auto" w:fill="009688"/>
    </w:rPr>
  </w:style>
  <w:style w:type="character" w:customStyle="1" w:styleId="15">
    <w:name w:val="标题 2 Char"/>
    <w:link w:val="3"/>
    <w:autoRedefine/>
    <w:qFormat/>
    <w:uiPriority w:val="0"/>
    <w:rPr>
      <w:rFonts w:ascii="Arial" w:hAnsi="Arial" w:eastAsia="仿宋"/>
      <w:b/>
      <w:sz w:val="32"/>
      <w:szCs w:val="21"/>
    </w:rPr>
  </w:style>
  <w:style w:type="character" w:customStyle="1" w:styleId="16">
    <w:name w:val="标题 1 Char"/>
    <w:link w:val="2"/>
    <w:autoRedefine/>
    <w:qFormat/>
    <w:uiPriority w:val="0"/>
    <w:rPr>
      <w:rFonts w:ascii="Times New Roman" w:hAnsi="Times New Roman" w:eastAsia="仿宋" w:cs="Times New Roman"/>
      <w:b/>
      <w:kern w:val="44"/>
      <w:sz w:val="44"/>
      <w:szCs w:val="21"/>
    </w:rPr>
  </w:style>
  <w:style w:type="character" w:customStyle="1" w:styleId="17">
    <w:name w:val="标题 Char1"/>
    <w:link w:val="10"/>
    <w:autoRedefine/>
    <w:qFormat/>
    <w:uiPriority w:val="0"/>
    <w:rPr>
      <w:rFonts w:ascii="Cambria" w:hAnsi="Cambria" w:eastAsia="仿宋" w:cs="黑体"/>
      <w:b/>
      <w:bCs/>
      <w:sz w:val="32"/>
      <w:szCs w:val="32"/>
    </w:rPr>
  </w:style>
  <w:style w:type="character" w:customStyle="1" w:styleId="18">
    <w:name w:val="标题 3 Char"/>
    <w:link w:val="4"/>
    <w:autoRedefine/>
    <w:qFormat/>
    <w:uiPriority w:val="0"/>
    <w:rPr>
      <w:rFonts w:ascii="Calibri" w:hAnsi="Calibri" w:eastAsia="仿宋" w:cs="Times New Roman"/>
      <w:b/>
      <w:bCs/>
      <w:sz w:val="30"/>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1735</Words>
  <Characters>1895</Characters>
  <Lines>0</Lines>
  <Paragraphs>0</Paragraphs>
  <TotalTime>108</TotalTime>
  <ScaleCrop>false</ScaleCrop>
  <LinksUpToDate>false</LinksUpToDate>
  <CharactersWithSpaces>1907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2026-07-09T08:51:00Z</dcterms:created>
  <dc:creator>NTKO</dc:creator>
  <cp:lastModifiedBy>NTKO</cp:lastModifiedBy>
  <dcterms:modified xsi:type="dcterms:W3CDTF">2026-08-26T05:50:45Z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1D72D2B237BC4BF0853314269AA482E1_13</vt:lpwstr>
  </property>
  <property fmtid="{D5CDD505-2E9C-101B-9397-08002B2CF9AE}" pid="4" name="KSOTemplateDocerSaveRecord">
    <vt:lpwstr>eyJoZGlkIjoiNjBmMzc0MTM4NjJhMmUzY2JiNzliNTRlNzc5MmI0OWYiLCJ1c2VySWQiOiI1MzUzMjkxNjcifQ==</vt:lpwstr>
  </property>
</Properties>
</file>