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D0855">
      <w:pPr>
        <w:spacing w:line="360" w:lineRule="auto"/>
        <w:jc w:val="center"/>
        <w:rPr>
          <w:rFonts w:hint="eastAsia" w:ascii="黑体" w:hAnsi="黑体" w:eastAsia="黑体"/>
          <w:sz w:val="32"/>
          <w:szCs w:val="32"/>
        </w:rPr>
      </w:pPr>
      <w:r>
        <w:rPr>
          <w:rFonts w:hint="eastAsia" w:ascii="黑体" w:hAnsi="黑体" w:eastAsia="黑体"/>
          <w:sz w:val="32"/>
          <w:szCs w:val="32"/>
        </w:rPr>
        <w:t>山东大学青岛校区修缮工程审计服务采购</w:t>
      </w:r>
      <w:r>
        <w:rPr>
          <w:rFonts w:ascii="黑体" w:hAnsi="黑体" w:eastAsia="黑体"/>
          <w:sz w:val="32"/>
          <w:szCs w:val="32"/>
        </w:rPr>
        <w:t>项目</w:t>
      </w:r>
    </w:p>
    <w:p w14:paraId="217C7E9F">
      <w:pPr>
        <w:spacing w:before="156" w:beforeLines="50" w:line="360" w:lineRule="auto"/>
        <w:ind w:firstLine="482" w:firstLineChars="200"/>
        <w:rPr>
          <w:b/>
          <w:sz w:val="24"/>
        </w:rPr>
      </w:pPr>
      <w:r>
        <w:rPr>
          <w:rFonts w:hint="eastAsia"/>
          <w:b/>
          <w:sz w:val="24"/>
        </w:rPr>
        <w:t>一、项目概况</w:t>
      </w:r>
    </w:p>
    <w:p w14:paraId="1BEBE776">
      <w:pPr>
        <w:spacing w:line="360" w:lineRule="auto"/>
        <w:ind w:firstLine="480" w:firstLineChars="200"/>
        <w:rPr>
          <w:rFonts w:hint="eastAsia"/>
          <w:sz w:val="24"/>
        </w:rPr>
      </w:pPr>
      <w:r>
        <w:rPr>
          <w:rFonts w:hint="eastAsia"/>
          <w:sz w:val="24"/>
        </w:rPr>
        <w:t>山东大学为改善基本办学条件，每年需对校内基础设施进行修缮改造。本次招标为青岛校区</w:t>
      </w:r>
      <w:r>
        <w:rPr>
          <w:sz w:val="24"/>
        </w:rPr>
        <w:t>2026-2029</w:t>
      </w:r>
      <w:r>
        <w:rPr>
          <w:rFonts w:hint="eastAsia"/>
          <w:sz w:val="24"/>
        </w:rPr>
        <w:t>年度实施的部分房屋修缮和基础设施改造项目的委托</w:t>
      </w:r>
      <w:r>
        <w:rPr>
          <w:sz w:val="24"/>
        </w:rPr>
        <w:t>审计工作</w:t>
      </w:r>
      <w:r>
        <w:rPr>
          <w:rFonts w:hint="eastAsia"/>
          <w:sz w:val="24"/>
          <w:lang w:val="en-US" w:eastAsia="zh-CN"/>
        </w:rPr>
        <w:t>。</w:t>
      </w:r>
    </w:p>
    <w:p w14:paraId="7B0EAAEA">
      <w:pPr>
        <w:spacing w:line="360" w:lineRule="auto"/>
        <w:ind w:firstLine="480" w:firstLineChars="200"/>
        <w:rPr>
          <w:rFonts w:hint="eastAsia" w:ascii="宋体" w:hAnsi="宋体"/>
          <w:sz w:val="24"/>
        </w:rPr>
      </w:pPr>
      <w:r>
        <w:rPr>
          <w:rFonts w:hint="eastAsia" w:ascii="宋体" w:hAnsi="宋体"/>
          <w:sz w:val="24"/>
        </w:rPr>
        <w:t>本项目共分</w:t>
      </w:r>
      <w:r>
        <w:rPr>
          <w:rFonts w:ascii="宋体" w:hAnsi="宋体"/>
          <w:sz w:val="24"/>
        </w:rPr>
        <w:t>2</w:t>
      </w:r>
      <w:r>
        <w:rPr>
          <w:rFonts w:hint="eastAsia" w:ascii="宋体" w:hAnsi="宋体"/>
          <w:sz w:val="24"/>
        </w:rPr>
        <w:t>个标段，分别是：</w:t>
      </w:r>
    </w:p>
    <w:p w14:paraId="54F3C764">
      <w:pPr>
        <w:spacing w:line="360" w:lineRule="auto"/>
        <w:ind w:firstLine="480" w:firstLineChars="200"/>
        <w:rPr>
          <w:rFonts w:hint="eastAsia" w:ascii="宋体" w:hAnsi="宋体"/>
          <w:sz w:val="24"/>
        </w:rPr>
      </w:pPr>
      <w:r>
        <w:rPr>
          <w:rFonts w:hint="eastAsia" w:ascii="宋体" w:hAnsi="宋体"/>
          <w:sz w:val="24"/>
        </w:rPr>
        <w:t>标段1：修缮项目委托审计服务，约占比</w:t>
      </w:r>
      <w:r>
        <w:rPr>
          <w:rFonts w:ascii="宋体" w:hAnsi="宋体"/>
          <w:sz w:val="24"/>
        </w:rPr>
        <w:t>50</w:t>
      </w:r>
      <w:r>
        <w:rPr>
          <w:rFonts w:hint="eastAsia" w:ascii="宋体" w:hAnsi="宋体"/>
          <w:sz w:val="24"/>
        </w:rPr>
        <w:t>%</w:t>
      </w:r>
      <w:r>
        <w:rPr>
          <w:rFonts w:hint="eastAsia" w:ascii="宋体" w:hAnsi="宋体"/>
          <w:sz w:val="24"/>
          <w:lang w:eastAsia="zh-CN"/>
        </w:rPr>
        <w:t>，</w:t>
      </w:r>
      <w:r>
        <w:rPr>
          <w:rFonts w:hint="eastAsia" w:ascii="宋体" w:hAnsi="宋体"/>
          <w:sz w:val="24"/>
          <w:lang w:val="en-US" w:eastAsia="zh-CN"/>
        </w:rPr>
        <w:t>预算10万元</w:t>
      </w:r>
      <w:r>
        <w:rPr>
          <w:rFonts w:hint="eastAsia" w:ascii="宋体" w:hAnsi="宋体"/>
          <w:sz w:val="24"/>
        </w:rPr>
        <w:t>；</w:t>
      </w:r>
    </w:p>
    <w:p w14:paraId="3F1459C1">
      <w:pPr>
        <w:spacing w:line="360" w:lineRule="auto"/>
        <w:ind w:firstLine="480" w:firstLineChars="200"/>
        <w:rPr>
          <w:rFonts w:hint="eastAsia" w:ascii="宋体" w:hAnsi="宋体"/>
          <w:sz w:val="24"/>
        </w:rPr>
      </w:pPr>
      <w:r>
        <w:rPr>
          <w:rFonts w:hint="eastAsia" w:ascii="宋体" w:hAnsi="宋体"/>
          <w:sz w:val="24"/>
        </w:rPr>
        <w:t>标段2：修缮项目委托审计服务，约占比</w:t>
      </w:r>
      <w:r>
        <w:rPr>
          <w:rFonts w:ascii="宋体" w:hAnsi="宋体"/>
          <w:sz w:val="24"/>
        </w:rPr>
        <w:t>50</w:t>
      </w:r>
      <w:r>
        <w:rPr>
          <w:rFonts w:hint="eastAsia" w:ascii="宋体" w:hAnsi="宋体"/>
          <w:sz w:val="24"/>
        </w:rPr>
        <w:t>%</w:t>
      </w:r>
      <w:r>
        <w:rPr>
          <w:rFonts w:hint="eastAsia" w:ascii="宋体" w:hAnsi="宋体"/>
          <w:sz w:val="24"/>
          <w:lang w:eastAsia="zh-CN"/>
        </w:rPr>
        <w:t>，</w:t>
      </w:r>
      <w:r>
        <w:rPr>
          <w:rFonts w:hint="eastAsia" w:ascii="宋体" w:hAnsi="宋体"/>
          <w:sz w:val="24"/>
          <w:lang w:val="en-US" w:eastAsia="zh-CN"/>
        </w:rPr>
        <w:t>预算10万元</w:t>
      </w:r>
      <w:r>
        <w:rPr>
          <w:rFonts w:hint="eastAsia" w:ascii="宋体" w:hAnsi="宋体"/>
          <w:sz w:val="24"/>
        </w:rPr>
        <w:t>；</w:t>
      </w:r>
    </w:p>
    <w:p w14:paraId="5993F0AF">
      <w:pPr>
        <w:spacing w:line="360" w:lineRule="auto"/>
        <w:ind w:firstLine="480" w:firstLineChars="200"/>
        <w:rPr>
          <w:rFonts w:hint="eastAsia" w:ascii="宋体" w:hAnsi="宋体"/>
          <w:sz w:val="24"/>
        </w:rPr>
      </w:pPr>
      <w:r>
        <w:rPr>
          <w:rFonts w:ascii="宋体" w:hAnsi="宋体"/>
          <w:sz w:val="24"/>
        </w:rPr>
        <w:t>2</w:t>
      </w:r>
      <w:r>
        <w:rPr>
          <w:rFonts w:hint="eastAsia" w:ascii="宋体" w:hAnsi="宋体"/>
          <w:sz w:val="24"/>
        </w:rPr>
        <w:t>个标段兼投不兼中，评审顺序为：标段1、标段2，评审小组按照评审顺序确定成交供应商，已成交的供应商不参与后续标段的详细评审。</w:t>
      </w:r>
    </w:p>
    <w:p w14:paraId="0923DF9A">
      <w:pPr>
        <w:spacing w:line="360" w:lineRule="auto"/>
        <w:ind w:firstLine="480" w:firstLineChars="200"/>
        <w:rPr>
          <w:rFonts w:hint="eastAsia" w:ascii="Times New Roman" w:hAnsi="Times New Roman" w:eastAsia="宋体" w:cs="Times New Roman"/>
          <w:sz w:val="24"/>
        </w:rPr>
      </w:pPr>
      <w:r>
        <w:rPr>
          <w:rFonts w:hint="eastAsia"/>
          <w:sz w:val="24"/>
        </w:rPr>
        <w:t>服务具体内容</w:t>
      </w:r>
      <w:r>
        <w:rPr>
          <w:sz w:val="24"/>
        </w:rPr>
        <w:t>包括</w:t>
      </w:r>
      <w:r>
        <w:rPr>
          <w:rFonts w:hint="eastAsia"/>
          <w:sz w:val="24"/>
        </w:rPr>
        <w:t>：对中小型修缮工程进行竣工结算审计，单体工程</w:t>
      </w:r>
      <w:r>
        <w:rPr>
          <w:sz w:val="24"/>
        </w:rPr>
        <w:t>造价</w:t>
      </w:r>
      <w:r>
        <w:rPr>
          <w:rFonts w:hint="eastAsia"/>
          <w:sz w:val="24"/>
        </w:rPr>
        <w:t>约</w:t>
      </w:r>
      <w:r>
        <w:rPr>
          <w:sz w:val="24"/>
        </w:rPr>
        <w:t>3</w:t>
      </w:r>
      <w:r>
        <w:rPr>
          <w:rFonts w:hint="eastAsia"/>
          <w:sz w:val="24"/>
        </w:rPr>
        <w:t>0万-</w:t>
      </w:r>
      <w:r>
        <w:rPr>
          <w:sz w:val="24"/>
        </w:rPr>
        <w:t>1000</w:t>
      </w:r>
      <w:r>
        <w:rPr>
          <w:rFonts w:hint="eastAsia"/>
          <w:sz w:val="24"/>
        </w:rPr>
        <w:t>万元；</w:t>
      </w:r>
      <w:bookmarkStart w:id="0" w:name="OLE_LINK1"/>
      <w:r>
        <w:rPr>
          <w:rFonts w:hint="eastAsia"/>
          <w:sz w:val="24"/>
        </w:rPr>
        <w:t>对单体工程预算在1000万元</w:t>
      </w:r>
      <w:bookmarkEnd w:id="0"/>
      <w:r>
        <w:rPr>
          <w:rFonts w:hint="eastAsia"/>
          <w:sz w:val="24"/>
        </w:rPr>
        <w:t>以上进行跟踪审计。青岛校区修缮项目</w:t>
      </w:r>
      <w:r>
        <w:rPr>
          <w:rFonts w:hint="eastAsia" w:ascii="Times New Roman" w:hAnsi="Times New Roman" w:eastAsia="宋体" w:cs="Times New Roman"/>
          <w:sz w:val="24"/>
        </w:rPr>
        <w:t>每年度总投资约2000万元，最高限价为投标费率3‰，服务期限3年，3年总预算20万元，在合同期内委托审计的项目，如果项目时间延期不追加费用。</w:t>
      </w:r>
    </w:p>
    <w:p w14:paraId="1062AD96">
      <w:pPr>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服务地点：山东大学青岛校区（山东省青岛市即墨市鳌山卫镇）</w:t>
      </w:r>
    </w:p>
    <w:p w14:paraId="0DEC9830">
      <w:pPr>
        <w:spacing w:line="360" w:lineRule="auto"/>
        <w:ind w:firstLine="482" w:firstLineChars="200"/>
        <w:rPr>
          <w:rFonts w:hint="eastAsia" w:ascii="Times New Roman" w:hAnsi="Times New Roman" w:eastAsia="宋体" w:cs="Times New Roman"/>
          <w:b/>
          <w:bCs/>
          <w:sz w:val="24"/>
        </w:rPr>
      </w:pPr>
      <w:r>
        <w:rPr>
          <w:rFonts w:hint="eastAsia" w:ascii="Times New Roman" w:hAnsi="Times New Roman" w:eastAsia="宋体" w:cs="Times New Roman"/>
          <w:b/>
          <w:bCs/>
          <w:sz w:val="24"/>
          <w:lang w:val="en-US" w:eastAsia="zh-CN"/>
        </w:rPr>
        <w:t>二、</w:t>
      </w:r>
      <w:r>
        <w:rPr>
          <w:rFonts w:hint="eastAsia" w:ascii="Times New Roman" w:hAnsi="Times New Roman" w:eastAsia="宋体" w:cs="Times New Roman"/>
          <w:b/>
          <w:bCs/>
          <w:sz w:val="24"/>
          <w:szCs w:val="24"/>
        </w:rPr>
        <w:t>服务条款响应一览表</w:t>
      </w:r>
    </w:p>
    <w:tbl>
      <w:tblPr>
        <w:tblStyle w:val="1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43"/>
        <w:gridCol w:w="1410"/>
        <w:gridCol w:w="4586"/>
        <w:gridCol w:w="1157"/>
      </w:tblGrid>
      <w:tr w14:paraId="71593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48E28D7">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采购人要求（用户填写）</w:t>
            </w:r>
          </w:p>
        </w:tc>
      </w:tr>
      <w:tr w14:paraId="64F04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689" w:type="pct"/>
            <w:tcBorders>
              <w:top w:val="single" w:color="auto" w:sz="4" w:space="0"/>
              <w:left w:val="single" w:color="auto" w:sz="4" w:space="0"/>
              <w:bottom w:val="single" w:color="auto" w:sz="4" w:space="0"/>
              <w:right w:val="single" w:color="auto" w:sz="4" w:space="0"/>
            </w:tcBorders>
            <w:vAlign w:val="center"/>
          </w:tcPr>
          <w:p w14:paraId="18332A36">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配置</w:t>
            </w:r>
          </w:p>
          <w:p w14:paraId="175C100A">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序号</w:t>
            </w:r>
          </w:p>
        </w:tc>
        <w:tc>
          <w:tcPr>
            <w:tcW w:w="850" w:type="pct"/>
            <w:tcBorders>
              <w:top w:val="single" w:color="auto" w:sz="4" w:space="0"/>
              <w:left w:val="single" w:color="auto" w:sz="4" w:space="0"/>
              <w:bottom w:val="single" w:color="auto" w:sz="4" w:space="0"/>
              <w:right w:val="single" w:color="auto" w:sz="4" w:space="0"/>
            </w:tcBorders>
            <w:vAlign w:val="center"/>
          </w:tcPr>
          <w:p w14:paraId="28E3B90F">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配置</w:t>
            </w:r>
          </w:p>
          <w:p w14:paraId="40E216B0">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名称</w:t>
            </w:r>
          </w:p>
        </w:tc>
        <w:tc>
          <w:tcPr>
            <w:tcW w:w="2764" w:type="pct"/>
            <w:tcBorders>
              <w:top w:val="single" w:color="auto" w:sz="4" w:space="0"/>
              <w:left w:val="single" w:color="auto" w:sz="4" w:space="0"/>
              <w:bottom w:val="single" w:color="auto" w:sz="4" w:space="0"/>
              <w:right w:val="single" w:color="auto" w:sz="4" w:space="0"/>
            </w:tcBorders>
            <w:vAlign w:val="center"/>
          </w:tcPr>
          <w:p w14:paraId="04C110F1">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指标</w:t>
            </w:r>
          </w:p>
        </w:tc>
        <w:tc>
          <w:tcPr>
            <w:tcW w:w="695" w:type="pct"/>
            <w:tcBorders>
              <w:top w:val="single" w:color="auto" w:sz="4" w:space="0"/>
              <w:left w:val="single" w:color="auto" w:sz="4" w:space="0"/>
              <w:bottom w:val="single" w:color="auto" w:sz="4" w:space="0"/>
              <w:right w:val="single" w:color="auto" w:sz="4" w:space="0"/>
            </w:tcBorders>
            <w:vAlign w:val="center"/>
          </w:tcPr>
          <w:p w14:paraId="771CB3B1">
            <w:pPr>
              <w:spacing w:line="420" w:lineRule="exact"/>
              <w:jc w:val="center"/>
              <w:rPr>
                <w:rFonts w:hint="eastAsia" w:ascii="宋体" w:hAnsi="宋体" w:eastAsia="宋体" w:cs="宋体"/>
                <w:b/>
                <w:bCs/>
                <w:color w:val="000000" w:themeColor="text1"/>
                <w:spacing w:val="-11"/>
                <w:sz w:val="24"/>
                <w:szCs w:val="24"/>
                <w:highlight w:val="none"/>
                <w14:textFill>
                  <w14:solidFill>
                    <w14:schemeClr w14:val="tx1"/>
                  </w14:solidFill>
                </w14:textFill>
              </w:rPr>
            </w:pPr>
            <w:r>
              <w:rPr>
                <w:rFonts w:hint="eastAsia" w:ascii="宋体" w:hAnsi="宋体" w:eastAsia="宋体" w:cs="宋体"/>
                <w:b/>
                <w:bCs/>
                <w:color w:val="000000" w:themeColor="text1"/>
                <w:spacing w:val="-11"/>
                <w:sz w:val="24"/>
                <w:szCs w:val="24"/>
                <w:highlight w:val="none"/>
                <w14:textFill>
                  <w14:solidFill>
                    <w14:schemeClr w14:val="tx1"/>
                  </w14:solidFill>
                </w14:textFill>
              </w:rPr>
              <w:t>数量</w:t>
            </w:r>
          </w:p>
        </w:tc>
      </w:tr>
      <w:tr w14:paraId="54D98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63" w:hRule="exact"/>
        </w:trPr>
        <w:tc>
          <w:tcPr>
            <w:tcW w:w="689" w:type="pct"/>
            <w:tcBorders>
              <w:top w:val="single" w:color="auto" w:sz="4" w:space="0"/>
              <w:left w:val="single" w:color="auto" w:sz="4" w:space="0"/>
              <w:bottom w:val="single" w:color="auto" w:sz="4" w:space="0"/>
              <w:right w:val="single" w:color="auto" w:sz="4" w:space="0"/>
            </w:tcBorders>
            <w:vAlign w:val="center"/>
          </w:tcPr>
          <w:p w14:paraId="5E7E3550">
            <w:pPr>
              <w:spacing w:line="420" w:lineRule="exact"/>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w:t>
            </w:r>
          </w:p>
        </w:tc>
        <w:tc>
          <w:tcPr>
            <w:tcW w:w="850" w:type="pct"/>
            <w:tcBorders>
              <w:top w:val="single" w:color="auto" w:sz="4" w:space="0"/>
              <w:left w:val="single" w:color="auto" w:sz="4" w:space="0"/>
              <w:bottom w:val="single" w:color="auto" w:sz="4" w:space="0"/>
              <w:right w:val="single" w:color="auto" w:sz="4" w:space="0"/>
            </w:tcBorders>
            <w:vAlign w:val="center"/>
          </w:tcPr>
          <w:p w14:paraId="02C10891">
            <w:pPr>
              <w:spacing w:line="420" w:lineRule="exact"/>
              <w:jc w:val="center"/>
              <w:rPr>
                <w:rFonts w:hint="eastAsia" w:ascii="宋体" w:hAnsi="宋体" w:eastAsia="宋体" w:cs="宋体"/>
                <w:b w:val="0"/>
                <w:bCs w:val="0"/>
                <w:color w:val="000000" w:themeColor="text1"/>
                <w:spacing w:val="-11"/>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sz w:val="24"/>
                <w:szCs w:val="24"/>
                <w:highlight w:val="none"/>
                <w14:textFill>
                  <w14:solidFill>
                    <w14:schemeClr w14:val="tx1"/>
                  </w14:solidFill>
                </w14:textFill>
              </w:rPr>
              <w:t xml:space="preserve"> 服务内容</w:t>
            </w:r>
          </w:p>
        </w:tc>
        <w:tc>
          <w:tcPr>
            <w:tcW w:w="2764" w:type="pct"/>
            <w:tcBorders>
              <w:top w:val="single" w:color="auto" w:sz="4" w:space="0"/>
              <w:left w:val="single" w:color="auto" w:sz="4" w:space="0"/>
              <w:bottom w:val="single" w:color="auto" w:sz="4" w:space="0"/>
              <w:right w:val="single" w:color="auto" w:sz="4" w:space="0"/>
            </w:tcBorders>
            <w:vAlign w:val="center"/>
          </w:tcPr>
          <w:p w14:paraId="7689C0A4">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（1）在学校规定的时间内完成审计工作。</w:t>
            </w:r>
          </w:p>
          <w:p w14:paraId="045768D0">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 xml:space="preserve">（2）根据工作需要，参与相关洽商活动和会议，提供政策法规、造价管理、等方面的咨询，对学校修缮工程管理工作提出合理化建议。 </w:t>
            </w:r>
          </w:p>
          <w:p w14:paraId="66E5613E">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（3）结算审计：依据相关法规及工程合同、施工图纸、招投标文件等资料，对竣工结算资料进行审核，现场复核施工内容、核算工程量，核定工程造价，出具结算审核报告。</w:t>
            </w:r>
          </w:p>
          <w:p w14:paraId="52969E09">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4）跟踪审计：依据相关法规审核招标工程量清单、招标控制价，出具审核意见；施工过程中参加项目图纸会审、现场例会等会议，见证隐蔽工程验收；对竣工结算资料进行审核，审核工程变更、现场签证，核定工程造价，出具造价咨询报告。</w:t>
            </w:r>
          </w:p>
          <w:p w14:paraId="6BEE9FF3">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（5）协助</w:t>
            </w:r>
            <w:r>
              <w:rPr>
                <w:rFonts w:hint="eastAsia" w:ascii="宋体" w:hAnsi="宋体" w:cs="宋体"/>
                <w:b w:val="0"/>
                <w:bCs w:val="0"/>
                <w:color w:val="000000" w:themeColor="text1"/>
                <w:spacing w:val="-11"/>
                <w:sz w:val="24"/>
                <w:highlight w:val="none"/>
                <w:lang w:eastAsia="zh-CN"/>
                <w14:textFill>
                  <w14:solidFill>
                    <w14:schemeClr w14:val="tx1"/>
                  </w14:solidFill>
                </w14:textFill>
              </w:rPr>
              <w:t>采购人</w:t>
            </w:r>
            <w:r>
              <w:rPr>
                <w:rFonts w:hint="eastAsia" w:ascii="宋体" w:hAnsi="宋体" w:eastAsia="宋体" w:cs="宋体"/>
                <w:b w:val="0"/>
                <w:bCs w:val="0"/>
                <w:color w:val="000000" w:themeColor="text1"/>
                <w:spacing w:val="-11"/>
                <w:sz w:val="24"/>
                <w:highlight w:val="none"/>
                <w14:textFill>
                  <w14:solidFill>
                    <w14:schemeClr w14:val="tx1"/>
                  </w14:solidFill>
                </w14:textFill>
              </w:rPr>
              <w:t>开展建设工程管理审计，对审计过程中发现的风险和问题提出管理建议，根据要求出具相应的审核报告。</w:t>
            </w:r>
          </w:p>
          <w:p w14:paraId="3A645959">
            <w:pPr>
              <w:spacing w:line="420" w:lineRule="exact"/>
              <w:ind w:firstLine="0" w:firstLineChars="0"/>
              <w:jc w:val="left"/>
              <w:rPr>
                <w:rFonts w:hint="eastAsia" w:ascii="宋体" w:hAnsi="宋体" w:eastAsia="宋体" w:cs="宋体"/>
                <w:b w:val="0"/>
                <w:bCs w:val="0"/>
                <w:color w:val="000000" w:themeColor="text1"/>
                <w:spacing w:val="-11"/>
                <w:sz w:val="24"/>
                <w:highlight w:val="none"/>
                <w14:textFill>
                  <w14:solidFill>
                    <w14:schemeClr w14:val="tx1"/>
                  </w14:solidFill>
                </w14:textFill>
              </w:rPr>
            </w:pPr>
            <w:r>
              <w:rPr>
                <w:rFonts w:hint="eastAsia" w:ascii="宋体" w:hAnsi="宋体" w:eastAsia="宋体" w:cs="宋体"/>
                <w:b w:val="0"/>
                <w:bCs w:val="0"/>
                <w:color w:val="000000" w:themeColor="text1"/>
                <w:spacing w:val="-11"/>
                <w:sz w:val="24"/>
                <w:highlight w:val="none"/>
                <w14:textFill>
                  <w14:solidFill>
                    <w14:schemeClr w14:val="tx1"/>
                  </w14:solidFill>
                </w14:textFill>
              </w:rPr>
              <w:t>（6）投标人对工作质量实行终身负责制，如遇上级部门对投标人的工作成果进行复核和检查时，需积极配合</w:t>
            </w:r>
            <w:r>
              <w:rPr>
                <w:rFonts w:hint="eastAsia" w:ascii="宋体" w:hAnsi="宋体" w:cs="宋体"/>
                <w:b w:val="0"/>
                <w:bCs w:val="0"/>
                <w:color w:val="000000" w:themeColor="text1"/>
                <w:spacing w:val="-11"/>
                <w:sz w:val="24"/>
                <w:highlight w:val="none"/>
                <w:lang w:eastAsia="zh-CN"/>
                <w14:textFill>
                  <w14:solidFill>
                    <w14:schemeClr w14:val="tx1"/>
                  </w14:solidFill>
                </w14:textFill>
              </w:rPr>
              <w:t>采购人</w:t>
            </w:r>
            <w:r>
              <w:rPr>
                <w:rFonts w:hint="eastAsia" w:ascii="宋体" w:hAnsi="宋体" w:eastAsia="宋体" w:cs="宋体"/>
                <w:b w:val="0"/>
                <w:bCs w:val="0"/>
                <w:color w:val="000000" w:themeColor="text1"/>
                <w:spacing w:val="-11"/>
                <w:sz w:val="24"/>
                <w:highlight w:val="none"/>
                <w14:textFill>
                  <w14:solidFill>
                    <w14:schemeClr w14:val="tx1"/>
                  </w14:solidFill>
                </w14:textFill>
              </w:rPr>
              <w:t>有关工作安排。</w:t>
            </w:r>
          </w:p>
          <w:p w14:paraId="54F06FDD">
            <w:pPr>
              <w:spacing w:line="420" w:lineRule="exact"/>
              <w:ind w:firstLine="0" w:firstLineChars="0"/>
              <w:jc w:val="left"/>
              <w:rPr>
                <w:rFonts w:hint="eastAsia"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
                <w:bCs/>
                <w:color w:val="000000" w:themeColor="text1"/>
                <w:spacing w:val="-11"/>
                <w:sz w:val="24"/>
                <w:highlight w:val="none"/>
                <w:lang w:eastAsia="zh-CN"/>
                <w14:textFill>
                  <w14:solidFill>
                    <w14:schemeClr w14:val="tx1"/>
                  </w14:solidFill>
                </w14:textFill>
              </w:rPr>
              <w:t>（</w:t>
            </w:r>
            <w:r>
              <w:rPr>
                <w:rFonts w:hint="eastAsia" w:ascii="宋体" w:hAnsi="宋体" w:eastAsia="宋体" w:cs="宋体"/>
                <w:b/>
                <w:bCs/>
                <w:color w:val="000000" w:themeColor="text1"/>
                <w:spacing w:val="-11"/>
                <w:sz w:val="24"/>
                <w:highlight w:val="none"/>
                <w:lang w:val="en-US" w:eastAsia="zh-CN"/>
                <w14:textFill>
                  <w14:solidFill>
                    <w14:schemeClr w14:val="tx1"/>
                  </w14:solidFill>
                </w14:textFill>
              </w:rPr>
              <w:t>7</w:t>
            </w:r>
            <w:r>
              <w:rPr>
                <w:rFonts w:hint="eastAsia" w:ascii="宋体" w:hAnsi="宋体" w:eastAsia="宋体" w:cs="宋体"/>
                <w:b/>
                <w:bCs/>
                <w:color w:val="000000" w:themeColor="text1"/>
                <w:spacing w:val="-11"/>
                <w:sz w:val="24"/>
                <w:highlight w:val="none"/>
                <w:lang w:eastAsia="zh-CN"/>
                <w14:textFill>
                  <w14:solidFill>
                    <w14:schemeClr w14:val="tx1"/>
                  </w14:solidFill>
                </w14:textFill>
              </w:rPr>
              <w:t>）</w:t>
            </w:r>
            <w:r>
              <w:rPr>
                <w:rFonts w:hint="eastAsia" w:ascii="宋体" w:hAnsi="宋体" w:eastAsia="宋体" w:cs="宋体"/>
                <w:b/>
                <w:bCs/>
                <w:color w:val="000000" w:themeColor="text1"/>
                <w:spacing w:val="-11"/>
                <w:sz w:val="24"/>
                <w:highlight w:val="none"/>
                <w14:textFill>
                  <w14:solidFill>
                    <w14:schemeClr w14:val="tx1"/>
                  </w14:solidFill>
                </w14:textFill>
              </w:rPr>
              <w:t>根据审计独立执业要求，本项目审计服务有效期内，</w:t>
            </w:r>
            <w:r>
              <w:rPr>
                <w:rFonts w:hint="eastAsia" w:ascii="宋体" w:hAnsi="宋体" w:eastAsia="宋体" w:cs="宋体"/>
                <w:b/>
                <w:bCs/>
                <w:color w:val="000000" w:themeColor="text1"/>
                <w:spacing w:val="-11"/>
                <w:sz w:val="24"/>
                <w:highlight w:val="none"/>
                <w:lang w:val="en-US" w:eastAsia="zh-CN"/>
                <w14:textFill>
                  <w14:solidFill>
                    <w14:schemeClr w14:val="tx1"/>
                  </w14:solidFill>
                </w14:textFill>
              </w:rPr>
              <w:t>中标人</w:t>
            </w:r>
            <w:r>
              <w:rPr>
                <w:rFonts w:hint="eastAsia" w:ascii="宋体" w:hAnsi="宋体" w:eastAsia="宋体" w:cs="宋体"/>
                <w:b/>
                <w:bCs/>
                <w:color w:val="000000" w:themeColor="text1"/>
                <w:spacing w:val="-11"/>
                <w:sz w:val="24"/>
                <w:highlight w:val="none"/>
                <w14:textFill>
                  <w14:solidFill>
                    <w14:schemeClr w14:val="tx1"/>
                  </w14:solidFill>
                </w14:textFill>
              </w:rPr>
              <w:t>不得同时承接</w:t>
            </w:r>
            <w:r>
              <w:rPr>
                <w:rFonts w:hint="eastAsia" w:ascii="宋体" w:hAnsi="宋体" w:cs="宋体"/>
                <w:b/>
                <w:bCs/>
                <w:color w:val="000000" w:themeColor="text1"/>
                <w:spacing w:val="-11"/>
                <w:sz w:val="24"/>
                <w:highlight w:val="none"/>
                <w:lang w:eastAsia="zh-CN"/>
                <w14:textFill>
                  <w14:solidFill>
                    <w14:schemeClr w14:val="tx1"/>
                  </w14:solidFill>
                </w14:textFill>
              </w:rPr>
              <w:t>采购人</w:t>
            </w:r>
            <w:r>
              <w:rPr>
                <w:rFonts w:hint="eastAsia" w:ascii="宋体" w:hAnsi="宋体" w:eastAsia="宋体" w:cs="宋体"/>
                <w:b/>
                <w:bCs/>
                <w:color w:val="000000" w:themeColor="text1"/>
                <w:spacing w:val="-11"/>
                <w:sz w:val="24"/>
                <w:highlight w:val="none"/>
                <w14:textFill>
                  <w14:solidFill>
                    <w14:schemeClr w14:val="tx1"/>
                  </w14:solidFill>
                </w14:textFill>
              </w:rPr>
              <w:t>除审计部门以外其他部门委托的工程咨询相关业务</w:t>
            </w:r>
            <w:r>
              <w:rPr>
                <w:rFonts w:hint="eastAsia" w:ascii="宋体" w:hAnsi="宋体" w:eastAsia="宋体" w:cs="宋体"/>
                <w:b/>
                <w:bCs/>
                <w:color w:val="000000" w:themeColor="text1"/>
                <w:spacing w:val="-11"/>
                <w:sz w:val="24"/>
                <w:highlight w:val="none"/>
                <w:lang w:eastAsia="zh-CN"/>
                <w14:textFill>
                  <w14:solidFill>
                    <w14:schemeClr w14:val="tx1"/>
                  </w14:solidFill>
                </w14:textFill>
              </w:rPr>
              <w:t>。</w:t>
            </w:r>
          </w:p>
          <w:p w14:paraId="392475C2">
            <w:pPr>
              <w:spacing w:line="420" w:lineRule="exact"/>
              <w:jc w:val="left"/>
              <w:rPr>
                <w:rFonts w:hint="eastAsia" w:ascii="宋体" w:hAnsi="宋体" w:eastAsia="宋体" w:cs="宋体"/>
                <w:b w:val="0"/>
                <w:bCs w:val="0"/>
                <w:color w:val="000000" w:themeColor="text1"/>
                <w:spacing w:val="-11"/>
                <w:sz w:val="24"/>
                <w:highlight w:val="none"/>
                <w14:textFill>
                  <w14:solidFill>
                    <w14:schemeClr w14:val="tx1"/>
                  </w14:solidFill>
                </w14:textFill>
              </w:rPr>
            </w:pPr>
          </w:p>
        </w:tc>
        <w:tc>
          <w:tcPr>
            <w:tcW w:w="695" w:type="pct"/>
            <w:tcBorders>
              <w:top w:val="single" w:color="auto" w:sz="4" w:space="0"/>
              <w:left w:val="single" w:color="auto" w:sz="4" w:space="0"/>
              <w:bottom w:val="single" w:color="auto" w:sz="4" w:space="0"/>
              <w:right w:val="single" w:color="auto" w:sz="4" w:space="0"/>
            </w:tcBorders>
            <w:vAlign w:val="center"/>
          </w:tcPr>
          <w:p w14:paraId="3F42C81A">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p>
        </w:tc>
      </w:tr>
      <w:tr w14:paraId="2DBB9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39" w:hRule="exact"/>
        </w:trPr>
        <w:tc>
          <w:tcPr>
            <w:tcW w:w="689" w:type="pct"/>
            <w:tcBorders>
              <w:top w:val="single" w:color="auto" w:sz="4" w:space="0"/>
              <w:left w:val="single" w:color="auto" w:sz="4" w:space="0"/>
              <w:bottom w:val="single" w:color="auto" w:sz="4" w:space="0"/>
              <w:right w:val="single" w:color="auto" w:sz="4" w:space="0"/>
            </w:tcBorders>
            <w:vAlign w:val="center"/>
          </w:tcPr>
          <w:p w14:paraId="5B37A3FB">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p>
        </w:tc>
        <w:tc>
          <w:tcPr>
            <w:tcW w:w="850" w:type="pct"/>
            <w:tcBorders>
              <w:top w:val="single" w:color="auto" w:sz="4" w:space="0"/>
              <w:left w:val="single" w:color="auto" w:sz="4" w:space="0"/>
              <w:bottom w:val="single" w:color="auto" w:sz="4" w:space="0"/>
              <w:right w:val="single" w:color="auto" w:sz="4" w:space="0"/>
            </w:tcBorders>
            <w:vAlign w:val="center"/>
          </w:tcPr>
          <w:p w14:paraId="03BF8A53">
            <w:pPr>
              <w:spacing w:line="420" w:lineRule="exact"/>
              <w:jc w:val="center"/>
              <w:rPr>
                <w:rFonts w:hint="eastAsia" w:ascii="宋体" w:hAnsi="宋体" w:eastAsia="宋体" w:cs="宋体"/>
                <w:b w:val="0"/>
                <w:bCs w:val="0"/>
                <w:color w:val="000000" w:themeColor="text1"/>
                <w:spacing w:val="-11"/>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sz w:val="24"/>
                <w:szCs w:val="24"/>
                <w:highlight w:val="none"/>
                <w14:textFill>
                  <w14:solidFill>
                    <w14:schemeClr w14:val="tx1"/>
                  </w14:solidFill>
                </w14:textFill>
              </w:rPr>
              <w:t>质量要求</w:t>
            </w:r>
          </w:p>
        </w:tc>
        <w:tc>
          <w:tcPr>
            <w:tcW w:w="2764" w:type="pct"/>
            <w:tcBorders>
              <w:top w:val="single" w:color="auto" w:sz="4" w:space="0"/>
              <w:left w:val="single" w:color="auto" w:sz="4" w:space="0"/>
              <w:bottom w:val="single" w:color="auto" w:sz="4" w:space="0"/>
              <w:right w:val="single" w:color="auto" w:sz="4" w:space="0"/>
            </w:tcBorders>
            <w:vAlign w:val="center"/>
          </w:tcPr>
          <w:p w14:paraId="612522DE">
            <w:pPr>
              <w:spacing w:line="420" w:lineRule="exact"/>
              <w:jc w:val="left"/>
              <w:rPr>
                <w:rFonts w:hint="eastAsia" w:ascii="宋体" w:hAnsi="宋体" w:eastAsia="宋体" w:cs="宋体"/>
                <w:b w:val="0"/>
                <w:bCs w:val="0"/>
                <w:color w:val="000000" w:themeColor="text1"/>
                <w:spacing w:val="-11"/>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sz w:val="24"/>
                <w:szCs w:val="24"/>
                <w:highlight w:val="none"/>
                <w14:textFill>
                  <w14:solidFill>
                    <w14:schemeClr w14:val="tx1"/>
                  </w14:solidFill>
                </w14:textFill>
              </w:rPr>
              <w:t>审核误差率不超过3%，否则</w:t>
            </w:r>
            <w:r>
              <w:rPr>
                <w:rFonts w:hint="eastAsia" w:ascii="宋体" w:hAnsi="宋体" w:cs="宋体"/>
                <w:b w:val="0"/>
                <w:bCs w:val="0"/>
                <w:color w:val="000000" w:themeColor="text1"/>
                <w:spacing w:val="-11"/>
                <w:sz w:val="24"/>
                <w:szCs w:val="24"/>
                <w:highlight w:val="none"/>
                <w:lang w:eastAsia="zh-CN"/>
                <w14:textFill>
                  <w14:solidFill>
                    <w14:schemeClr w14:val="tx1"/>
                  </w14:solidFill>
                </w14:textFill>
              </w:rPr>
              <w:t>采购人</w:t>
            </w:r>
            <w:r>
              <w:rPr>
                <w:rFonts w:hint="eastAsia" w:ascii="宋体" w:hAnsi="宋体" w:eastAsia="宋体" w:cs="宋体"/>
                <w:b w:val="0"/>
                <w:bCs w:val="0"/>
                <w:color w:val="000000" w:themeColor="text1"/>
                <w:spacing w:val="-11"/>
                <w:sz w:val="24"/>
                <w:szCs w:val="24"/>
                <w:highlight w:val="none"/>
                <w14:textFill>
                  <w14:solidFill>
                    <w14:schemeClr w14:val="tx1"/>
                  </w14:solidFill>
                </w14:textFill>
              </w:rPr>
              <w:t>有权解除委托合同，重新委托审计，并追究投标人相关责任。</w:t>
            </w:r>
          </w:p>
        </w:tc>
        <w:tc>
          <w:tcPr>
            <w:tcW w:w="695" w:type="pct"/>
            <w:tcBorders>
              <w:top w:val="single" w:color="auto" w:sz="4" w:space="0"/>
              <w:left w:val="single" w:color="auto" w:sz="4" w:space="0"/>
              <w:bottom w:val="single" w:color="auto" w:sz="4" w:space="0"/>
              <w:right w:val="single" w:color="auto" w:sz="4" w:space="0"/>
            </w:tcBorders>
            <w:vAlign w:val="center"/>
          </w:tcPr>
          <w:p w14:paraId="37066B4E">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p>
        </w:tc>
      </w:tr>
      <w:tr w14:paraId="070F4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9" w:hRule="exact"/>
        </w:trPr>
        <w:tc>
          <w:tcPr>
            <w:tcW w:w="689" w:type="pct"/>
            <w:tcBorders>
              <w:top w:val="single" w:color="auto" w:sz="4" w:space="0"/>
              <w:left w:val="single" w:color="auto" w:sz="4" w:space="0"/>
              <w:bottom w:val="single" w:color="auto" w:sz="4" w:space="0"/>
              <w:right w:val="single" w:color="auto" w:sz="4" w:space="0"/>
            </w:tcBorders>
            <w:vAlign w:val="center"/>
          </w:tcPr>
          <w:p w14:paraId="36758AC6">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p>
        </w:tc>
        <w:tc>
          <w:tcPr>
            <w:tcW w:w="850" w:type="pct"/>
            <w:tcBorders>
              <w:top w:val="single" w:color="auto" w:sz="4" w:space="0"/>
              <w:left w:val="single" w:color="auto" w:sz="4" w:space="0"/>
              <w:bottom w:val="single" w:color="auto" w:sz="4" w:space="0"/>
              <w:right w:val="single" w:color="auto" w:sz="4" w:space="0"/>
            </w:tcBorders>
            <w:vAlign w:val="center"/>
          </w:tcPr>
          <w:p w14:paraId="0347B481">
            <w:pPr>
              <w:spacing w:line="420" w:lineRule="exact"/>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人员要求</w:t>
            </w:r>
          </w:p>
        </w:tc>
        <w:tc>
          <w:tcPr>
            <w:tcW w:w="2764" w:type="pct"/>
            <w:tcBorders>
              <w:top w:val="single" w:color="auto" w:sz="4" w:space="0"/>
              <w:left w:val="single" w:color="auto" w:sz="4" w:space="0"/>
              <w:bottom w:val="single" w:color="auto" w:sz="4" w:space="0"/>
              <w:right w:val="single" w:color="auto" w:sz="4" w:space="0"/>
            </w:tcBorders>
            <w:vAlign w:val="center"/>
          </w:tcPr>
          <w:p w14:paraId="26EFD076">
            <w:pPr>
              <w:spacing w:line="420" w:lineRule="exact"/>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sz w:val="24"/>
                <w:szCs w:val="24"/>
              </w:rPr>
              <w:t>拟委派的项目负责人具备一级造价工程师执业资格</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注：须提供注册在本单位的证书原件扫描件同时提供持证人在本单位自2026年03月至今任意一个月的社保缴纳凭证</w:t>
            </w:r>
            <w:r>
              <w:rPr>
                <w:rFonts w:hint="eastAsia" w:ascii="宋体" w:hAnsi="宋体" w:eastAsia="宋体" w:cs="宋体"/>
                <w:b/>
                <w:bCs/>
                <w:sz w:val="24"/>
                <w:szCs w:val="24"/>
                <w:lang w:eastAsia="zh-CN"/>
              </w:rPr>
              <w:t>）</w:t>
            </w:r>
          </w:p>
        </w:tc>
        <w:tc>
          <w:tcPr>
            <w:tcW w:w="695" w:type="pct"/>
            <w:tcBorders>
              <w:top w:val="single" w:color="auto" w:sz="4" w:space="0"/>
              <w:left w:val="single" w:color="auto" w:sz="4" w:space="0"/>
              <w:bottom w:val="single" w:color="auto" w:sz="4" w:space="0"/>
              <w:right w:val="single" w:color="auto" w:sz="4" w:space="0"/>
            </w:tcBorders>
            <w:vAlign w:val="center"/>
          </w:tcPr>
          <w:p w14:paraId="12017611">
            <w:pPr>
              <w:spacing w:line="42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p>
        </w:tc>
      </w:tr>
    </w:tbl>
    <w:p w14:paraId="7175AD28">
      <w:pPr>
        <w:spacing w:line="360" w:lineRule="auto"/>
        <w:ind w:firstLine="482" w:firstLineChars="200"/>
        <w:rPr>
          <w:rFonts w:hint="eastAsia"/>
          <w:b/>
          <w:bCs/>
          <w:sz w:val="24"/>
        </w:rPr>
      </w:pPr>
      <w:r>
        <w:rPr>
          <w:rFonts w:hint="eastAsia"/>
          <w:b/>
          <w:bCs/>
          <w:sz w:val="24"/>
        </w:rPr>
        <w:t>关键</w:t>
      </w:r>
      <w:r>
        <w:rPr>
          <w:rFonts w:hint="eastAsia"/>
          <w:b/>
          <w:bCs/>
          <w:sz w:val="24"/>
          <w:lang w:eastAsia="zh-CN"/>
        </w:rPr>
        <w:t>服务</w:t>
      </w:r>
      <w:r>
        <w:rPr>
          <w:rFonts w:hint="eastAsia"/>
          <w:b/>
          <w:bCs/>
          <w:sz w:val="24"/>
        </w:rPr>
        <w:t>条款（★条款）需提供</w:t>
      </w:r>
      <w:r>
        <w:rPr>
          <w:rFonts w:hint="eastAsia"/>
          <w:b/>
          <w:bCs/>
          <w:sz w:val="24"/>
          <w:lang w:val="en-US" w:eastAsia="zh-CN"/>
        </w:rPr>
        <w:t>相关材料或承诺，</w:t>
      </w:r>
      <w:r>
        <w:rPr>
          <w:rFonts w:hint="eastAsia"/>
          <w:b/>
          <w:bCs/>
          <w:sz w:val="24"/>
        </w:rPr>
        <w:t>否则该条款视为“实质性不响应”，按无效投标报价处理。</w:t>
      </w:r>
    </w:p>
    <w:p w14:paraId="6B26D060">
      <w:pPr>
        <w:spacing w:line="360" w:lineRule="auto"/>
        <w:ind w:firstLine="482" w:firstLineChars="200"/>
        <w:rPr>
          <w:rFonts w:hint="eastAsia"/>
          <w:b/>
          <w:bCs/>
          <w:sz w:val="24"/>
          <w:lang w:val="en-US" w:eastAsia="zh-CN"/>
        </w:rPr>
      </w:pPr>
      <w:r>
        <w:rPr>
          <w:rFonts w:hint="eastAsia"/>
          <w:b/>
          <w:bCs/>
          <w:sz w:val="24"/>
        </w:rPr>
        <w:t>注：在“</w:t>
      </w:r>
      <w:r>
        <w:rPr>
          <w:rFonts w:hint="eastAsia"/>
          <w:b/>
          <w:bCs/>
          <w:sz w:val="24"/>
          <w:lang w:eastAsia="zh-CN"/>
        </w:rPr>
        <w:t>服务</w:t>
      </w:r>
      <w:r>
        <w:rPr>
          <w:rFonts w:hint="eastAsia"/>
          <w:b/>
          <w:bCs/>
          <w:sz w:val="24"/>
        </w:rPr>
        <w:t>条款响应一览表”中“备注”一栏标注该佐证在电子投标文件中的页码，以便评委评审。</w:t>
      </w:r>
    </w:p>
    <w:p w14:paraId="44E155FB">
      <w:pPr>
        <w:spacing w:before="156" w:beforeLines="50" w:line="360" w:lineRule="auto"/>
        <w:ind w:firstLine="480" w:firstLineChars="200"/>
        <w:rPr>
          <w:b/>
          <w:sz w:val="24"/>
        </w:rPr>
      </w:pPr>
      <w:r>
        <w:rPr>
          <w:rFonts w:hint="eastAsia"/>
          <w:sz w:val="24"/>
          <w:lang w:val="en-US" w:eastAsia="zh-CN"/>
        </w:rPr>
        <w:t>二</w:t>
      </w:r>
      <w:r>
        <w:rPr>
          <w:rFonts w:hint="eastAsia"/>
          <w:b/>
          <w:sz w:val="24"/>
        </w:rPr>
        <w:t>、报价要求</w:t>
      </w:r>
    </w:p>
    <w:p w14:paraId="13AC4BBD">
      <w:pPr>
        <w:spacing w:line="360" w:lineRule="auto"/>
        <w:ind w:firstLine="480" w:firstLineChars="200"/>
        <w:rPr>
          <w:sz w:val="24"/>
        </w:rPr>
      </w:pPr>
      <w:r>
        <w:rPr>
          <w:rFonts w:hint="eastAsia"/>
          <w:sz w:val="24"/>
        </w:rPr>
        <w:t>1</w:t>
      </w:r>
      <w:r>
        <w:rPr>
          <w:rFonts w:hint="eastAsia" w:hAnsi="宋体" w:cs="宋体"/>
          <w:sz w:val="24"/>
        </w:rPr>
        <w:t>．</w:t>
      </w:r>
      <w:r>
        <w:rPr>
          <w:rFonts w:hint="eastAsia"/>
          <w:sz w:val="24"/>
        </w:rPr>
        <w:t>服务收费</w:t>
      </w:r>
    </w:p>
    <w:p w14:paraId="06046866">
      <w:pPr>
        <w:spacing w:line="360" w:lineRule="auto"/>
        <w:ind w:firstLine="480" w:firstLineChars="200"/>
        <w:rPr>
          <w:sz w:val="24"/>
        </w:rPr>
      </w:pPr>
      <w:r>
        <w:rPr>
          <w:rFonts w:hint="eastAsia"/>
          <w:sz w:val="24"/>
        </w:rPr>
        <w:t>根据《山东省住房和城乡建设厅关于规范造价咨询活动提高结算质量的通知》（鲁建建管字〔2025〕8号），该项目报价采用综合费率的方式，最高限价为投标费率</w:t>
      </w:r>
      <w:r>
        <w:rPr>
          <w:sz w:val="24"/>
        </w:rPr>
        <w:t>3</w:t>
      </w:r>
      <w:r>
        <w:rPr>
          <w:rFonts w:hint="eastAsia"/>
          <w:sz w:val="24"/>
        </w:rPr>
        <w:t>‰</w:t>
      </w:r>
      <w:r>
        <w:rPr>
          <w:rFonts w:hint="eastAsia"/>
          <w:sz w:val="24"/>
          <w:lang w:eastAsia="zh-CN"/>
        </w:rPr>
        <w:t>，</w:t>
      </w:r>
      <w:r>
        <w:rPr>
          <w:rFonts w:hint="eastAsia"/>
          <w:sz w:val="24"/>
        </w:rPr>
        <w:t>结合本单位及项目实际，充分考虑市场情况，确定投标项目基础服务费费率报价。</w:t>
      </w:r>
    </w:p>
    <w:p w14:paraId="44D344DA">
      <w:pPr>
        <w:spacing w:line="360" w:lineRule="auto"/>
        <w:ind w:firstLine="480" w:firstLineChars="200"/>
        <w:rPr>
          <w:sz w:val="24"/>
        </w:rPr>
      </w:pPr>
      <w:r>
        <w:rPr>
          <w:sz w:val="24"/>
        </w:rPr>
        <w:t>2</w:t>
      </w:r>
      <w:r>
        <w:rPr>
          <w:rFonts w:hint="eastAsia" w:hAnsi="宋体" w:cs="宋体"/>
          <w:sz w:val="24"/>
        </w:rPr>
        <w:t>．</w:t>
      </w:r>
      <w:r>
        <w:rPr>
          <w:rFonts w:hint="eastAsia"/>
          <w:sz w:val="24"/>
        </w:rPr>
        <w:t>费用计取方式：</w:t>
      </w:r>
    </w:p>
    <w:p w14:paraId="78052FBD">
      <w:pPr>
        <w:spacing w:line="360" w:lineRule="auto"/>
        <w:ind w:firstLine="480" w:firstLineChars="200"/>
        <w:rPr>
          <w:sz w:val="24"/>
        </w:rPr>
      </w:pPr>
      <w:r>
        <w:rPr>
          <w:rFonts w:hint="eastAsia"/>
          <w:sz w:val="24"/>
        </w:rPr>
        <w:t>审计服务费=基础服务费+审减服务费；</w:t>
      </w:r>
    </w:p>
    <w:p w14:paraId="7A056FF9">
      <w:pPr>
        <w:spacing w:line="360" w:lineRule="auto"/>
        <w:ind w:firstLine="480" w:firstLineChars="200"/>
        <w:rPr>
          <w:sz w:val="24"/>
        </w:rPr>
      </w:pPr>
      <w:r>
        <w:rPr>
          <w:rFonts w:hint="eastAsia"/>
          <w:sz w:val="24"/>
        </w:rPr>
        <w:t>其中：基础服务费=结算送审金额*中标费率；审减服务费=（各项核增、核减费用相抵后差额超过5%的部分）*5%，据实结算。</w:t>
      </w:r>
    </w:p>
    <w:p w14:paraId="741F35A9">
      <w:pPr>
        <w:spacing w:line="360" w:lineRule="auto"/>
        <w:ind w:firstLine="480" w:firstLineChars="200"/>
        <w:rPr>
          <w:sz w:val="24"/>
        </w:rPr>
      </w:pPr>
      <w:r>
        <w:rPr>
          <w:rFonts w:hint="eastAsia"/>
          <w:sz w:val="24"/>
        </w:rPr>
        <w:t>审减服务费是结算净核减金额超过5%的部分，且审减服务费累计总额不超过服务费总额的50%，基础服务费和审减服务费均由</w:t>
      </w:r>
      <w:r>
        <w:rPr>
          <w:rFonts w:hint="eastAsia"/>
          <w:sz w:val="24"/>
          <w:lang w:eastAsia="zh-CN"/>
        </w:rPr>
        <w:t>采购人</w:t>
      </w:r>
      <w:r>
        <w:rPr>
          <w:rFonts w:hint="eastAsia"/>
          <w:sz w:val="24"/>
        </w:rPr>
        <w:t>承担，中标人不得向</w:t>
      </w:r>
      <w:r>
        <w:rPr>
          <w:rFonts w:hint="eastAsia"/>
          <w:sz w:val="24"/>
          <w:lang w:eastAsia="zh-CN"/>
        </w:rPr>
        <w:t>采购人</w:t>
      </w:r>
      <w:r>
        <w:rPr>
          <w:rFonts w:hint="eastAsia"/>
          <w:sz w:val="24"/>
        </w:rPr>
        <w:t>之外的第三方收取服务费。单个项目审计服务费低于1</w:t>
      </w:r>
      <w:r>
        <w:rPr>
          <w:sz w:val="24"/>
        </w:rPr>
        <w:t>000</w:t>
      </w:r>
      <w:r>
        <w:rPr>
          <w:rFonts w:hint="eastAsia"/>
          <w:sz w:val="24"/>
        </w:rPr>
        <w:t>元的，按1</w:t>
      </w:r>
      <w:r>
        <w:rPr>
          <w:sz w:val="24"/>
        </w:rPr>
        <w:t>000</w:t>
      </w:r>
      <w:r>
        <w:rPr>
          <w:rFonts w:hint="eastAsia"/>
          <w:sz w:val="24"/>
        </w:rPr>
        <w:t>元计取。</w:t>
      </w:r>
    </w:p>
    <w:p w14:paraId="59B9F60F">
      <w:pPr>
        <w:spacing w:line="360" w:lineRule="auto"/>
        <w:ind w:firstLine="482" w:firstLineChars="200"/>
        <w:rPr>
          <w:b/>
          <w:bCs/>
          <w:sz w:val="24"/>
        </w:rPr>
      </w:pPr>
      <w:r>
        <w:rPr>
          <w:rFonts w:hint="eastAsia"/>
          <w:b/>
          <w:bCs/>
          <w:sz w:val="24"/>
        </w:rPr>
        <w:t>审减服务费为不可预测费用，投标人在投标报价时不应考虑此费用。</w:t>
      </w:r>
    </w:p>
    <w:p w14:paraId="6381DD2D">
      <w:pPr>
        <w:spacing w:line="360" w:lineRule="auto"/>
        <w:ind w:firstLine="480" w:firstLineChars="200"/>
        <w:rPr>
          <w:sz w:val="24"/>
        </w:rPr>
      </w:pPr>
      <w:r>
        <w:rPr>
          <w:sz w:val="24"/>
        </w:rPr>
        <w:t>3</w:t>
      </w:r>
      <w:r>
        <w:rPr>
          <w:rFonts w:hint="eastAsia"/>
          <w:sz w:val="24"/>
        </w:rPr>
        <w:t>．出现下列情形之一的，评审委员会应启动异常低价投标审查程序:</w:t>
      </w:r>
    </w:p>
    <w:p w14:paraId="080EFFD6">
      <w:pPr>
        <w:spacing w:line="360" w:lineRule="auto"/>
        <w:ind w:firstLine="480" w:firstLineChars="200"/>
        <w:rPr>
          <w:sz w:val="24"/>
        </w:rPr>
      </w:pPr>
      <w:r>
        <w:rPr>
          <w:rFonts w:hint="eastAsia"/>
          <w:sz w:val="24"/>
        </w:rPr>
        <w:t>（1）投标报价低于全部通过符合性审查投标人投标报价平均值50%的，即投标报价＜全部通过符合性审查投标人投标报价平均值×50%；</w:t>
      </w:r>
    </w:p>
    <w:p w14:paraId="42796B37">
      <w:pPr>
        <w:spacing w:line="360" w:lineRule="auto"/>
        <w:ind w:firstLine="480" w:firstLineChars="200"/>
        <w:rPr>
          <w:sz w:val="24"/>
        </w:rPr>
      </w:pPr>
      <w:r>
        <w:rPr>
          <w:rFonts w:hint="eastAsia"/>
          <w:sz w:val="24"/>
        </w:rPr>
        <w:t>（2）投标报价低于通过符合性审查的次低报价投标人投标报价50%的，即投标报价＜通过符合性审查的次低报价投标人投标(响应)报价×50%；</w:t>
      </w:r>
    </w:p>
    <w:p w14:paraId="4712F8D8">
      <w:pPr>
        <w:spacing w:line="360" w:lineRule="auto"/>
        <w:ind w:firstLine="480" w:firstLineChars="200"/>
        <w:rPr>
          <w:sz w:val="24"/>
        </w:rPr>
      </w:pPr>
      <w:r>
        <w:rPr>
          <w:rFonts w:hint="eastAsia"/>
          <w:sz w:val="24"/>
        </w:rPr>
        <w:t>（3）投标报价低于采购项目最高限价45%的，即投标报价＜采购项目最高限价×45%；</w:t>
      </w:r>
    </w:p>
    <w:p w14:paraId="4F47ED74">
      <w:pPr>
        <w:spacing w:line="360" w:lineRule="auto"/>
        <w:ind w:firstLine="480" w:firstLineChars="200"/>
        <w:rPr>
          <w:rFonts w:hint="eastAsia"/>
          <w:sz w:val="24"/>
        </w:rPr>
      </w:pPr>
      <w:r>
        <w:rPr>
          <w:rFonts w:hint="eastAsia"/>
          <w:sz w:val="24"/>
        </w:rPr>
        <w:t>（4）评标委员会基于专业判断，认为投标人报价过低，有可能服务质量或者不能诚信履约的其他情形。</w:t>
      </w:r>
    </w:p>
    <w:p w14:paraId="2C478EEC">
      <w:pPr>
        <w:snapToGrid w:val="0"/>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山东大学采购商务条款响应一览表</w:t>
      </w:r>
    </w:p>
    <w:tbl>
      <w:tblPr>
        <w:tblStyle w:val="10"/>
        <w:tblW w:w="492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3"/>
        <w:gridCol w:w="1408"/>
        <w:gridCol w:w="5902"/>
      </w:tblGrid>
      <w:tr w14:paraId="4B413D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28" w:type="pct"/>
            <w:tcBorders>
              <w:top w:val="single" w:color="auto" w:sz="4" w:space="0"/>
              <w:bottom w:val="single" w:color="auto" w:sz="4" w:space="0"/>
              <w:right w:val="single" w:color="auto" w:sz="4" w:space="0"/>
            </w:tcBorders>
            <w:noWrap w:val="0"/>
            <w:vAlign w:val="center"/>
          </w:tcPr>
          <w:p w14:paraId="341AF2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color w:val="000000" w:themeColor="text1"/>
                <w:kern w:val="2"/>
                <w:sz w:val="32"/>
                <w:highlight w:val="none"/>
                <w14:textFill>
                  <w14:solidFill>
                    <w14:schemeClr w14:val="tx1"/>
                  </w14:solidFill>
                </w14:textFill>
              </w:rPr>
              <w:br w:type="page"/>
            </w:r>
            <w:r>
              <w:rPr>
                <w:rFonts w:hint="eastAsia" w:ascii="宋体" w:hAnsi="宋体" w:eastAsia="宋体" w:cs="宋体"/>
                <w:b/>
                <w:bCs/>
                <w:sz w:val="24"/>
                <w:szCs w:val="24"/>
              </w:rPr>
              <w:t>序号</w:t>
            </w:r>
          </w:p>
        </w:tc>
        <w:tc>
          <w:tcPr>
            <w:tcW w:w="861" w:type="pct"/>
            <w:tcBorders>
              <w:top w:val="single" w:color="auto" w:sz="4" w:space="0"/>
              <w:left w:val="single" w:color="auto" w:sz="4" w:space="0"/>
              <w:bottom w:val="single" w:color="auto" w:sz="4" w:space="0"/>
              <w:right w:val="single" w:color="auto" w:sz="4" w:space="0"/>
            </w:tcBorders>
            <w:noWrap w:val="0"/>
            <w:vAlign w:val="center"/>
          </w:tcPr>
          <w:p w14:paraId="510E4C1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名称</w:t>
            </w:r>
          </w:p>
        </w:tc>
        <w:tc>
          <w:tcPr>
            <w:tcW w:w="3610" w:type="pct"/>
            <w:tcBorders>
              <w:top w:val="single" w:color="auto" w:sz="4" w:space="0"/>
              <w:left w:val="single" w:color="auto" w:sz="4" w:space="0"/>
              <w:bottom w:val="single" w:color="auto" w:sz="4" w:space="0"/>
            </w:tcBorders>
            <w:noWrap w:val="0"/>
            <w:vAlign w:val="center"/>
          </w:tcPr>
          <w:p w14:paraId="720BDD06">
            <w:pPr>
              <w:keepNext w:val="0"/>
              <w:keepLines w:val="0"/>
              <w:pageBreakBefore w:val="0"/>
              <w:widowControl w:val="0"/>
              <w:kinsoku/>
              <w:wordWrap/>
              <w:overflowPunct/>
              <w:topLinePunct w:val="0"/>
              <w:autoSpaceDE/>
              <w:autoSpaceDN/>
              <w:bidi w:val="0"/>
              <w:adjustRightInd/>
              <w:snapToGrid/>
              <w:spacing w:line="360" w:lineRule="auto"/>
              <w:ind w:firstLine="482"/>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采购人要求</w:t>
            </w:r>
          </w:p>
        </w:tc>
      </w:tr>
      <w:tr w14:paraId="4E5A90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37F8B41E">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Cs/>
                <w:sz w:val="24"/>
                <w:szCs w:val="24"/>
              </w:rPr>
              <w:t>1</w:t>
            </w:r>
          </w:p>
        </w:tc>
        <w:tc>
          <w:tcPr>
            <w:tcW w:w="861" w:type="pct"/>
            <w:tcBorders>
              <w:top w:val="single" w:color="auto" w:sz="4" w:space="0"/>
              <w:left w:val="single" w:color="auto" w:sz="4" w:space="0"/>
              <w:bottom w:val="single" w:color="auto" w:sz="4" w:space="0"/>
              <w:right w:val="single" w:color="auto" w:sz="4" w:space="0"/>
            </w:tcBorders>
            <w:noWrap w:val="0"/>
            <w:vAlign w:val="center"/>
          </w:tcPr>
          <w:p w14:paraId="64F4C163">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成交价</w:t>
            </w:r>
          </w:p>
        </w:tc>
        <w:tc>
          <w:tcPr>
            <w:tcW w:w="3610" w:type="pct"/>
            <w:tcBorders>
              <w:top w:val="single" w:color="auto" w:sz="4" w:space="0"/>
              <w:left w:val="single" w:color="auto" w:sz="4" w:space="0"/>
              <w:bottom w:val="single" w:color="auto" w:sz="4" w:space="0"/>
            </w:tcBorders>
            <w:noWrap w:val="0"/>
            <w:vAlign w:val="center"/>
          </w:tcPr>
          <w:p w14:paraId="5C3094D8">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费率（</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w:t>
            </w:r>
          </w:p>
        </w:tc>
      </w:tr>
      <w:tr w14:paraId="08F83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626EB41E">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Cs/>
                <w:sz w:val="24"/>
                <w:szCs w:val="24"/>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14:paraId="6B7865C7">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付款方式</w:t>
            </w:r>
          </w:p>
        </w:tc>
        <w:tc>
          <w:tcPr>
            <w:tcW w:w="3610" w:type="pct"/>
            <w:tcBorders>
              <w:top w:val="single" w:color="auto" w:sz="4" w:space="0"/>
              <w:left w:val="single" w:color="auto" w:sz="4" w:space="0"/>
              <w:bottom w:val="single" w:color="auto" w:sz="4" w:space="0"/>
            </w:tcBorders>
            <w:noWrap w:val="0"/>
            <w:vAlign w:val="center"/>
          </w:tcPr>
          <w:p w14:paraId="08592188">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审计服务费在出具审计报告后，约每半年集中支付一次</w:t>
            </w:r>
          </w:p>
        </w:tc>
      </w:tr>
      <w:tr w14:paraId="5B49D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0255CE57">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w:t>
            </w:r>
          </w:p>
        </w:tc>
        <w:tc>
          <w:tcPr>
            <w:tcW w:w="861" w:type="pct"/>
            <w:tcBorders>
              <w:top w:val="single" w:color="auto" w:sz="4" w:space="0"/>
              <w:left w:val="single" w:color="auto" w:sz="4" w:space="0"/>
              <w:bottom w:val="single" w:color="auto" w:sz="4" w:space="0"/>
              <w:right w:val="single" w:color="auto" w:sz="4" w:space="0"/>
            </w:tcBorders>
            <w:noWrap w:val="0"/>
            <w:vAlign w:val="center"/>
          </w:tcPr>
          <w:p w14:paraId="39DB354A">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服务期限</w:t>
            </w:r>
          </w:p>
        </w:tc>
        <w:tc>
          <w:tcPr>
            <w:tcW w:w="3610" w:type="pct"/>
            <w:tcBorders>
              <w:top w:val="single" w:color="auto" w:sz="4" w:space="0"/>
              <w:left w:val="single" w:color="auto" w:sz="4" w:space="0"/>
              <w:bottom w:val="single" w:color="auto" w:sz="4" w:space="0"/>
            </w:tcBorders>
            <w:noWrap w:val="0"/>
            <w:vAlign w:val="center"/>
          </w:tcPr>
          <w:p w14:paraId="30830A6E">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3年</w:t>
            </w:r>
          </w:p>
        </w:tc>
      </w:tr>
    </w:tbl>
    <w:p w14:paraId="1B2865AA">
      <w:pPr>
        <w:spacing w:line="420" w:lineRule="exact"/>
        <w:jc w:val="both"/>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BE2538"/>
    <w:multiLevelType w:val="multilevel"/>
    <w:tmpl w:val="51BE2538"/>
    <w:lvl w:ilvl="0" w:tentative="0">
      <w:start w:val="1"/>
      <w:numFmt w:val="none"/>
      <w:isLgl/>
      <w:suff w:val="nothing"/>
      <w:lvlText w:val=""/>
      <w:lvlJc w:val="left"/>
      <w:pPr>
        <w:ind w:left="0" w:firstLine="0"/>
      </w:pPr>
      <w:rPr>
        <w:rFonts w:hint="eastAsia"/>
      </w:rPr>
    </w:lvl>
    <w:lvl w:ilvl="1" w:tentative="0">
      <w:start w:val="1"/>
      <w:numFmt w:val="none"/>
      <w:pStyle w:val="2"/>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g4YzE0ZjdiZWE0MTFjZDUzN2VkYjAxMzI4OWE1ZDQifQ=="/>
  </w:docVars>
  <w:rsids>
    <w:rsidRoot w:val="00E44E7D"/>
    <w:rsid w:val="00045C5E"/>
    <w:rsid w:val="000701D3"/>
    <w:rsid w:val="00076328"/>
    <w:rsid w:val="0009526B"/>
    <w:rsid w:val="000C3A40"/>
    <w:rsid w:val="000F18DF"/>
    <w:rsid w:val="000F25AF"/>
    <w:rsid w:val="000F40A8"/>
    <w:rsid w:val="00106D40"/>
    <w:rsid w:val="00116A38"/>
    <w:rsid w:val="0012006C"/>
    <w:rsid w:val="00134EE1"/>
    <w:rsid w:val="0014760C"/>
    <w:rsid w:val="00147632"/>
    <w:rsid w:val="001873C7"/>
    <w:rsid w:val="00190C20"/>
    <w:rsid w:val="001C1296"/>
    <w:rsid w:val="001F6752"/>
    <w:rsid w:val="00214115"/>
    <w:rsid w:val="00224F73"/>
    <w:rsid w:val="002939FA"/>
    <w:rsid w:val="002B1B9D"/>
    <w:rsid w:val="002D5045"/>
    <w:rsid w:val="002F744E"/>
    <w:rsid w:val="003178D4"/>
    <w:rsid w:val="00342741"/>
    <w:rsid w:val="00351796"/>
    <w:rsid w:val="00352536"/>
    <w:rsid w:val="003555E1"/>
    <w:rsid w:val="003745CB"/>
    <w:rsid w:val="003915F8"/>
    <w:rsid w:val="003970F2"/>
    <w:rsid w:val="003B6F2A"/>
    <w:rsid w:val="003C21CC"/>
    <w:rsid w:val="00434D83"/>
    <w:rsid w:val="00437F8F"/>
    <w:rsid w:val="004723E4"/>
    <w:rsid w:val="004806CC"/>
    <w:rsid w:val="004A1EC8"/>
    <w:rsid w:val="004B27EF"/>
    <w:rsid w:val="004C0859"/>
    <w:rsid w:val="004D7A22"/>
    <w:rsid w:val="00501A16"/>
    <w:rsid w:val="0050361B"/>
    <w:rsid w:val="00505209"/>
    <w:rsid w:val="0050745C"/>
    <w:rsid w:val="00514DBF"/>
    <w:rsid w:val="00515C3D"/>
    <w:rsid w:val="00540D7F"/>
    <w:rsid w:val="00541224"/>
    <w:rsid w:val="00546942"/>
    <w:rsid w:val="005543E7"/>
    <w:rsid w:val="00566A3D"/>
    <w:rsid w:val="00590F09"/>
    <w:rsid w:val="005B2C56"/>
    <w:rsid w:val="005D34B8"/>
    <w:rsid w:val="0061354B"/>
    <w:rsid w:val="00624BEE"/>
    <w:rsid w:val="0063561C"/>
    <w:rsid w:val="00675ED4"/>
    <w:rsid w:val="006768AB"/>
    <w:rsid w:val="00680841"/>
    <w:rsid w:val="00686012"/>
    <w:rsid w:val="00694A19"/>
    <w:rsid w:val="00695E18"/>
    <w:rsid w:val="006A1E65"/>
    <w:rsid w:val="006A7E4A"/>
    <w:rsid w:val="006B28AC"/>
    <w:rsid w:val="006D0094"/>
    <w:rsid w:val="006D4B70"/>
    <w:rsid w:val="00702444"/>
    <w:rsid w:val="007231CD"/>
    <w:rsid w:val="00723896"/>
    <w:rsid w:val="00725FDF"/>
    <w:rsid w:val="00763BCE"/>
    <w:rsid w:val="00764763"/>
    <w:rsid w:val="00777BD9"/>
    <w:rsid w:val="00780591"/>
    <w:rsid w:val="007A039B"/>
    <w:rsid w:val="007A7254"/>
    <w:rsid w:val="007B2C48"/>
    <w:rsid w:val="007B56F7"/>
    <w:rsid w:val="007C337C"/>
    <w:rsid w:val="007E46CA"/>
    <w:rsid w:val="00841037"/>
    <w:rsid w:val="00855FBB"/>
    <w:rsid w:val="00866ED8"/>
    <w:rsid w:val="0089650C"/>
    <w:rsid w:val="008968DA"/>
    <w:rsid w:val="008D581E"/>
    <w:rsid w:val="008D74AB"/>
    <w:rsid w:val="008F1101"/>
    <w:rsid w:val="009208F0"/>
    <w:rsid w:val="00922E28"/>
    <w:rsid w:val="00926EA9"/>
    <w:rsid w:val="009403C4"/>
    <w:rsid w:val="0096002E"/>
    <w:rsid w:val="00966428"/>
    <w:rsid w:val="009C23F7"/>
    <w:rsid w:val="009C78B0"/>
    <w:rsid w:val="009E7932"/>
    <w:rsid w:val="009F4346"/>
    <w:rsid w:val="009F489C"/>
    <w:rsid w:val="00A04B60"/>
    <w:rsid w:val="00A159BC"/>
    <w:rsid w:val="00A42B00"/>
    <w:rsid w:val="00A8237B"/>
    <w:rsid w:val="00A82B29"/>
    <w:rsid w:val="00AB7270"/>
    <w:rsid w:val="00AD0AA0"/>
    <w:rsid w:val="00AD0D0B"/>
    <w:rsid w:val="00AF47F0"/>
    <w:rsid w:val="00B03AEE"/>
    <w:rsid w:val="00B04C6B"/>
    <w:rsid w:val="00B062E5"/>
    <w:rsid w:val="00B2620C"/>
    <w:rsid w:val="00B85900"/>
    <w:rsid w:val="00BB5632"/>
    <w:rsid w:val="00BC3814"/>
    <w:rsid w:val="00BE12D9"/>
    <w:rsid w:val="00C32274"/>
    <w:rsid w:val="00CD5BE1"/>
    <w:rsid w:val="00D60472"/>
    <w:rsid w:val="00D81979"/>
    <w:rsid w:val="00DA1871"/>
    <w:rsid w:val="00DA77D5"/>
    <w:rsid w:val="00DE4936"/>
    <w:rsid w:val="00DF3472"/>
    <w:rsid w:val="00E2063E"/>
    <w:rsid w:val="00E44E7D"/>
    <w:rsid w:val="00E50D7C"/>
    <w:rsid w:val="00E52371"/>
    <w:rsid w:val="00E64528"/>
    <w:rsid w:val="00E7260F"/>
    <w:rsid w:val="00E9235F"/>
    <w:rsid w:val="00EA10F7"/>
    <w:rsid w:val="00F024E9"/>
    <w:rsid w:val="00F100E8"/>
    <w:rsid w:val="00F22E3F"/>
    <w:rsid w:val="00F50F56"/>
    <w:rsid w:val="00F76FEF"/>
    <w:rsid w:val="00F86B7E"/>
    <w:rsid w:val="00FA5795"/>
    <w:rsid w:val="00FB0962"/>
    <w:rsid w:val="00FC482F"/>
    <w:rsid w:val="00FC512E"/>
    <w:rsid w:val="00FE0B49"/>
    <w:rsid w:val="06A71E04"/>
    <w:rsid w:val="214A3ADE"/>
    <w:rsid w:val="25846F37"/>
    <w:rsid w:val="420C79A1"/>
    <w:rsid w:val="726A4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5"/>
    <w:qFormat/>
    <w:uiPriority w:val="0"/>
    <w:pPr>
      <w:keepNext/>
      <w:keepLines/>
      <w:numPr>
        <w:ilvl w:val="1"/>
        <w:numId w:val="1"/>
      </w:numPr>
      <w:spacing w:before="260" w:after="260" w:line="416" w:lineRule="auto"/>
      <w:outlineLvl w:val="1"/>
    </w:pPr>
    <w:rPr>
      <w:rFonts w:ascii="Arial" w:hAnsi="Arial" w:eastAsia="黑体"/>
      <w:b/>
      <w:bCs/>
      <w:sz w:val="32"/>
      <w:szCs w:val="32"/>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Body Text"/>
    <w:basedOn w:val="1"/>
    <w:next w:val="1"/>
    <w:link w:val="17"/>
    <w:qFormat/>
    <w:uiPriority w:val="99"/>
    <w:pPr>
      <w:spacing w:after="120"/>
    </w:pPr>
    <w:rPr>
      <w:kern w:val="0"/>
      <w:sz w:val="20"/>
    </w:rPr>
  </w:style>
  <w:style w:type="paragraph" w:styleId="4">
    <w:name w:val="Body Text Indent"/>
    <w:basedOn w:val="1"/>
    <w:link w:val="18"/>
    <w:semiHidden/>
    <w:unhideWhenUsed/>
    <w:qFormat/>
    <w:uiPriority w:val="99"/>
    <w:pPr>
      <w:spacing w:after="120"/>
      <w:ind w:left="420" w:leftChars="200"/>
    </w:pPr>
  </w:style>
  <w:style w:type="paragraph" w:styleId="5">
    <w:name w:val="Balloon Text"/>
    <w:basedOn w:val="1"/>
    <w:link w:val="21"/>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First Indent 2"/>
    <w:basedOn w:val="4"/>
    <w:link w:val="19"/>
    <w:semiHidden/>
    <w:unhideWhenUsed/>
    <w:qFormat/>
    <w:uiPriority w:val="99"/>
    <w:pPr>
      <w:ind w:firstLine="420" w:firstLineChars="200"/>
    </w:pPr>
  </w:style>
  <w:style w:type="character" w:customStyle="1" w:styleId="12">
    <w:name w:val="页眉 字符"/>
    <w:basedOn w:val="11"/>
    <w:link w:val="7"/>
    <w:qFormat/>
    <w:uiPriority w:val="99"/>
    <w:rPr>
      <w:sz w:val="18"/>
      <w:szCs w:val="18"/>
    </w:rPr>
  </w:style>
  <w:style w:type="character" w:customStyle="1" w:styleId="13">
    <w:name w:val="页脚 字符"/>
    <w:basedOn w:val="11"/>
    <w:link w:val="6"/>
    <w:qFormat/>
    <w:uiPriority w:val="99"/>
    <w:rPr>
      <w:sz w:val="18"/>
      <w:szCs w:val="18"/>
    </w:rPr>
  </w:style>
  <w:style w:type="character" w:customStyle="1" w:styleId="14">
    <w:name w:val="标题 2 字符"/>
    <w:basedOn w:val="11"/>
    <w:semiHidden/>
    <w:qFormat/>
    <w:uiPriority w:val="9"/>
    <w:rPr>
      <w:rFonts w:asciiTheme="majorHAnsi" w:hAnsiTheme="majorHAnsi" w:eastAsiaTheme="majorEastAsia" w:cstheme="majorBidi"/>
      <w:b/>
      <w:bCs/>
      <w:sz w:val="32"/>
      <w:szCs w:val="32"/>
    </w:rPr>
  </w:style>
  <w:style w:type="character" w:customStyle="1" w:styleId="15">
    <w:name w:val="标题 2 字符1"/>
    <w:basedOn w:val="11"/>
    <w:link w:val="2"/>
    <w:qFormat/>
    <w:uiPriority w:val="0"/>
    <w:rPr>
      <w:rFonts w:ascii="Arial" w:hAnsi="Arial" w:eastAsia="黑体" w:cs="Times New Roman"/>
      <w:b/>
      <w:bCs/>
      <w:sz w:val="32"/>
      <w:szCs w:val="32"/>
    </w:rPr>
  </w:style>
  <w:style w:type="character" w:customStyle="1" w:styleId="16">
    <w:name w:val="正文文本 字符"/>
    <w:basedOn w:val="11"/>
    <w:semiHidden/>
    <w:qFormat/>
    <w:uiPriority w:val="99"/>
    <w:rPr>
      <w:rFonts w:ascii="Times New Roman" w:hAnsi="Times New Roman" w:eastAsia="宋体" w:cs="Times New Roman"/>
      <w:szCs w:val="24"/>
    </w:rPr>
  </w:style>
  <w:style w:type="character" w:customStyle="1" w:styleId="17">
    <w:name w:val="正文文本 字符1"/>
    <w:link w:val="3"/>
    <w:qFormat/>
    <w:uiPriority w:val="99"/>
    <w:rPr>
      <w:rFonts w:ascii="Times New Roman" w:hAnsi="Times New Roman" w:eastAsia="宋体" w:cs="Times New Roman"/>
      <w:kern w:val="0"/>
      <w:sz w:val="20"/>
      <w:szCs w:val="24"/>
    </w:rPr>
  </w:style>
  <w:style w:type="character" w:customStyle="1" w:styleId="18">
    <w:name w:val="正文文本缩进 字符"/>
    <w:basedOn w:val="11"/>
    <w:link w:val="4"/>
    <w:semiHidden/>
    <w:qFormat/>
    <w:uiPriority w:val="99"/>
    <w:rPr>
      <w:rFonts w:ascii="Times New Roman" w:hAnsi="Times New Roman" w:eastAsia="宋体" w:cs="Times New Roman"/>
      <w:szCs w:val="24"/>
    </w:rPr>
  </w:style>
  <w:style w:type="character" w:customStyle="1" w:styleId="19">
    <w:name w:val="正文文本首行缩进 2 字符"/>
    <w:basedOn w:val="18"/>
    <w:link w:val="9"/>
    <w:semiHidden/>
    <w:qFormat/>
    <w:uiPriority w:val="99"/>
    <w:rPr>
      <w:rFonts w:ascii="Times New Roman" w:hAnsi="Times New Roman" w:eastAsia="宋体" w:cs="Times New Roman"/>
      <w:szCs w:val="24"/>
    </w:rPr>
  </w:style>
  <w:style w:type="paragraph" w:customStyle="1" w:styleId="20">
    <w:name w:val="列表段落1"/>
    <w:basedOn w:val="1"/>
    <w:qFormat/>
    <w:uiPriority w:val="34"/>
    <w:pPr>
      <w:ind w:firstLine="420" w:firstLineChars="200"/>
    </w:pPr>
    <w:rPr>
      <w:rFonts w:ascii="Calibri" w:hAnsi="Calibri"/>
      <w:szCs w:val="22"/>
    </w:rPr>
  </w:style>
  <w:style w:type="character" w:customStyle="1" w:styleId="21">
    <w:name w:val="批注框文本 字符"/>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~WRL0057.tmp</Template>
  <Pages>4</Pages>
  <Words>3410</Words>
  <Characters>3493</Characters>
  <Lines>18</Lines>
  <Paragraphs>5</Paragraphs>
  <TotalTime>0</TotalTime>
  <ScaleCrop>false</ScaleCrop>
  <LinksUpToDate>false</LinksUpToDate>
  <CharactersWithSpaces>3518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2026-08-31T01:23:00Z</dcterms:created>
  <dc:creator>lenovo</dc:creator>
  <cp:lastModifiedBy>NTKO</cp:lastModifiedBy>
  <cp:lastPrinted>2023-10-12T09:27:00Z</cp:lastPrinted>
  <dcterms:modified xsi:type="dcterms:W3CDTF">2026-09-10T06:16:27Z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6DC76F9F05374927978992F36FAD8262_13</vt:lpwstr>
  </property>
  <property fmtid="{D5CDD505-2E9C-101B-9397-08002B2CF9AE}" pid="4" name="KSOTemplateDocerSaveRecord">
    <vt:lpwstr>eyJoZGlkIjoiNjBmMzc0MTM4NjJhMmUzY2JiNzliNTRlNzc5MmI0OWYiLCJ1c2VySWQiOiI1MzUzMjkxNjcifQ==</vt:lpwstr>
  </property>
</Properties>
</file>