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BB28CCC">
      <w:pPr>
        <w:keepNext/>
        <w:keepLines/>
        <w:widowControl w:val="0"/>
        <w:spacing w:before="120" w:after="120" w:line="240" w:lineRule="auto"/>
        <w:jc w:val="center"/>
        <w:outlineLvl w:val="0"/>
        <w:rPr>
          <w:rFonts w:ascii="宋体" w:hAnsi="宋体" w:eastAsia="宋体" w:cs="Times New Roman"/>
          <w:b/>
          <w:bCs/>
          <w:kern w:val="2"/>
          <w:sz w:val="32"/>
          <w:szCs w:val="44"/>
          <w:highlight w:val="none"/>
          <w:lang w:val="en-US" w:eastAsia="zh-CN" w:bidi="ar-SA"/>
        </w:rPr>
      </w:pPr>
      <w:r>
        <w:rPr>
          <w:rFonts w:hint="eastAsia" w:ascii="宋体" w:hAnsi="宋体" w:eastAsia="宋体" w:cs="Times New Roman"/>
          <w:b/>
          <w:bCs/>
          <w:kern w:val="2"/>
          <w:sz w:val="32"/>
          <w:szCs w:val="44"/>
          <w:highlight w:val="none"/>
          <w:lang w:val="en-US" w:eastAsia="zh-CN" w:bidi="ar-SA"/>
        </w:rPr>
        <w:t>采购内容及项目要求</w:t>
      </w:r>
    </w:p>
    <w:p w14:paraId="77763D8A">
      <w:pPr>
        <w:widowControl/>
        <w:spacing w:line="520" w:lineRule="exact"/>
        <w:ind w:firstLine="120" w:firstLineChars="50"/>
        <w:jc w:val="left"/>
        <w:rPr>
          <w:rFonts w:hint="eastAsia" w:ascii="宋体" w:hAnsi="宋体" w:eastAsia="宋体" w:cs="Times New Roman"/>
          <w:sz w:val="24"/>
          <w:highlight w:val="none"/>
        </w:rPr>
      </w:pPr>
      <w:r>
        <w:rPr>
          <w:rFonts w:hint="eastAsia" w:ascii="宋体" w:hAnsi="宋体" w:eastAsia="宋体" w:cs="Times New Roman"/>
          <w:b/>
          <w:bCs/>
          <w:sz w:val="24"/>
          <w:highlight w:val="none"/>
        </w:rPr>
        <w:t>一、项目概况</w:t>
      </w:r>
    </w:p>
    <w:p w14:paraId="46433888">
      <w:pPr>
        <w:widowControl/>
        <w:spacing w:line="520" w:lineRule="exact"/>
        <w:ind w:firstLine="480" w:firstLineChars="200"/>
        <w:jc w:val="left"/>
        <w:rPr>
          <w:rFonts w:ascii="宋体" w:hAnsi="宋体" w:eastAsia="宋体" w:cs="Times New Roman"/>
          <w:sz w:val="24"/>
          <w:highlight w:val="none"/>
        </w:rPr>
      </w:pPr>
      <w:r>
        <w:rPr>
          <w:rFonts w:hint="eastAsia" w:ascii="宋体" w:hAnsi="宋体" w:eastAsia="宋体" w:cs="Times New Roman"/>
          <w:sz w:val="24"/>
          <w:highlight w:val="none"/>
        </w:rPr>
        <w:t>本项目共分为</w:t>
      </w:r>
      <w:r>
        <w:rPr>
          <w:rFonts w:hint="eastAsia" w:ascii="宋体" w:hAnsi="宋体" w:eastAsia="宋体" w:cs="Times New Roman"/>
          <w:sz w:val="24"/>
          <w:highlight w:val="none"/>
          <w:u w:val="single"/>
        </w:rPr>
        <w:t xml:space="preserve"> </w:t>
      </w:r>
      <w:r>
        <w:rPr>
          <w:rFonts w:hint="eastAsia" w:ascii="宋体" w:hAnsi="宋体" w:eastAsia="宋体" w:cs="Times New Roman"/>
          <w:sz w:val="24"/>
          <w:highlight w:val="none"/>
          <w:u w:val="single"/>
          <w:lang w:val="en-US" w:eastAsia="zh-CN"/>
        </w:rPr>
        <w:t>1</w:t>
      </w:r>
      <w:r>
        <w:rPr>
          <w:rFonts w:hint="eastAsia" w:ascii="宋体" w:hAnsi="宋体" w:eastAsia="宋体" w:cs="Times New Roman"/>
          <w:sz w:val="24"/>
          <w:highlight w:val="none"/>
          <w:u w:val="single"/>
        </w:rPr>
        <w:t xml:space="preserve"> </w:t>
      </w:r>
      <w:r>
        <w:rPr>
          <w:rFonts w:hint="eastAsia" w:ascii="宋体" w:hAnsi="宋体" w:eastAsia="宋体" w:cs="Times New Roman"/>
          <w:sz w:val="24"/>
          <w:highlight w:val="none"/>
        </w:rPr>
        <w:t>个包，供应商不得对包中所投货物和服务分解后进行响应。本项目预算金额为人民币</w:t>
      </w:r>
      <w:r>
        <w:rPr>
          <w:rFonts w:hint="eastAsia" w:ascii="宋体" w:hAnsi="宋体" w:eastAsia="宋体" w:cs="Times New Roman"/>
          <w:sz w:val="24"/>
          <w:highlight w:val="none"/>
          <w:lang w:eastAsia="zh-CN"/>
        </w:rPr>
        <w:t>156.8</w:t>
      </w:r>
      <w:r>
        <w:rPr>
          <w:rFonts w:hint="eastAsia" w:ascii="宋体" w:hAnsi="宋体" w:eastAsia="宋体" w:cs="Times New Roman"/>
          <w:sz w:val="24"/>
          <w:highlight w:val="none"/>
        </w:rPr>
        <w:t>万元</w:t>
      </w:r>
      <w:r>
        <w:rPr>
          <w:rFonts w:hint="eastAsia" w:ascii="宋体" w:hAnsi="宋体" w:eastAsia="宋体" w:cs="Times New Roman"/>
          <w:sz w:val="24"/>
          <w:highlight w:val="none"/>
          <w:lang w:eastAsia="zh-CN"/>
        </w:rPr>
        <w:t>（</w:t>
      </w:r>
      <w:r>
        <w:rPr>
          <w:rFonts w:hint="eastAsia" w:ascii="宋体" w:hAnsi="宋体" w:eastAsia="宋体" w:cs="Times New Roman"/>
          <w:sz w:val="24"/>
          <w:highlight w:val="none"/>
          <w:lang w:val="en-US" w:eastAsia="zh-CN"/>
        </w:rPr>
        <w:t>含税</w:t>
      </w:r>
      <w:r>
        <w:rPr>
          <w:rFonts w:hint="eastAsia" w:ascii="宋体" w:hAnsi="宋体" w:eastAsia="宋体" w:cs="Times New Roman"/>
          <w:sz w:val="24"/>
          <w:highlight w:val="none"/>
          <w:lang w:eastAsia="zh-CN"/>
        </w:rPr>
        <w:t>）</w:t>
      </w:r>
      <w:r>
        <w:rPr>
          <w:rFonts w:hint="eastAsia" w:ascii="宋体" w:hAnsi="宋体" w:eastAsia="宋体" w:cs="Times New Roman"/>
          <w:sz w:val="24"/>
          <w:highlight w:val="none"/>
        </w:rPr>
        <w:t>。</w:t>
      </w:r>
    </w:p>
    <w:p w14:paraId="7F196D4F">
      <w:pPr>
        <w:widowControl/>
        <w:spacing w:line="520" w:lineRule="exact"/>
        <w:ind w:firstLine="120" w:firstLineChars="50"/>
        <w:jc w:val="left"/>
        <w:rPr>
          <w:rFonts w:ascii="宋体" w:hAnsi="宋体" w:eastAsia="宋体" w:cs="宋体"/>
          <w:kern w:val="0"/>
          <w:sz w:val="24"/>
          <w:highlight w:val="none"/>
        </w:rPr>
      </w:pPr>
      <w:r>
        <w:rPr>
          <w:rFonts w:hint="eastAsia" w:ascii="宋体" w:hAnsi="宋体" w:eastAsia="宋体" w:cs="Times New Roman"/>
          <w:b/>
          <w:bCs/>
          <w:sz w:val="24"/>
          <w:highlight w:val="none"/>
        </w:rPr>
        <w:t>二、技术条款及商务条款响应要求</w:t>
      </w:r>
    </w:p>
    <w:p w14:paraId="47F4E887">
      <w:pPr>
        <w:adjustRightInd w:val="0"/>
        <w:snapToGrid w:val="0"/>
        <w:spacing w:line="360" w:lineRule="auto"/>
        <w:jc w:val="center"/>
        <w:rPr>
          <w:rFonts w:hint="eastAsia" w:ascii="Times New Roman" w:hAnsi="Times New Roman" w:eastAsia="宋体" w:cs="Times New Roman"/>
          <w:b/>
          <w:sz w:val="32"/>
          <w:szCs w:val="32"/>
          <w:highlight w:val="none"/>
        </w:rPr>
      </w:pPr>
      <w:r>
        <w:rPr>
          <w:rFonts w:hint="eastAsia" w:ascii="Times New Roman" w:hAnsi="Times New Roman" w:eastAsia="宋体" w:cs="Times New Roman"/>
          <w:b/>
          <w:sz w:val="32"/>
          <w:szCs w:val="32"/>
          <w:highlight w:val="none"/>
        </w:rPr>
        <w:t>山东大学仪器设备采购技术条款响应一览表</w:t>
      </w:r>
    </w:p>
    <w:tbl>
      <w:tblPr>
        <w:tblStyle w:val="11"/>
        <w:tblpPr w:leftFromText="180" w:rightFromText="180" w:vertAnchor="text" w:horzAnchor="page" w:tblpX="972" w:tblpY="299"/>
        <w:tblW w:w="14567"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top w:w="0" w:type="dxa"/>
          <w:left w:w="108" w:type="dxa"/>
          <w:bottom w:w="0" w:type="dxa"/>
          <w:right w:w="108" w:type="dxa"/>
        </w:tblCellMar>
      </w:tblPr>
      <w:tblGrid>
        <w:gridCol w:w="817"/>
        <w:gridCol w:w="1587"/>
        <w:gridCol w:w="6080"/>
        <w:gridCol w:w="585"/>
        <w:gridCol w:w="1104"/>
        <w:gridCol w:w="896"/>
        <w:gridCol w:w="1385"/>
        <w:gridCol w:w="1330"/>
        <w:gridCol w:w="783"/>
      </w:tblGrid>
      <w:tr w14:paraId="164918E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76" w:hRule="atLeast"/>
        </w:trPr>
        <w:tc>
          <w:tcPr>
            <w:tcW w:w="10173" w:type="dxa"/>
            <w:gridSpan w:val="5"/>
            <w:tcBorders>
              <w:top w:val="single" w:color="auto" w:sz="4" w:space="0"/>
              <w:left w:val="single" w:color="auto" w:sz="4" w:space="0"/>
              <w:bottom w:val="single" w:color="auto" w:sz="4" w:space="0"/>
              <w:right w:val="single" w:color="auto" w:sz="4" w:space="0"/>
            </w:tcBorders>
            <w:noWrap w:val="0"/>
            <w:vAlign w:val="center"/>
          </w:tcPr>
          <w:p w14:paraId="5142121B">
            <w:pPr>
              <w:autoSpaceDE w:val="0"/>
              <w:autoSpaceDN w:val="0"/>
              <w:adjustRightInd w:val="0"/>
              <w:spacing w:line="440" w:lineRule="exact"/>
              <w:jc w:val="center"/>
              <w:rPr>
                <w:rFonts w:hint="eastAsia" w:ascii="宋体" w:hAnsi="宋体" w:eastAsia="宋体" w:cs="宋体"/>
                <w:b/>
                <w:szCs w:val="21"/>
                <w:highlight w:val="none"/>
              </w:rPr>
            </w:pPr>
            <w:r>
              <w:rPr>
                <w:rFonts w:hint="eastAsia" w:ascii="宋体" w:hAnsi="宋体" w:eastAsia="宋体" w:cs="宋体"/>
                <w:b/>
                <w:szCs w:val="21"/>
                <w:highlight w:val="none"/>
              </w:rPr>
              <w:t>采购人要求（用户填写）</w:t>
            </w:r>
          </w:p>
        </w:tc>
        <w:tc>
          <w:tcPr>
            <w:tcW w:w="4394" w:type="dxa"/>
            <w:gridSpan w:val="4"/>
            <w:tcBorders>
              <w:top w:val="single" w:color="auto" w:sz="4" w:space="0"/>
              <w:bottom w:val="single" w:color="auto" w:sz="4" w:space="0"/>
            </w:tcBorders>
            <w:noWrap w:val="0"/>
            <w:vAlign w:val="center"/>
          </w:tcPr>
          <w:p w14:paraId="7BA04452">
            <w:pPr>
              <w:widowControl/>
              <w:spacing w:line="440" w:lineRule="exact"/>
              <w:jc w:val="center"/>
              <w:rPr>
                <w:rFonts w:hint="eastAsia" w:ascii="宋体" w:hAnsi="宋体" w:eastAsia="宋体" w:cs="宋体"/>
                <w:b/>
                <w:kern w:val="0"/>
                <w:szCs w:val="21"/>
                <w:highlight w:val="none"/>
              </w:rPr>
            </w:pPr>
            <w:r>
              <w:rPr>
                <w:rFonts w:hint="eastAsia" w:ascii="宋体" w:hAnsi="宋体" w:eastAsia="宋体" w:cs="宋体"/>
                <w:b/>
                <w:kern w:val="0"/>
                <w:szCs w:val="21"/>
                <w:highlight w:val="none"/>
              </w:rPr>
              <w:t>投标人（供应商）响应（投标人/供应商填写）</w:t>
            </w:r>
          </w:p>
        </w:tc>
      </w:tr>
      <w:tr w14:paraId="19F12AE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55" w:hRule="atLeast"/>
        </w:trPr>
        <w:tc>
          <w:tcPr>
            <w:tcW w:w="817" w:type="dxa"/>
            <w:tcBorders>
              <w:top w:val="single" w:color="auto" w:sz="4" w:space="0"/>
              <w:left w:val="single" w:color="auto" w:sz="4" w:space="0"/>
              <w:bottom w:val="single" w:color="auto" w:sz="4" w:space="0"/>
              <w:right w:val="single" w:color="auto" w:sz="4" w:space="0"/>
            </w:tcBorders>
            <w:noWrap w:val="0"/>
            <w:vAlign w:val="center"/>
          </w:tcPr>
          <w:p w14:paraId="17D76C5A">
            <w:pPr>
              <w:spacing w:line="440" w:lineRule="exact"/>
              <w:jc w:val="center"/>
              <w:rPr>
                <w:rFonts w:hint="eastAsia" w:ascii="宋体" w:hAnsi="宋体" w:eastAsia="宋体" w:cs="宋体"/>
                <w:szCs w:val="21"/>
                <w:highlight w:val="none"/>
              </w:rPr>
            </w:pPr>
            <w:r>
              <w:rPr>
                <w:rFonts w:hint="eastAsia" w:ascii="宋体" w:hAnsi="宋体" w:eastAsia="宋体" w:cs="宋体"/>
                <w:szCs w:val="21"/>
                <w:highlight w:val="none"/>
              </w:rPr>
              <w:t>配置序号</w:t>
            </w:r>
          </w:p>
        </w:tc>
        <w:tc>
          <w:tcPr>
            <w:tcW w:w="1587" w:type="dxa"/>
            <w:tcBorders>
              <w:top w:val="single" w:color="auto" w:sz="4" w:space="0"/>
              <w:left w:val="single" w:color="auto" w:sz="4" w:space="0"/>
              <w:bottom w:val="single" w:color="auto" w:sz="4" w:space="0"/>
              <w:right w:val="single" w:color="auto" w:sz="4" w:space="0"/>
            </w:tcBorders>
            <w:noWrap w:val="0"/>
            <w:vAlign w:val="center"/>
          </w:tcPr>
          <w:p w14:paraId="3E830FB5">
            <w:pPr>
              <w:spacing w:line="440" w:lineRule="exact"/>
              <w:jc w:val="center"/>
              <w:rPr>
                <w:rFonts w:hint="eastAsia" w:ascii="宋体" w:hAnsi="宋体" w:eastAsia="宋体" w:cs="宋体"/>
                <w:szCs w:val="21"/>
                <w:highlight w:val="none"/>
              </w:rPr>
            </w:pPr>
            <w:r>
              <w:rPr>
                <w:rFonts w:hint="eastAsia" w:ascii="宋体" w:hAnsi="宋体" w:eastAsia="宋体" w:cs="宋体"/>
                <w:szCs w:val="21"/>
                <w:highlight w:val="none"/>
              </w:rPr>
              <w:t>配置名称</w:t>
            </w:r>
          </w:p>
        </w:tc>
        <w:tc>
          <w:tcPr>
            <w:tcW w:w="6080" w:type="dxa"/>
            <w:tcBorders>
              <w:top w:val="single" w:color="auto" w:sz="4" w:space="0"/>
              <w:left w:val="single" w:color="auto" w:sz="4" w:space="0"/>
              <w:bottom w:val="single" w:color="auto" w:sz="4" w:space="0"/>
              <w:right w:val="single" w:color="auto" w:sz="4" w:space="0"/>
            </w:tcBorders>
            <w:noWrap w:val="0"/>
            <w:vAlign w:val="center"/>
          </w:tcPr>
          <w:p w14:paraId="21897793">
            <w:pPr>
              <w:spacing w:line="440" w:lineRule="exact"/>
              <w:jc w:val="center"/>
              <w:rPr>
                <w:rFonts w:hint="eastAsia" w:ascii="宋体" w:hAnsi="宋体" w:eastAsia="宋体" w:cs="宋体"/>
                <w:szCs w:val="21"/>
                <w:highlight w:val="none"/>
              </w:rPr>
            </w:pPr>
            <w:r>
              <w:rPr>
                <w:rFonts w:hint="eastAsia" w:ascii="宋体" w:hAnsi="宋体" w:eastAsia="宋体" w:cs="宋体"/>
                <w:szCs w:val="21"/>
                <w:highlight w:val="none"/>
              </w:rPr>
              <w:t>详细技术参数要求</w:t>
            </w:r>
          </w:p>
        </w:tc>
        <w:tc>
          <w:tcPr>
            <w:tcW w:w="585" w:type="dxa"/>
            <w:tcBorders>
              <w:top w:val="single" w:color="auto" w:sz="4" w:space="0"/>
              <w:left w:val="single" w:color="auto" w:sz="4" w:space="0"/>
              <w:bottom w:val="single" w:color="auto" w:sz="4" w:space="0"/>
              <w:right w:val="single" w:color="auto" w:sz="4" w:space="0"/>
            </w:tcBorders>
            <w:noWrap w:val="0"/>
            <w:vAlign w:val="center"/>
          </w:tcPr>
          <w:p w14:paraId="2E02F25C">
            <w:pPr>
              <w:spacing w:line="440" w:lineRule="exact"/>
              <w:jc w:val="center"/>
              <w:rPr>
                <w:rFonts w:hint="eastAsia" w:ascii="宋体" w:hAnsi="宋体" w:eastAsia="宋体" w:cs="宋体"/>
                <w:szCs w:val="21"/>
                <w:highlight w:val="none"/>
              </w:rPr>
            </w:pPr>
            <w:r>
              <w:rPr>
                <w:rFonts w:hint="eastAsia" w:ascii="宋体" w:hAnsi="宋体" w:eastAsia="宋体" w:cs="宋体"/>
                <w:szCs w:val="21"/>
                <w:highlight w:val="none"/>
              </w:rPr>
              <w:t>数量</w:t>
            </w:r>
          </w:p>
        </w:tc>
        <w:tc>
          <w:tcPr>
            <w:tcW w:w="1104" w:type="dxa"/>
            <w:tcBorders>
              <w:top w:val="single" w:color="auto" w:sz="4" w:space="0"/>
              <w:left w:val="single" w:color="auto" w:sz="4" w:space="0"/>
              <w:bottom w:val="single" w:color="auto" w:sz="4" w:space="0"/>
              <w:right w:val="single" w:color="auto" w:sz="4" w:space="0"/>
            </w:tcBorders>
            <w:noWrap w:val="0"/>
            <w:vAlign w:val="center"/>
          </w:tcPr>
          <w:p w14:paraId="76A9B80A">
            <w:pPr>
              <w:spacing w:line="440" w:lineRule="exact"/>
              <w:jc w:val="center"/>
              <w:rPr>
                <w:rFonts w:hint="eastAsia" w:ascii="宋体" w:hAnsi="宋体" w:eastAsia="宋体" w:cs="宋体"/>
                <w:szCs w:val="21"/>
                <w:highlight w:val="none"/>
              </w:rPr>
            </w:pPr>
            <w:r>
              <w:rPr>
                <w:rFonts w:hint="eastAsia" w:ascii="宋体" w:hAnsi="宋体" w:eastAsia="宋体" w:cs="宋体"/>
                <w:szCs w:val="21"/>
                <w:highlight w:val="none"/>
              </w:rPr>
              <w:t>备注</w:t>
            </w:r>
          </w:p>
        </w:tc>
        <w:tc>
          <w:tcPr>
            <w:tcW w:w="896" w:type="dxa"/>
            <w:tcBorders>
              <w:top w:val="single" w:color="auto" w:sz="4" w:space="0"/>
              <w:left w:val="single" w:color="auto" w:sz="4" w:space="0"/>
              <w:bottom w:val="single" w:color="auto" w:sz="4" w:space="0"/>
              <w:right w:val="single" w:color="auto" w:sz="4" w:space="0"/>
            </w:tcBorders>
            <w:noWrap w:val="0"/>
            <w:vAlign w:val="center"/>
          </w:tcPr>
          <w:p w14:paraId="43EB3E37">
            <w:pPr>
              <w:spacing w:line="440" w:lineRule="exact"/>
              <w:jc w:val="center"/>
              <w:rPr>
                <w:rFonts w:hint="eastAsia" w:ascii="宋体" w:hAnsi="宋体" w:eastAsia="宋体" w:cs="宋体"/>
                <w:szCs w:val="21"/>
                <w:highlight w:val="none"/>
              </w:rPr>
            </w:pPr>
            <w:r>
              <w:rPr>
                <w:rFonts w:hint="eastAsia" w:ascii="宋体" w:hAnsi="宋体" w:eastAsia="宋体" w:cs="宋体"/>
                <w:szCs w:val="21"/>
                <w:highlight w:val="none"/>
              </w:rPr>
              <w:t>数量</w:t>
            </w:r>
          </w:p>
        </w:tc>
        <w:tc>
          <w:tcPr>
            <w:tcW w:w="1385" w:type="dxa"/>
            <w:tcBorders>
              <w:top w:val="single" w:color="auto" w:sz="4" w:space="0"/>
              <w:left w:val="single" w:color="auto" w:sz="4" w:space="0"/>
              <w:bottom w:val="single" w:color="auto" w:sz="4" w:space="0"/>
              <w:right w:val="single" w:color="auto" w:sz="4" w:space="0"/>
            </w:tcBorders>
            <w:noWrap w:val="0"/>
            <w:vAlign w:val="center"/>
          </w:tcPr>
          <w:p w14:paraId="1C43FE25">
            <w:pPr>
              <w:spacing w:line="440" w:lineRule="exact"/>
              <w:jc w:val="center"/>
              <w:rPr>
                <w:rFonts w:hint="eastAsia" w:ascii="宋体" w:hAnsi="宋体" w:eastAsia="宋体" w:cs="宋体"/>
                <w:szCs w:val="21"/>
                <w:highlight w:val="none"/>
              </w:rPr>
            </w:pPr>
            <w:r>
              <w:rPr>
                <w:rFonts w:hint="eastAsia" w:ascii="宋体" w:hAnsi="宋体" w:eastAsia="宋体" w:cs="宋体"/>
                <w:szCs w:val="21"/>
                <w:highlight w:val="none"/>
              </w:rPr>
              <w:t>应答技术规格指标</w:t>
            </w:r>
          </w:p>
        </w:tc>
        <w:tc>
          <w:tcPr>
            <w:tcW w:w="1330" w:type="dxa"/>
            <w:tcBorders>
              <w:top w:val="single" w:color="auto" w:sz="4" w:space="0"/>
              <w:left w:val="single" w:color="auto" w:sz="4" w:space="0"/>
              <w:bottom w:val="single" w:color="auto" w:sz="4" w:space="0"/>
              <w:right w:val="single" w:color="auto" w:sz="4" w:space="0"/>
            </w:tcBorders>
            <w:noWrap w:val="0"/>
            <w:vAlign w:val="center"/>
          </w:tcPr>
          <w:p w14:paraId="413D7AF1">
            <w:pPr>
              <w:spacing w:line="440" w:lineRule="exact"/>
              <w:jc w:val="center"/>
              <w:rPr>
                <w:rFonts w:hint="eastAsia" w:ascii="宋体" w:hAnsi="宋体" w:eastAsia="宋体" w:cs="宋体"/>
                <w:szCs w:val="21"/>
                <w:highlight w:val="none"/>
              </w:rPr>
            </w:pPr>
            <w:r>
              <w:rPr>
                <w:rFonts w:hint="eastAsia" w:ascii="宋体" w:hAnsi="宋体" w:eastAsia="宋体" w:cs="宋体"/>
                <w:szCs w:val="21"/>
                <w:highlight w:val="none"/>
              </w:rPr>
              <w:t>技术指标偏离情况</w:t>
            </w:r>
          </w:p>
        </w:tc>
        <w:tc>
          <w:tcPr>
            <w:tcW w:w="783" w:type="dxa"/>
            <w:tcBorders>
              <w:top w:val="single" w:color="auto" w:sz="4" w:space="0"/>
              <w:left w:val="single" w:color="auto" w:sz="4" w:space="0"/>
              <w:bottom w:val="single" w:color="auto" w:sz="4" w:space="0"/>
              <w:right w:val="single" w:color="auto" w:sz="4" w:space="0"/>
            </w:tcBorders>
            <w:noWrap w:val="0"/>
            <w:vAlign w:val="center"/>
          </w:tcPr>
          <w:p w14:paraId="6E0F198B">
            <w:pPr>
              <w:spacing w:line="440" w:lineRule="exact"/>
              <w:jc w:val="center"/>
              <w:rPr>
                <w:rFonts w:hint="eastAsia" w:ascii="宋体" w:hAnsi="宋体" w:eastAsia="宋体" w:cs="宋体"/>
                <w:szCs w:val="21"/>
                <w:highlight w:val="none"/>
              </w:rPr>
            </w:pPr>
            <w:r>
              <w:rPr>
                <w:rFonts w:hint="eastAsia" w:ascii="宋体" w:hAnsi="宋体" w:eastAsia="宋体" w:cs="宋体"/>
                <w:szCs w:val="21"/>
                <w:highlight w:val="none"/>
              </w:rPr>
              <w:t>备注</w:t>
            </w:r>
          </w:p>
        </w:tc>
      </w:tr>
      <w:tr w14:paraId="5284B2A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0" w:hRule="atLeast"/>
        </w:trPr>
        <w:tc>
          <w:tcPr>
            <w:tcW w:w="817" w:type="dxa"/>
            <w:tcBorders>
              <w:top w:val="single" w:color="auto" w:sz="4" w:space="0"/>
              <w:left w:val="single" w:color="auto" w:sz="4" w:space="0"/>
              <w:bottom w:val="single" w:color="auto" w:sz="4" w:space="0"/>
              <w:right w:val="single" w:color="auto" w:sz="4" w:space="0"/>
            </w:tcBorders>
            <w:noWrap w:val="0"/>
            <w:vAlign w:val="center"/>
          </w:tcPr>
          <w:p w14:paraId="610EB7FE">
            <w:pPr>
              <w:spacing w:line="440" w:lineRule="exact"/>
              <w:jc w:val="center"/>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1</w:t>
            </w:r>
          </w:p>
        </w:tc>
        <w:tc>
          <w:tcPr>
            <w:tcW w:w="1587" w:type="dxa"/>
            <w:tcBorders>
              <w:top w:val="single" w:color="auto" w:sz="4" w:space="0"/>
              <w:left w:val="single" w:color="auto" w:sz="4" w:space="0"/>
              <w:bottom w:val="single" w:color="auto" w:sz="4" w:space="0"/>
              <w:right w:val="single" w:color="auto" w:sz="4" w:space="0"/>
            </w:tcBorders>
            <w:noWrap w:val="0"/>
            <w:vAlign w:val="center"/>
          </w:tcPr>
          <w:p w14:paraId="69E252F7">
            <w:pPr>
              <w:spacing w:line="440" w:lineRule="exact"/>
              <w:jc w:val="center"/>
              <w:rPr>
                <w:rFonts w:hint="eastAsia" w:ascii="宋体" w:hAnsi="宋体" w:eastAsia="宋体" w:cs="宋体"/>
                <w:szCs w:val="21"/>
                <w:highlight w:val="none"/>
              </w:rPr>
            </w:pPr>
            <w:r>
              <w:rPr>
                <w:rFonts w:hint="eastAsia" w:ascii="宋体" w:hAnsi="宋体" w:eastAsia="宋体" w:cs="宋体"/>
                <w:szCs w:val="21"/>
                <w:highlight w:val="none"/>
              </w:rPr>
              <w:t>大型GPU深度学习服务器</w:t>
            </w:r>
          </w:p>
        </w:tc>
        <w:tc>
          <w:tcPr>
            <w:tcW w:w="6080" w:type="dxa"/>
            <w:tcBorders>
              <w:top w:val="single" w:color="auto" w:sz="4" w:space="0"/>
              <w:left w:val="single" w:color="auto" w:sz="4" w:space="0"/>
              <w:bottom w:val="single" w:color="auto" w:sz="4" w:space="0"/>
              <w:right w:val="single" w:color="auto" w:sz="4" w:space="0"/>
            </w:tcBorders>
            <w:noWrap w:val="0"/>
            <w:vAlign w:val="center"/>
          </w:tcPr>
          <w:p w14:paraId="7F0725AD">
            <w:pPr>
              <w:spacing w:line="440" w:lineRule="exact"/>
              <w:jc w:val="left"/>
              <w:rPr>
                <w:rFonts w:hint="eastAsia" w:ascii="宋体" w:hAnsi="宋体" w:eastAsia="宋体" w:cs="宋体"/>
                <w:szCs w:val="21"/>
                <w:highlight w:val="none"/>
              </w:rPr>
            </w:pPr>
            <w:r>
              <w:rPr>
                <w:rFonts w:hint="eastAsia" w:ascii="宋体" w:hAnsi="宋体" w:eastAsia="宋体" w:cs="宋体"/>
                <w:szCs w:val="21"/>
                <w:highlight w:val="none"/>
              </w:rPr>
              <w:t>硬件需满足要求如下：</w:t>
            </w:r>
          </w:p>
          <w:p w14:paraId="26AF999C">
            <w:pPr>
              <w:spacing w:line="440" w:lineRule="exact"/>
              <w:jc w:val="left"/>
              <w:rPr>
                <w:rFonts w:hint="eastAsia" w:ascii="宋体" w:hAnsi="宋体" w:eastAsia="宋体" w:cs="宋体"/>
                <w:szCs w:val="21"/>
                <w:highlight w:val="none"/>
              </w:rPr>
            </w:pPr>
            <w:r>
              <w:rPr>
                <w:rFonts w:hint="eastAsia" w:ascii="宋体" w:hAnsi="宋体" w:eastAsia="宋体" w:cs="宋体"/>
                <w:szCs w:val="21"/>
                <w:highlight w:val="none"/>
                <w:lang w:val="en-US" w:eastAsia="zh-CN"/>
              </w:rPr>
              <w:t>1、</w:t>
            </w:r>
            <w:r>
              <w:rPr>
                <w:rFonts w:hint="eastAsia" w:ascii="宋体" w:hAnsi="宋体" w:eastAsia="宋体" w:cs="宋体"/>
                <w:szCs w:val="21"/>
                <w:highlight w:val="none"/>
              </w:rPr>
              <w:t>规格:≥4U机架式服务器；</w:t>
            </w:r>
          </w:p>
          <w:p w14:paraId="0A1CFADE">
            <w:pPr>
              <w:spacing w:line="440" w:lineRule="exact"/>
              <w:jc w:val="left"/>
              <w:rPr>
                <w:rFonts w:hint="eastAsia" w:ascii="宋体" w:hAnsi="宋体" w:eastAsia="宋体" w:cs="宋体"/>
                <w:szCs w:val="21"/>
                <w:highlight w:val="none"/>
              </w:rPr>
            </w:pPr>
            <w:r>
              <w:rPr>
                <w:rFonts w:hint="eastAsia" w:ascii="宋体" w:hAnsi="宋体" w:eastAsia="宋体" w:cs="宋体"/>
                <w:szCs w:val="21"/>
                <w:highlight w:val="none"/>
                <w:lang w:val="en-US" w:eastAsia="zh-CN"/>
              </w:rPr>
              <w:t>2、</w:t>
            </w:r>
            <w:r>
              <w:rPr>
                <w:rFonts w:hint="eastAsia" w:ascii="宋体" w:hAnsi="宋体" w:eastAsia="宋体" w:cs="宋体"/>
                <w:szCs w:val="21"/>
                <w:highlight w:val="none"/>
              </w:rPr>
              <w:t>CPU:≥2</w:t>
            </w:r>
            <w:r>
              <w:rPr>
                <w:rFonts w:hint="eastAsia" w:ascii="宋体" w:hAnsi="宋体" w:eastAsia="宋体" w:cs="宋体"/>
                <w:szCs w:val="21"/>
                <w:highlight w:val="none"/>
                <w:lang w:val="en-US" w:eastAsia="zh-CN"/>
              </w:rPr>
              <w:t>颗</w:t>
            </w:r>
            <w:r>
              <w:rPr>
                <w:rFonts w:hint="eastAsia" w:ascii="宋体" w:hAnsi="宋体" w:eastAsia="宋体" w:cs="宋体"/>
                <w:szCs w:val="21"/>
                <w:highlight w:val="none"/>
                <w:lang w:eastAsia="zh-CN"/>
              </w:rPr>
              <w:t>，</w:t>
            </w:r>
            <w:r>
              <w:rPr>
                <w:rFonts w:hint="eastAsia" w:ascii="宋体" w:hAnsi="宋体" w:eastAsia="宋体" w:cs="宋体"/>
                <w:szCs w:val="21"/>
                <w:highlight w:val="none"/>
                <w:lang w:val="en-US" w:eastAsia="zh-CN"/>
              </w:rPr>
              <w:t>单颗性能≥</w:t>
            </w:r>
            <w:r>
              <w:rPr>
                <w:rFonts w:hint="eastAsia" w:ascii="宋体" w:hAnsi="宋体" w:eastAsia="宋体" w:cs="宋体"/>
                <w:szCs w:val="21"/>
                <w:highlight w:val="none"/>
              </w:rPr>
              <w:t>32核/64线程，主频≥2.1GHz，应支持超线程技术、睿频加速、DL Boost（VNNI）及AVX-512指令集，并集成UPI互连总线，传输速率不低于16.0 GT/s；</w:t>
            </w:r>
          </w:p>
          <w:p w14:paraId="3A47C6BA">
            <w:pPr>
              <w:spacing w:line="440" w:lineRule="exact"/>
              <w:jc w:val="left"/>
              <w:rPr>
                <w:rFonts w:hint="eastAsia" w:ascii="宋体" w:hAnsi="宋体" w:eastAsia="宋体" w:cs="宋体"/>
                <w:szCs w:val="21"/>
                <w:highlight w:val="none"/>
              </w:rPr>
            </w:pPr>
            <w:r>
              <w:rPr>
                <w:rFonts w:hint="eastAsia" w:ascii="宋体" w:hAnsi="宋体" w:eastAsia="宋体" w:cs="宋体"/>
                <w:szCs w:val="21"/>
                <w:highlight w:val="none"/>
                <w:lang w:val="en-US" w:eastAsia="zh-CN"/>
              </w:rPr>
              <w:t>3、</w:t>
            </w:r>
            <w:r>
              <w:rPr>
                <w:rFonts w:hint="eastAsia" w:ascii="宋体" w:hAnsi="宋体" w:eastAsia="宋体" w:cs="宋体"/>
                <w:szCs w:val="21"/>
                <w:highlight w:val="none"/>
              </w:rPr>
              <w:t>内存:内存总量≥512G DDR5，支持ECC功能；</w:t>
            </w:r>
          </w:p>
          <w:p w14:paraId="152057D1">
            <w:pPr>
              <w:spacing w:line="440" w:lineRule="exact"/>
              <w:jc w:val="left"/>
              <w:rPr>
                <w:rFonts w:hint="eastAsia" w:ascii="宋体" w:hAnsi="宋体" w:eastAsia="宋体" w:cs="宋体"/>
                <w:szCs w:val="21"/>
                <w:highlight w:val="none"/>
              </w:rPr>
            </w:pPr>
            <w:r>
              <w:rPr>
                <w:rFonts w:hint="eastAsia" w:ascii="宋体" w:hAnsi="宋体" w:eastAsia="宋体" w:cs="宋体"/>
                <w:szCs w:val="21"/>
                <w:highlight w:val="none"/>
                <w:lang w:val="en-US" w:eastAsia="zh-CN"/>
              </w:rPr>
              <w:t>4、</w:t>
            </w:r>
            <w:r>
              <w:rPr>
                <w:rFonts w:hint="eastAsia" w:ascii="宋体" w:hAnsi="宋体" w:eastAsia="宋体" w:cs="宋体"/>
                <w:szCs w:val="21"/>
                <w:highlight w:val="none"/>
              </w:rPr>
              <w:t>扩展插槽: ≥8×PCI-E插槽；</w:t>
            </w:r>
          </w:p>
          <w:p w14:paraId="7C997ADC">
            <w:pPr>
              <w:spacing w:line="440" w:lineRule="exact"/>
              <w:jc w:val="left"/>
              <w:rPr>
                <w:rFonts w:hint="eastAsia" w:ascii="宋体" w:hAnsi="宋体" w:eastAsia="宋体" w:cs="宋体"/>
                <w:szCs w:val="21"/>
                <w:highlight w:val="none"/>
              </w:rPr>
            </w:pPr>
            <w:r>
              <w:rPr>
                <w:rFonts w:hint="eastAsia" w:ascii="宋体" w:hAnsi="宋体" w:eastAsia="宋体" w:cs="宋体"/>
                <w:szCs w:val="21"/>
                <w:highlight w:val="none"/>
                <w:lang w:val="en-US" w:eastAsia="zh-CN"/>
              </w:rPr>
              <w:t>5、</w:t>
            </w:r>
            <w:r>
              <w:rPr>
                <w:rFonts w:hint="eastAsia" w:ascii="宋体" w:hAnsi="宋体" w:eastAsia="宋体" w:cs="宋体"/>
                <w:szCs w:val="21"/>
                <w:highlight w:val="none"/>
              </w:rPr>
              <w:t>显卡:应配置不少于8张显卡。需支持主流的FP32、FP16/BF16精度计算，并支持INT8与FP8推理计算。单精度（FP32）算力≥80 TFLOPs，半精度（FP16/BF16，启用Tensor Core）算力≥160TFLOPs；单卡显存容量≥24G，显存带宽≥1008 GB/s。支持通过PCIe 4.0实现多卡互联。</w:t>
            </w:r>
          </w:p>
          <w:p w14:paraId="15102CAB">
            <w:pPr>
              <w:spacing w:line="440" w:lineRule="exact"/>
              <w:jc w:val="left"/>
              <w:rPr>
                <w:rFonts w:hint="eastAsia" w:ascii="宋体" w:hAnsi="宋体" w:eastAsia="宋体" w:cs="宋体"/>
                <w:szCs w:val="21"/>
                <w:highlight w:val="none"/>
              </w:rPr>
            </w:pPr>
            <w:r>
              <w:rPr>
                <w:rFonts w:hint="eastAsia" w:ascii="宋体" w:hAnsi="宋体" w:eastAsia="宋体" w:cs="宋体"/>
                <w:szCs w:val="21"/>
                <w:highlight w:val="none"/>
              </w:rPr>
              <w:t>6. 系统盘：配置960G SATA 2.5 SSD 企业级固态硬盘*2；</w:t>
            </w:r>
          </w:p>
          <w:p w14:paraId="31DA17CF">
            <w:pPr>
              <w:spacing w:line="440" w:lineRule="exact"/>
              <w:jc w:val="left"/>
              <w:rPr>
                <w:rFonts w:hint="eastAsia" w:ascii="宋体" w:hAnsi="宋体" w:eastAsia="宋体" w:cs="宋体"/>
                <w:szCs w:val="21"/>
                <w:highlight w:val="none"/>
              </w:rPr>
            </w:pPr>
            <w:r>
              <w:rPr>
                <w:rFonts w:hint="eastAsia" w:ascii="宋体" w:hAnsi="宋体" w:eastAsia="宋体" w:cs="宋体"/>
                <w:szCs w:val="21"/>
                <w:highlight w:val="none"/>
              </w:rPr>
              <w:t>7. 数据盘：配置3.84TB  NVMe U.2 2.5 SSD 企业级固态硬盘  1DWPD*2；</w:t>
            </w:r>
          </w:p>
          <w:p w14:paraId="6AE71CF2">
            <w:pPr>
              <w:spacing w:line="440" w:lineRule="exact"/>
              <w:jc w:val="left"/>
              <w:rPr>
                <w:rFonts w:hint="eastAsia" w:ascii="宋体" w:hAnsi="宋体" w:eastAsia="宋体" w:cs="宋体"/>
                <w:szCs w:val="21"/>
                <w:highlight w:val="none"/>
              </w:rPr>
            </w:pPr>
            <w:r>
              <w:rPr>
                <w:rFonts w:hint="eastAsia" w:ascii="宋体" w:hAnsi="宋体" w:eastAsia="宋体" w:cs="宋体"/>
                <w:szCs w:val="21"/>
                <w:highlight w:val="none"/>
              </w:rPr>
              <w:t>8. 阵列卡：配置SAS RAID 12Gbps，支持RAID0,1,10；</w:t>
            </w:r>
          </w:p>
          <w:p w14:paraId="1FB7E19C">
            <w:pPr>
              <w:spacing w:line="440" w:lineRule="exact"/>
              <w:jc w:val="left"/>
              <w:rPr>
                <w:rFonts w:hint="eastAsia" w:ascii="宋体" w:hAnsi="宋体" w:eastAsia="宋体" w:cs="宋体"/>
                <w:szCs w:val="21"/>
                <w:highlight w:val="none"/>
              </w:rPr>
            </w:pPr>
            <w:r>
              <w:rPr>
                <w:rFonts w:hint="eastAsia" w:ascii="宋体" w:hAnsi="宋体" w:eastAsia="宋体" w:cs="宋体"/>
                <w:szCs w:val="21"/>
                <w:highlight w:val="none"/>
              </w:rPr>
              <w:t>9. 网卡：≥双口25G光纤以太网（含模块）；</w:t>
            </w:r>
          </w:p>
          <w:p w14:paraId="1FF986C9">
            <w:pPr>
              <w:spacing w:line="440" w:lineRule="exact"/>
              <w:jc w:val="left"/>
              <w:rPr>
                <w:rFonts w:hint="eastAsia" w:ascii="宋体" w:hAnsi="宋体" w:eastAsia="宋体" w:cs="宋体"/>
                <w:szCs w:val="21"/>
                <w:highlight w:val="none"/>
              </w:rPr>
            </w:pPr>
            <w:r>
              <w:rPr>
                <w:rFonts w:hint="eastAsia" w:ascii="宋体" w:hAnsi="宋体" w:eastAsia="宋体" w:cs="宋体"/>
                <w:szCs w:val="21"/>
                <w:highlight w:val="none"/>
              </w:rPr>
              <w:t>10. 电源：支持N+1冗余电源，配置≥2700W*4电源；</w:t>
            </w:r>
          </w:p>
          <w:p w14:paraId="3D8AAC68">
            <w:pPr>
              <w:spacing w:line="440" w:lineRule="exact"/>
              <w:jc w:val="left"/>
              <w:rPr>
                <w:rFonts w:hint="eastAsia" w:ascii="宋体" w:hAnsi="宋体" w:eastAsia="宋体" w:cs="宋体"/>
                <w:szCs w:val="21"/>
                <w:highlight w:val="none"/>
              </w:rPr>
            </w:pPr>
            <w:r>
              <w:rPr>
                <w:rFonts w:hint="eastAsia" w:ascii="宋体" w:hAnsi="宋体" w:eastAsia="宋体" w:cs="宋体"/>
                <w:szCs w:val="21"/>
                <w:highlight w:val="none"/>
              </w:rPr>
              <w:t>11. 滑轨：配置服务器安装导轨。</w:t>
            </w:r>
          </w:p>
          <w:p w14:paraId="732AE15D">
            <w:pPr>
              <w:spacing w:line="440" w:lineRule="exact"/>
              <w:jc w:val="left"/>
              <w:rPr>
                <w:rFonts w:hint="eastAsia" w:ascii="宋体" w:hAnsi="宋体" w:eastAsia="宋体" w:cs="宋体"/>
                <w:szCs w:val="21"/>
                <w:highlight w:val="none"/>
              </w:rPr>
            </w:pPr>
            <w:r>
              <w:rPr>
                <w:rFonts w:hint="eastAsia" w:ascii="宋体" w:hAnsi="宋体" w:eastAsia="宋体" w:cs="宋体"/>
                <w:szCs w:val="21"/>
                <w:highlight w:val="none"/>
              </w:rPr>
              <w:t>12.说明：供应商可依据软件技术方案运行需求、硬件兼容性及性能优化目标，自行设计硬件交付方案，但需符合服务器主板芯片组兼容标准，确保项目总体硬件资源（如CPU、内存、存储、显卡）配置不低于以上最低要求，以保障系统稳定高效运行。</w:t>
            </w:r>
          </w:p>
          <w:p w14:paraId="1543A5F7">
            <w:pPr>
              <w:spacing w:line="440" w:lineRule="exact"/>
              <w:jc w:val="left"/>
              <w:rPr>
                <w:rFonts w:hint="eastAsia" w:ascii="宋体" w:hAnsi="宋体" w:eastAsia="宋体" w:cs="宋体"/>
                <w:szCs w:val="21"/>
                <w:highlight w:val="none"/>
              </w:rPr>
            </w:pPr>
            <w:r>
              <w:rPr>
                <w:rFonts w:hint="eastAsia" w:ascii="宋体" w:hAnsi="宋体" w:eastAsia="宋体" w:cs="宋体"/>
                <w:szCs w:val="21"/>
                <w:highlight w:val="none"/>
              </w:rPr>
              <w:t>13.多 GPU PCIe 拓扑与带宽要求：8 张 GPU 应在双路 CPU 间合理均衡挂载，每张 GPU 的实际 PCIe 工作链路或经 PCIe Switch 折算后的有效上行带宽不得低于 PCIe 4.0 ×8。采用 PCIe Switch 方案的，投标人须明确提供 Switch 型号、上下行通道配置、GPU 挂载关系及带宽超售比例，带宽超售比例不得高于 2:1。</w:t>
            </w:r>
          </w:p>
          <w:p w14:paraId="43A0C15D">
            <w:pPr>
              <w:spacing w:line="440" w:lineRule="exact"/>
              <w:jc w:val="left"/>
              <w:rPr>
                <w:rFonts w:hint="eastAsia" w:ascii="宋体" w:hAnsi="宋体" w:eastAsia="宋体" w:cs="宋体"/>
                <w:szCs w:val="21"/>
                <w:highlight w:val="none"/>
              </w:rPr>
            </w:pPr>
            <w:r>
              <w:rPr>
                <w:rFonts w:hint="eastAsia" w:ascii="宋体" w:hAnsi="宋体" w:eastAsia="宋体" w:cs="宋体"/>
                <w:szCs w:val="21"/>
                <w:highlight w:val="none"/>
              </w:rPr>
              <w:t>搭载软件参数：</w:t>
            </w:r>
          </w:p>
          <w:p w14:paraId="714AD601">
            <w:pPr>
              <w:spacing w:line="440" w:lineRule="exact"/>
              <w:jc w:val="left"/>
              <w:rPr>
                <w:rFonts w:hint="eastAsia" w:ascii="宋体" w:hAnsi="宋体" w:eastAsia="宋体" w:cs="宋体"/>
                <w:szCs w:val="21"/>
                <w:highlight w:val="none"/>
              </w:rPr>
            </w:pPr>
            <w:r>
              <w:rPr>
                <w:rFonts w:hint="eastAsia" w:ascii="宋体" w:hAnsi="宋体" w:eastAsia="宋体" w:cs="宋体"/>
                <w:szCs w:val="21"/>
                <w:highlight w:val="none"/>
              </w:rPr>
              <w:t>I. 深度学习平台</w:t>
            </w:r>
          </w:p>
          <w:p w14:paraId="2432AD27">
            <w:pPr>
              <w:spacing w:line="440" w:lineRule="exact"/>
              <w:jc w:val="left"/>
              <w:rPr>
                <w:rFonts w:hint="eastAsia" w:ascii="宋体" w:hAnsi="宋体" w:eastAsia="宋体" w:cs="宋体"/>
                <w:szCs w:val="21"/>
                <w:highlight w:val="none"/>
              </w:rPr>
            </w:pPr>
            <w:r>
              <w:rPr>
                <w:rFonts w:hint="eastAsia" w:ascii="宋体" w:hAnsi="宋体" w:eastAsia="宋体" w:cs="宋体"/>
                <w:szCs w:val="21"/>
                <w:highlight w:val="none"/>
              </w:rPr>
              <w:t>A. 大模型部署及推理</w:t>
            </w:r>
          </w:p>
          <w:p w14:paraId="3B218580">
            <w:pPr>
              <w:spacing w:line="440" w:lineRule="exact"/>
              <w:jc w:val="left"/>
              <w:rPr>
                <w:rFonts w:hint="eastAsia" w:ascii="宋体" w:hAnsi="宋体" w:eastAsia="宋体" w:cs="宋体"/>
                <w:szCs w:val="21"/>
                <w:highlight w:val="none"/>
              </w:rPr>
            </w:pPr>
            <w:r>
              <w:rPr>
                <w:rFonts w:hint="eastAsia" w:ascii="宋体" w:hAnsi="宋体" w:eastAsia="宋体" w:cs="宋体"/>
                <w:szCs w:val="21"/>
                <w:highlight w:val="none"/>
              </w:rPr>
              <w:t>该平台应实现极高的吞吐量和极低的延迟，显著提升模型服务的并发处理能力。</w:t>
            </w:r>
          </w:p>
          <w:p w14:paraId="0C106FEB">
            <w:pPr>
              <w:spacing w:line="440" w:lineRule="exact"/>
              <w:jc w:val="left"/>
              <w:rPr>
                <w:rFonts w:hint="eastAsia" w:ascii="宋体" w:hAnsi="宋体" w:eastAsia="宋体" w:cs="宋体"/>
                <w:szCs w:val="21"/>
                <w:highlight w:val="none"/>
              </w:rPr>
            </w:pPr>
            <w:r>
              <w:rPr>
                <w:rFonts w:hint="eastAsia" w:ascii="宋体" w:hAnsi="宋体" w:eastAsia="宋体" w:cs="宋体"/>
                <w:szCs w:val="21"/>
                <w:highlight w:val="none"/>
              </w:rPr>
              <w:t>应支持的大模型列表包括但不限于deepseek-ai/DeepSeek-R1-Distill-Qwen-32B</w:t>
            </w:r>
          </w:p>
          <w:p w14:paraId="2E52CB41">
            <w:pPr>
              <w:spacing w:line="440" w:lineRule="exact"/>
              <w:jc w:val="left"/>
              <w:rPr>
                <w:rFonts w:hint="eastAsia" w:ascii="宋体" w:hAnsi="宋体" w:eastAsia="宋体" w:cs="宋体"/>
                <w:szCs w:val="21"/>
                <w:highlight w:val="none"/>
              </w:rPr>
            </w:pPr>
            <w:r>
              <w:rPr>
                <w:rFonts w:hint="eastAsia" w:ascii="宋体" w:hAnsi="宋体" w:eastAsia="宋体" w:cs="宋体"/>
                <w:szCs w:val="21"/>
                <w:highlight w:val="none"/>
              </w:rPr>
              <w:t>Qwen/Qwen3-Omni-30B-A3B-Instruct</w:t>
            </w:r>
          </w:p>
          <w:p w14:paraId="32248791">
            <w:pPr>
              <w:spacing w:line="440" w:lineRule="exact"/>
              <w:jc w:val="left"/>
              <w:rPr>
                <w:rFonts w:hint="eastAsia" w:ascii="宋体" w:hAnsi="宋体" w:eastAsia="宋体" w:cs="宋体"/>
                <w:szCs w:val="21"/>
                <w:highlight w:val="none"/>
              </w:rPr>
            </w:pPr>
            <w:r>
              <w:rPr>
                <w:rFonts w:hint="eastAsia" w:ascii="宋体" w:hAnsi="宋体" w:eastAsia="宋体" w:cs="宋体"/>
                <w:szCs w:val="21"/>
                <w:highlight w:val="none"/>
              </w:rPr>
              <w:t>deepseek-ai/DeepSeek-R1-0528-Qwen3-8B</w:t>
            </w:r>
          </w:p>
          <w:p w14:paraId="77F648A7">
            <w:pPr>
              <w:spacing w:line="440" w:lineRule="exact"/>
              <w:jc w:val="left"/>
              <w:rPr>
                <w:rFonts w:hint="eastAsia" w:ascii="宋体" w:hAnsi="宋体" w:eastAsia="宋体" w:cs="宋体"/>
                <w:szCs w:val="21"/>
                <w:highlight w:val="none"/>
              </w:rPr>
            </w:pPr>
            <w:r>
              <w:rPr>
                <w:rFonts w:hint="eastAsia" w:ascii="宋体" w:hAnsi="宋体" w:eastAsia="宋体" w:cs="宋体"/>
                <w:szCs w:val="21"/>
                <w:highlight w:val="none"/>
              </w:rPr>
              <w:t>Qwen/Qwen3.6-27B</w:t>
            </w:r>
          </w:p>
          <w:p w14:paraId="79E4698B">
            <w:pPr>
              <w:spacing w:line="440" w:lineRule="exact"/>
              <w:jc w:val="left"/>
              <w:rPr>
                <w:rFonts w:hint="eastAsia" w:ascii="宋体" w:hAnsi="宋体" w:eastAsia="宋体" w:cs="宋体"/>
                <w:szCs w:val="21"/>
                <w:highlight w:val="none"/>
              </w:rPr>
            </w:pPr>
            <w:r>
              <w:rPr>
                <w:rFonts w:hint="eastAsia" w:ascii="宋体" w:hAnsi="宋体" w:eastAsia="宋体" w:cs="宋体"/>
                <w:szCs w:val="21"/>
                <w:highlight w:val="none"/>
              </w:rPr>
              <w:t>Qwen/Qwen3.6-35B-A3B</w:t>
            </w:r>
          </w:p>
          <w:p w14:paraId="294EB6F7">
            <w:pPr>
              <w:spacing w:line="440" w:lineRule="exact"/>
              <w:jc w:val="left"/>
              <w:rPr>
                <w:rFonts w:hint="eastAsia" w:ascii="宋体" w:hAnsi="宋体" w:eastAsia="宋体" w:cs="宋体"/>
                <w:szCs w:val="21"/>
                <w:highlight w:val="none"/>
              </w:rPr>
            </w:pPr>
            <w:r>
              <w:rPr>
                <w:rFonts w:hint="eastAsia" w:ascii="宋体" w:hAnsi="宋体" w:eastAsia="宋体" w:cs="宋体"/>
                <w:szCs w:val="21"/>
                <w:highlight w:val="none"/>
              </w:rPr>
              <w:t>Qwen/Qwen3-VL-8B-Instruct</w:t>
            </w:r>
          </w:p>
          <w:p w14:paraId="74DCFF1C">
            <w:pPr>
              <w:spacing w:line="440" w:lineRule="exact"/>
              <w:jc w:val="left"/>
              <w:rPr>
                <w:rFonts w:hint="eastAsia" w:ascii="宋体" w:hAnsi="宋体" w:eastAsia="宋体" w:cs="宋体"/>
                <w:szCs w:val="21"/>
                <w:highlight w:val="none"/>
              </w:rPr>
            </w:pPr>
            <w:r>
              <w:rPr>
                <w:rFonts w:hint="eastAsia" w:ascii="宋体" w:hAnsi="宋体" w:eastAsia="宋体" w:cs="宋体"/>
                <w:szCs w:val="21"/>
                <w:highlight w:val="none"/>
              </w:rPr>
              <w:t>Qwen/Qwen3-Coder-30B-A3B-Instruct, 等，后续开源模型新发布可进行更新部署。</w:t>
            </w:r>
          </w:p>
          <w:p w14:paraId="21959AD5">
            <w:pPr>
              <w:spacing w:line="440" w:lineRule="exact"/>
              <w:jc w:val="left"/>
              <w:rPr>
                <w:rFonts w:hint="eastAsia" w:ascii="宋体" w:hAnsi="宋体" w:eastAsia="宋体" w:cs="宋体"/>
                <w:szCs w:val="21"/>
                <w:highlight w:val="none"/>
              </w:rPr>
            </w:pPr>
            <w:r>
              <w:rPr>
                <w:rFonts w:hint="eastAsia" w:ascii="宋体" w:hAnsi="宋体" w:eastAsia="宋体" w:cs="宋体"/>
                <w:szCs w:val="21"/>
                <w:highlight w:val="none"/>
              </w:rPr>
              <w:t>该平台应实现对显卡或 NPU 显存的灵活分配与高效利用，需要针对性解决因序列长度不一和动态生成所导致的内存碎片化问题，将显存使用率提升至接近理论极限，为大语言模型的高吞吐、低延迟推理服务提供关键的底层支撑。</w:t>
            </w:r>
          </w:p>
          <w:p w14:paraId="4E9BB7B0">
            <w:pPr>
              <w:spacing w:line="440" w:lineRule="exact"/>
              <w:jc w:val="left"/>
              <w:rPr>
                <w:rFonts w:hint="eastAsia" w:ascii="宋体" w:hAnsi="宋体" w:eastAsia="宋体" w:cs="宋体"/>
                <w:szCs w:val="21"/>
                <w:highlight w:val="none"/>
              </w:rPr>
            </w:pPr>
            <w:r>
              <w:rPr>
                <w:rFonts w:hint="eastAsia" w:ascii="宋体" w:hAnsi="宋体" w:eastAsia="宋体" w:cs="宋体"/>
                <w:szCs w:val="21"/>
                <w:highlight w:val="none"/>
              </w:rPr>
              <w:t>该平台应提供多显卡或 NPU 分布式推理支持，提供对张量并行和流水线并行的支持，能够将大模型切分到多个显卡或 NPU 上进行协同推理，扩展单节点的模型容量和处理能力，适用于超大规模模型的部署场景。</w:t>
            </w:r>
          </w:p>
          <w:p w14:paraId="2FE65C35">
            <w:pPr>
              <w:spacing w:line="440" w:lineRule="exact"/>
              <w:jc w:val="left"/>
              <w:rPr>
                <w:rFonts w:hint="eastAsia" w:ascii="宋体" w:hAnsi="宋体" w:eastAsia="宋体" w:cs="宋体"/>
                <w:szCs w:val="21"/>
                <w:highlight w:val="none"/>
              </w:rPr>
            </w:pPr>
            <w:r>
              <w:rPr>
                <w:rFonts w:hint="eastAsia" w:ascii="宋体" w:hAnsi="宋体" w:eastAsia="宋体" w:cs="宋体"/>
                <w:szCs w:val="21"/>
                <w:highlight w:val="none"/>
              </w:rPr>
              <w:t>B. 可视化用户对话界面</w:t>
            </w:r>
          </w:p>
          <w:p w14:paraId="61F29D66">
            <w:pPr>
              <w:spacing w:line="440" w:lineRule="exact"/>
              <w:jc w:val="left"/>
              <w:rPr>
                <w:rFonts w:hint="eastAsia" w:ascii="宋体" w:hAnsi="宋体" w:eastAsia="宋体" w:cs="宋体"/>
                <w:szCs w:val="21"/>
                <w:highlight w:val="none"/>
              </w:rPr>
            </w:pPr>
            <w:r>
              <w:rPr>
                <w:rFonts w:hint="eastAsia" w:ascii="宋体" w:hAnsi="宋体" w:eastAsia="宋体" w:cs="宋体"/>
                <w:szCs w:val="21"/>
                <w:highlight w:val="none"/>
              </w:rPr>
              <w:t>平台应提供可视化用户对话界面，为用户提供类 ChatGPT 的直观对话体验。</w:t>
            </w:r>
          </w:p>
          <w:p w14:paraId="2FE7E62B">
            <w:pPr>
              <w:spacing w:line="440" w:lineRule="exact"/>
              <w:jc w:val="left"/>
              <w:rPr>
                <w:rFonts w:hint="eastAsia" w:ascii="宋体" w:hAnsi="宋体" w:eastAsia="宋体" w:cs="宋体"/>
                <w:szCs w:val="21"/>
                <w:highlight w:val="none"/>
              </w:rPr>
            </w:pPr>
            <w:r>
              <w:rPr>
                <w:rFonts w:hint="eastAsia" w:ascii="宋体" w:hAnsi="宋体" w:eastAsia="宋体" w:cs="宋体"/>
                <w:szCs w:val="21"/>
                <w:highlight w:val="none"/>
              </w:rPr>
              <w:t>其核心功能与技术特性应包括：</w:t>
            </w:r>
          </w:p>
          <w:p w14:paraId="0B3059ED">
            <w:pPr>
              <w:spacing w:line="440" w:lineRule="exact"/>
              <w:jc w:val="left"/>
              <w:rPr>
                <w:rFonts w:hint="eastAsia" w:ascii="宋体" w:hAnsi="宋体" w:eastAsia="宋体" w:cs="宋体"/>
                <w:szCs w:val="21"/>
                <w:highlight w:val="none"/>
              </w:rPr>
            </w:pPr>
            <w:r>
              <w:rPr>
                <w:rFonts w:hint="eastAsia" w:ascii="宋体" w:hAnsi="宋体" w:eastAsia="宋体" w:cs="宋体"/>
                <w:szCs w:val="21"/>
                <w:highlight w:val="none"/>
              </w:rPr>
              <w:t>(1) 提供与主流商业大模型平台高度相似的用户界面，支持多轮对话、消息流式显示、md 格式渲染、代码高亮等功能。</w:t>
            </w:r>
          </w:p>
          <w:p w14:paraId="554B6D01">
            <w:pPr>
              <w:spacing w:line="440" w:lineRule="exact"/>
              <w:jc w:val="left"/>
              <w:rPr>
                <w:rFonts w:hint="eastAsia" w:ascii="宋体" w:hAnsi="宋体" w:eastAsia="宋体" w:cs="宋体"/>
                <w:szCs w:val="21"/>
                <w:highlight w:val="none"/>
              </w:rPr>
            </w:pPr>
            <w:r>
              <w:rPr>
                <w:rFonts w:hint="eastAsia" w:ascii="宋体" w:hAnsi="宋体" w:eastAsia="宋体" w:cs="宋体"/>
                <w:szCs w:val="21"/>
                <w:highlight w:val="none"/>
              </w:rPr>
              <w:t>(2) 多后端推理引擎集成，支持连接多种本地或远程模型后端，实现统一入口管理多个模型服务，提升资源调度灵活性。</w:t>
            </w:r>
          </w:p>
          <w:p w14:paraId="0586FB68">
            <w:pPr>
              <w:spacing w:line="440" w:lineRule="exact"/>
              <w:jc w:val="left"/>
              <w:rPr>
                <w:rFonts w:hint="eastAsia" w:ascii="宋体" w:hAnsi="宋体" w:eastAsia="宋体" w:cs="宋体"/>
                <w:szCs w:val="21"/>
                <w:highlight w:val="none"/>
              </w:rPr>
            </w:pPr>
            <w:r>
              <w:rPr>
                <w:rFonts w:hint="eastAsia" w:ascii="宋体" w:hAnsi="宋体" w:eastAsia="宋体" w:cs="宋体"/>
                <w:szCs w:val="21"/>
                <w:highlight w:val="none"/>
              </w:rPr>
              <w:t>(3) 多模型与多会话管理，允许用户在同一界面下自由切换不同模型进行对话，并支持创建和管理多个独立的聊天会话，每个会话可保存上下文历史，便于开展不同主题的探索与研究。</w:t>
            </w:r>
          </w:p>
          <w:p w14:paraId="75815C97">
            <w:pPr>
              <w:spacing w:line="440" w:lineRule="exact"/>
              <w:jc w:val="left"/>
              <w:rPr>
                <w:rFonts w:hint="eastAsia" w:ascii="宋体" w:hAnsi="宋体" w:eastAsia="宋体" w:cs="宋体"/>
                <w:szCs w:val="21"/>
                <w:highlight w:val="none"/>
              </w:rPr>
            </w:pPr>
            <w:r>
              <w:rPr>
                <w:rFonts w:hint="eastAsia" w:ascii="宋体" w:hAnsi="宋体" w:eastAsia="宋体" w:cs="宋体"/>
                <w:szCs w:val="21"/>
                <w:highlight w:val="none"/>
              </w:rPr>
              <w:t>(4) 上下文持久化与历史记录，自动保存用户的对话历史，支持按时间、主题或标签进行检索，确保研究过程的连续性和可追溯性，便于教学回顾与科研复现。</w:t>
            </w:r>
          </w:p>
          <w:p w14:paraId="4C6D7DF4">
            <w:pPr>
              <w:spacing w:line="440" w:lineRule="exact"/>
              <w:jc w:val="left"/>
              <w:rPr>
                <w:rFonts w:hint="eastAsia" w:ascii="宋体" w:hAnsi="宋体" w:eastAsia="宋体" w:cs="宋体"/>
                <w:szCs w:val="21"/>
                <w:highlight w:val="none"/>
              </w:rPr>
            </w:pPr>
            <w:r>
              <w:rPr>
                <w:rFonts w:hint="eastAsia" w:ascii="宋体" w:hAnsi="宋体" w:eastAsia="宋体" w:cs="宋体"/>
                <w:szCs w:val="21"/>
                <w:highlight w:val="none"/>
              </w:rPr>
              <w:t>(5) 文件上传与内容解析，允许用户直接上传各类文件，系统可自动解析文本内容并将其作为上下文输入模型，支持对文档内容进行总结、提问、翻译等操作，提升信息处理效率。</w:t>
            </w:r>
          </w:p>
          <w:p w14:paraId="0FF4AB77">
            <w:pPr>
              <w:spacing w:line="440" w:lineRule="exact"/>
              <w:jc w:val="left"/>
              <w:rPr>
                <w:rFonts w:hint="eastAsia" w:ascii="宋体" w:hAnsi="宋体" w:eastAsia="宋体" w:cs="宋体"/>
                <w:szCs w:val="21"/>
                <w:highlight w:val="none"/>
              </w:rPr>
            </w:pPr>
            <w:r>
              <w:rPr>
                <w:rFonts w:hint="eastAsia" w:ascii="宋体" w:hAnsi="宋体" w:eastAsia="宋体" w:cs="宋体"/>
                <w:szCs w:val="21"/>
                <w:highlight w:val="none"/>
              </w:rPr>
              <w:t>(6) 自定义系统提示词，允许用户为每个模型或会话设置自定义的系统级指令，引导模型扮演特定角色（如教师、程序员、法律顾问等），实现更精准的任务导向型交互。</w:t>
            </w:r>
          </w:p>
          <w:p w14:paraId="6D6F819C">
            <w:pPr>
              <w:spacing w:line="440" w:lineRule="exact"/>
              <w:jc w:val="left"/>
              <w:rPr>
                <w:rFonts w:hint="eastAsia" w:ascii="宋体" w:hAnsi="宋体" w:eastAsia="宋体" w:cs="宋体"/>
                <w:szCs w:val="21"/>
                <w:highlight w:val="none"/>
              </w:rPr>
            </w:pPr>
            <w:r>
              <w:rPr>
                <w:rFonts w:hint="eastAsia" w:ascii="宋体" w:hAnsi="宋体" w:eastAsia="宋体" w:cs="宋体"/>
                <w:szCs w:val="21"/>
                <w:highlight w:val="none"/>
              </w:rPr>
              <w:t>(7) 高级对话模式配置，提供温度（Temperature）、Top-p 采样、最大生成长度、重复惩罚（Repetition Penalty）等生成参数的可视化调节，满足不同应用场景对输出多样性与确定性的需求。</w:t>
            </w:r>
          </w:p>
          <w:p w14:paraId="363437A4">
            <w:pPr>
              <w:spacing w:line="440" w:lineRule="exact"/>
              <w:jc w:val="left"/>
              <w:rPr>
                <w:rFonts w:hint="eastAsia" w:ascii="宋体" w:hAnsi="宋体" w:eastAsia="宋体" w:cs="宋体"/>
                <w:szCs w:val="21"/>
                <w:highlight w:val="none"/>
              </w:rPr>
            </w:pPr>
            <w:r>
              <w:rPr>
                <w:rFonts w:hint="eastAsia" w:ascii="宋体" w:hAnsi="宋体" w:eastAsia="宋体" w:cs="宋体"/>
                <w:szCs w:val="21"/>
                <w:highlight w:val="none"/>
              </w:rPr>
              <w:t>(8) 语音输入与输出支持，支持语音识别和文本转语音功能，支持通过语音进行提问和收听模型回复，提升交互的自然性与无障碍访问能力。</w:t>
            </w:r>
          </w:p>
          <w:p w14:paraId="69EE4033">
            <w:pPr>
              <w:spacing w:line="440" w:lineRule="exact"/>
              <w:jc w:val="left"/>
              <w:rPr>
                <w:rFonts w:hint="eastAsia" w:ascii="宋体" w:hAnsi="宋体" w:eastAsia="宋体" w:cs="宋体"/>
                <w:szCs w:val="21"/>
                <w:highlight w:val="none"/>
              </w:rPr>
            </w:pPr>
            <w:r>
              <w:rPr>
                <w:rFonts w:hint="eastAsia" w:ascii="宋体" w:hAnsi="宋体" w:eastAsia="宋体" w:cs="宋体"/>
                <w:szCs w:val="21"/>
                <w:highlight w:val="none"/>
              </w:rPr>
              <w:t>(9) 多模态支持（图像理解），支持上传图片并进行视觉问答（VQA），实现图文混合的多模态交互。</w:t>
            </w:r>
          </w:p>
          <w:p w14:paraId="65AF0B42">
            <w:pPr>
              <w:spacing w:line="440" w:lineRule="exact"/>
              <w:jc w:val="left"/>
              <w:rPr>
                <w:rFonts w:hint="eastAsia" w:ascii="宋体" w:hAnsi="宋体" w:eastAsia="宋体" w:cs="宋体"/>
                <w:szCs w:val="21"/>
                <w:highlight w:val="none"/>
              </w:rPr>
            </w:pPr>
            <w:r>
              <w:rPr>
                <w:rFonts w:hint="eastAsia" w:ascii="宋体" w:hAnsi="宋体" w:eastAsia="宋体" w:cs="宋体"/>
                <w:szCs w:val="21"/>
                <w:highlight w:val="none"/>
              </w:rPr>
              <w:t>C. 模型微调</w:t>
            </w:r>
          </w:p>
          <w:p w14:paraId="3A4C8274">
            <w:pPr>
              <w:spacing w:line="440" w:lineRule="exact"/>
              <w:jc w:val="left"/>
              <w:rPr>
                <w:rFonts w:hint="eastAsia" w:ascii="宋体" w:hAnsi="宋体" w:eastAsia="宋体" w:cs="宋体"/>
                <w:szCs w:val="21"/>
                <w:highlight w:val="none"/>
              </w:rPr>
            </w:pPr>
            <w:r>
              <w:rPr>
                <w:rFonts w:hint="eastAsia" w:ascii="宋体" w:hAnsi="宋体" w:eastAsia="宋体" w:cs="宋体"/>
                <w:szCs w:val="21"/>
                <w:highlight w:val="none"/>
              </w:rPr>
              <w:t>平台应提供可视化的微调框架，提供简洁统一的接口，支持主流大模型（如 LLaMA、Qwen、ChatGLM 等）的全参数微调、LoRA（低秩适配）等高效微调技术，能够基于真实数据集，快速完成模型的领域适配与能力定制：</w:t>
            </w:r>
          </w:p>
          <w:p w14:paraId="0D4E2ED0">
            <w:pPr>
              <w:spacing w:line="440" w:lineRule="exact"/>
              <w:jc w:val="left"/>
              <w:rPr>
                <w:rFonts w:hint="eastAsia" w:ascii="宋体" w:hAnsi="宋体" w:eastAsia="宋体" w:cs="宋体"/>
                <w:szCs w:val="21"/>
                <w:highlight w:val="none"/>
              </w:rPr>
            </w:pPr>
            <w:r>
              <w:rPr>
                <w:rFonts w:hint="eastAsia" w:ascii="宋体" w:hAnsi="宋体" w:eastAsia="宋体" w:cs="宋体"/>
                <w:szCs w:val="21"/>
                <w:highlight w:val="none"/>
              </w:rPr>
              <w:t>(1) 应提供统一的多模型支持架构，支持多种主流大语言模型架构，包括 LLaMA/LLaMA2/LLaMA3、Qwen、ChatGLM、Baichuan、InternLM、XVERSE、Bloom、Falcon、Mistral 等，提供一致的配置接口和训练流程，用户无需针对不同模型修改大量代码即可完成迁移与适配。</w:t>
            </w:r>
          </w:p>
          <w:p w14:paraId="68E99385">
            <w:pPr>
              <w:spacing w:line="440" w:lineRule="exact"/>
              <w:jc w:val="left"/>
              <w:rPr>
                <w:rFonts w:hint="eastAsia" w:ascii="宋体" w:hAnsi="宋体" w:eastAsia="宋体" w:cs="宋体"/>
                <w:szCs w:val="21"/>
                <w:highlight w:val="none"/>
              </w:rPr>
            </w:pPr>
            <w:r>
              <w:rPr>
                <w:rFonts w:hint="eastAsia" w:ascii="宋体" w:hAnsi="宋体" w:eastAsia="宋体" w:cs="宋体"/>
                <w:szCs w:val="21"/>
                <w:highlight w:val="none"/>
              </w:rPr>
              <w:t>(2) 支持全参数微调（Full-parameter Fine-tuning），提供完整的全量参数更新能力，能够基于 Hugging Face Transformers 构建标准的监督微调（SFT）流程，支持 Causal Language Modeling 和 Seq2Seq 两种主流训练范式，并集成 AdamW 优化器、学习率预热（warmup）、余弦衰减调度等关键技术，确保训练过程稳定收敛。同时支持梯度累积、混合精度训练（AMP/BF16）、检查点保存等工程优化，有效应对大批次训练中的显存瓶颈，保障高精度任务的训练质量。</w:t>
            </w:r>
          </w:p>
          <w:p w14:paraId="1DFE8B78">
            <w:pPr>
              <w:spacing w:line="440" w:lineRule="exact"/>
              <w:jc w:val="left"/>
              <w:rPr>
                <w:rFonts w:hint="eastAsia" w:ascii="宋体" w:hAnsi="宋体" w:eastAsia="宋体" w:cs="宋体"/>
                <w:szCs w:val="21"/>
                <w:highlight w:val="none"/>
              </w:rPr>
            </w:pPr>
            <w:r>
              <w:rPr>
                <w:rFonts w:hint="eastAsia" w:ascii="宋体" w:hAnsi="宋体" w:eastAsia="宋体" w:cs="宋体"/>
                <w:szCs w:val="21"/>
                <w:highlight w:val="none"/>
              </w:rPr>
              <w:t>(3) 应支持多种参数高效微调（Parameter-Efficient Fine-tuning, PEFT）方法的支持，显著降低训练所需的显存和计算资源，主要包括 LoRA（Low-Rank Adaptation）、DoRA（Weight-Decomposed Low-Rank Adaptation）、Adapter、IA³（Infused Adapter by Inhibiting and Amplifying Inner Activations）等。</w:t>
            </w:r>
          </w:p>
          <w:p w14:paraId="7016DA7A">
            <w:pPr>
              <w:spacing w:line="440" w:lineRule="exact"/>
              <w:jc w:val="left"/>
              <w:rPr>
                <w:rFonts w:hint="eastAsia" w:ascii="宋体" w:hAnsi="宋体" w:eastAsia="宋体" w:cs="宋体"/>
                <w:szCs w:val="21"/>
                <w:highlight w:val="none"/>
              </w:rPr>
            </w:pPr>
            <w:r>
              <w:rPr>
                <w:rFonts w:hint="eastAsia" w:ascii="宋体" w:hAnsi="宋体" w:eastAsia="宋体" w:cs="宋体"/>
                <w:szCs w:val="21"/>
                <w:highlight w:val="none"/>
              </w:rPr>
              <w:t>(4) 应提供图形化 Web 用户界面（Web UI）：提供直观的浏览器端操作界面，可通过点击式操作完成数据集选择、模型配置、超参数设置、训练启动与监控等全流程，无需编写代码即可开展微调任务。</w:t>
            </w:r>
          </w:p>
          <w:p w14:paraId="05D036BD">
            <w:pPr>
              <w:spacing w:line="440" w:lineRule="exact"/>
              <w:jc w:val="left"/>
              <w:rPr>
                <w:rFonts w:hint="eastAsia" w:ascii="宋体" w:hAnsi="宋体" w:eastAsia="宋体" w:cs="宋体"/>
                <w:szCs w:val="21"/>
                <w:highlight w:val="none"/>
              </w:rPr>
            </w:pPr>
            <w:r>
              <w:rPr>
                <w:rFonts w:hint="eastAsia" w:ascii="宋体" w:hAnsi="宋体" w:eastAsia="宋体" w:cs="宋体"/>
                <w:szCs w:val="21"/>
                <w:highlight w:val="none"/>
              </w:rPr>
              <w:t>(5) 应提供命令行接口（CLI）与脚本化训练：在提供图形界面的同时，应支持完整的命令行模式，允许高级用户通过配置文件和 shell 脚本进行自动化批量训练，便于集成到 CI/CD 和 MLOps 流水线中。</w:t>
            </w:r>
          </w:p>
          <w:p w14:paraId="12DB80AD">
            <w:pPr>
              <w:spacing w:line="440" w:lineRule="exact"/>
              <w:jc w:val="left"/>
              <w:rPr>
                <w:rFonts w:hint="eastAsia" w:ascii="宋体" w:hAnsi="宋体" w:eastAsia="宋体" w:cs="宋体"/>
                <w:szCs w:val="21"/>
                <w:highlight w:val="none"/>
              </w:rPr>
            </w:pPr>
            <w:r>
              <w:rPr>
                <w:rFonts w:hint="eastAsia" w:ascii="宋体" w:hAnsi="宋体" w:eastAsia="宋体" w:cs="宋体"/>
                <w:szCs w:val="21"/>
                <w:highlight w:val="none"/>
              </w:rPr>
              <w:t>(6) 应支持多阶段训练与增量学习支持：支持从检查点恢复训练、跨数据集连续微调、模型合并（Model Merging）等功能，便于开展渐进式模型优化和知识累积式学习。框架应支持跨数据集连续微调，即在完成一个任务的训练后，加载其权重作为初始化参数继续训练另一任务，实现知识迁移与累积。此外，还提供模型合并（Model Merging）功能，支持将多个微调后的 LoRA 权重或全模型进行融合（如使用 TIES-Merging、DARE 等算法），生成一个综合多种能力的统一模型，提升模型的泛化能力与实用性。</w:t>
            </w:r>
          </w:p>
          <w:p w14:paraId="585E5EC0">
            <w:pPr>
              <w:spacing w:line="440" w:lineRule="exact"/>
              <w:jc w:val="left"/>
              <w:rPr>
                <w:rFonts w:hint="eastAsia" w:ascii="宋体" w:hAnsi="宋体" w:eastAsia="宋体" w:cs="宋体"/>
                <w:szCs w:val="21"/>
                <w:highlight w:val="none"/>
              </w:rPr>
            </w:pPr>
            <w:r>
              <w:rPr>
                <w:rFonts w:hint="eastAsia" w:ascii="宋体" w:hAnsi="宋体" w:eastAsia="宋体" w:cs="宋体"/>
                <w:szCs w:val="21"/>
                <w:highlight w:val="none"/>
              </w:rPr>
              <w:t>(7) 应兼容多样化数据集格式：支持多种标准数据格式输入，如 JSON、JSONL、Hugging Face Dataset、Alpaca 格式、ShareGPT 格式等。</w:t>
            </w:r>
          </w:p>
          <w:p w14:paraId="2E15DD34">
            <w:pPr>
              <w:spacing w:line="440" w:lineRule="exact"/>
              <w:jc w:val="left"/>
              <w:rPr>
                <w:rFonts w:hint="eastAsia" w:ascii="宋体" w:hAnsi="宋体" w:eastAsia="宋体" w:cs="宋体"/>
                <w:szCs w:val="21"/>
                <w:highlight w:val="none"/>
              </w:rPr>
            </w:pPr>
            <w:r>
              <w:rPr>
                <w:rFonts w:hint="eastAsia" w:ascii="宋体" w:hAnsi="宋体" w:eastAsia="宋体" w:cs="宋体"/>
                <w:szCs w:val="21"/>
                <w:highlight w:val="none"/>
              </w:rPr>
              <w:t>(8) 监督微调（SFT）与基于人类反馈的强化学习（RLHF）全流程支持：不仅支持标准的监督微调，还应集成 DPO、KTO 等无需奖励模型的偏好对齐算法，以及完整的 PPO 强化学习流程，实现从原始模型到对齐模型的端到端训练能力。</w:t>
            </w:r>
          </w:p>
          <w:p w14:paraId="6144B62A">
            <w:pPr>
              <w:spacing w:line="440" w:lineRule="exact"/>
              <w:jc w:val="left"/>
              <w:rPr>
                <w:rFonts w:hint="eastAsia" w:ascii="宋体" w:hAnsi="宋体" w:eastAsia="宋体" w:cs="宋体"/>
                <w:szCs w:val="21"/>
                <w:highlight w:val="none"/>
              </w:rPr>
            </w:pPr>
            <w:r>
              <w:rPr>
                <w:rFonts w:hint="eastAsia" w:ascii="宋体" w:hAnsi="宋体" w:eastAsia="宋体" w:cs="宋体"/>
                <w:szCs w:val="21"/>
                <w:highlight w:val="none"/>
              </w:rPr>
              <w:t>(9) 分布式训练与硬件加速优化：应支持数据并行、ZeRO-2/ZeRO-3、张量并行等多种分布式训练策略，可在单卡显卡或 NPU 到多节点高性能集群上高效运行。</w:t>
            </w:r>
          </w:p>
          <w:p w14:paraId="28080146">
            <w:pPr>
              <w:spacing w:line="440" w:lineRule="exact"/>
              <w:jc w:val="left"/>
              <w:rPr>
                <w:rFonts w:hint="eastAsia" w:ascii="宋体" w:hAnsi="宋体" w:eastAsia="宋体" w:cs="宋体"/>
                <w:szCs w:val="21"/>
                <w:highlight w:val="none"/>
              </w:rPr>
            </w:pPr>
            <w:r>
              <w:rPr>
                <w:rFonts w:hint="eastAsia" w:ascii="宋体" w:hAnsi="宋体" w:eastAsia="宋体" w:cs="宋体"/>
                <w:szCs w:val="21"/>
                <w:highlight w:val="none"/>
              </w:rPr>
              <w:t>(10) 训练过程可视化与监控：应能实时展示损失曲线、学习率变化、梯度范数、显卡或 NPU 利用率等关键指标，便于调试和性能分析。</w:t>
            </w:r>
          </w:p>
          <w:p w14:paraId="000EBCB3">
            <w:pPr>
              <w:spacing w:line="440" w:lineRule="exact"/>
              <w:jc w:val="left"/>
              <w:rPr>
                <w:rFonts w:hint="eastAsia" w:ascii="宋体" w:hAnsi="宋体" w:eastAsia="宋体" w:cs="宋体"/>
                <w:szCs w:val="21"/>
                <w:highlight w:val="none"/>
              </w:rPr>
            </w:pPr>
            <w:r>
              <w:rPr>
                <w:rFonts w:hint="eastAsia" w:ascii="宋体" w:hAnsi="宋体" w:eastAsia="宋体" w:cs="宋体"/>
                <w:szCs w:val="21"/>
                <w:highlight w:val="none"/>
              </w:rPr>
              <w:t>(11) 自动评估与基准测试：应内置对主流评测集的支持，可在训练前后自动执行模型能力评估，生成结构化报告，客观衡量微调效果。</w:t>
            </w:r>
          </w:p>
          <w:p w14:paraId="2869597C">
            <w:pPr>
              <w:spacing w:line="440" w:lineRule="exact"/>
              <w:jc w:val="left"/>
              <w:rPr>
                <w:rFonts w:hint="eastAsia" w:ascii="宋体" w:hAnsi="宋体" w:eastAsia="宋体" w:cs="宋体"/>
                <w:szCs w:val="21"/>
                <w:highlight w:val="none"/>
              </w:rPr>
            </w:pPr>
            <w:r>
              <w:rPr>
                <w:rFonts w:hint="eastAsia" w:ascii="宋体" w:hAnsi="宋体" w:eastAsia="宋体" w:cs="宋体"/>
                <w:szCs w:val="21"/>
                <w:highlight w:val="none"/>
              </w:rPr>
              <w:t>(12) 模型导出与部署准备：应支持将微调后的模型导出为标准格式，并提供与推理引擎的无缝对接方案。</w:t>
            </w:r>
          </w:p>
          <w:p w14:paraId="6D354267">
            <w:pPr>
              <w:spacing w:line="440" w:lineRule="exact"/>
              <w:jc w:val="left"/>
              <w:rPr>
                <w:rFonts w:hint="eastAsia" w:ascii="宋体" w:hAnsi="宋体" w:eastAsia="宋体" w:cs="宋体"/>
                <w:szCs w:val="21"/>
                <w:highlight w:val="none"/>
              </w:rPr>
            </w:pPr>
            <w:r>
              <w:rPr>
                <w:rFonts w:hint="eastAsia" w:ascii="宋体" w:hAnsi="宋体" w:eastAsia="宋体" w:cs="宋体"/>
                <w:szCs w:val="21"/>
                <w:highlight w:val="none"/>
              </w:rPr>
              <w:t>(二) 智能分析平台</w:t>
            </w:r>
          </w:p>
          <w:p w14:paraId="25C7F690">
            <w:pPr>
              <w:spacing w:line="440" w:lineRule="exact"/>
              <w:jc w:val="left"/>
              <w:rPr>
                <w:rFonts w:hint="eastAsia" w:ascii="宋体" w:hAnsi="宋体" w:eastAsia="宋体" w:cs="宋体"/>
                <w:szCs w:val="21"/>
                <w:highlight w:val="none"/>
              </w:rPr>
            </w:pPr>
            <w:r>
              <w:rPr>
                <w:rFonts w:hint="eastAsia" w:ascii="宋体" w:hAnsi="宋体" w:eastAsia="宋体" w:cs="宋体"/>
                <w:szCs w:val="21"/>
                <w:highlight w:val="none"/>
              </w:rPr>
              <w:t>智能分析平台应包括数据采集层、智能分析核心层和应用服务层，实现从数据采集到信息呈现的全链条智能化处理。各层级采用松耦合设计，支持独立部署与横向扩展，通过标准化接口实现数据流转与功能协同。</w:t>
            </w:r>
          </w:p>
          <w:p w14:paraId="40922B0C">
            <w:pPr>
              <w:spacing w:line="440" w:lineRule="exact"/>
              <w:jc w:val="left"/>
              <w:rPr>
                <w:rFonts w:hint="eastAsia" w:ascii="宋体" w:hAnsi="宋体" w:eastAsia="宋体" w:cs="宋体"/>
                <w:szCs w:val="21"/>
                <w:highlight w:val="none"/>
              </w:rPr>
            </w:pPr>
            <w:r>
              <w:rPr>
                <w:rFonts w:hint="eastAsia" w:ascii="宋体" w:hAnsi="宋体" w:eastAsia="宋体" w:cs="宋体"/>
                <w:szCs w:val="21"/>
                <w:highlight w:val="none"/>
              </w:rPr>
              <w:t>A. 数据采集层</w:t>
            </w:r>
          </w:p>
          <w:p w14:paraId="04DEE263">
            <w:pPr>
              <w:spacing w:line="440" w:lineRule="exact"/>
              <w:jc w:val="left"/>
              <w:rPr>
                <w:rFonts w:hint="eastAsia" w:ascii="宋体" w:hAnsi="宋体" w:eastAsia="宋体" w:cs="宋体"/>
                <w:szCs w:val="21"/>
                <w:highlight w:val="none"/>
              </w:rPr>
            </w:pPr>
            <w:r>
              <w:rPr>
                <w:rFonts w:hint="eastAsia" w:ascii="宋体" w:hAnsi="宋体" w:eastAsia="宋体" w:cs="宋体"/>
                <w:szCs w:val="21"/>
                <w:highlight w:val="none"/>
                <w:lang w:val="en-US" w:eastAsia="zh-CN"/>
              </w:rPr>
              <w:t>支持</w:t>
            </w:r>
            <w:r>
              <w:rPr>
                <w:rFonts w:hint="eastAsia" w:ascii="宋体" w:hAnsi="宋体" w:eastAsia="宋体" w:cs="宋体"/>
                <w:szCs w:val="21"/>
                <w:highlight w:val="none"/>
              </w:rPr>
              <w:t>数据的采集、预处理以及清洗工作。该层级负责产出经过结构化处理和清洗的纯文本数据片段及其相关元数据，支持多源异构数据融合与标准化存储，为上层分析提供高质量数据输入。</w:t>
            </w:r>
          </w:p>
          <w:p w14:paraId="6D3F5AD3">
            <w:pPr>
              <w:spacing w:line="440" w:lineRule="exact"/>
              <w:jc w:val="left"/>
              <w:rPr>
                <w:rFonts w:hint="eastAsia" w:ascii="宋体" w:hAnsi="宋体" w:eastAsia="宋体" w:cs="宋体"/>
                <w:szCs w:val="21"/>
                <w:highlight w:val="none"/>
              </w:rPr>
            </w:pPr>
            <w:r>
              <w:rPr>
                <w:rFonts w:hint="eastAsia" w:ascii="宋体" w:hAnsi="宋体" w:eastAsia="宋体" w:cs="宋体"/>
                <w:szCs w:val="21"/>
                <w:highlight w:val="none"/>
              </w:rPr>
              <w:t>(1) 数据采集。针对海内外政府网站（如中国政府网、国务院部门站、地方政府门户及国际组织官网等）的页面结构进行深度分析，包括识别列表页、详情页与分页机制，建立标准化采集模板。通过配置智能翻页与增量采集策略，系统应可周期性自动运行，精准提取新闻标题、发布时间、发布机构、正文内容等核心字段，并支持云环境执行以规避 IP 封锁风险。采集结果按预定周期导出为结构化文件（CSV/JSON），推送至指定共享存储路径，确保数据稳定输出，全过程无需人工干预，保障数据的持续性与完整性。同时支持动态网页渲染内容采集与 JavaScript 异步加载数据捕获，适配复杂页面结构。</w:t>
            </w:r>
          </w:p>
          <w:p w14:paraId="0548BC95">
            <w:pPr>
              <w:spacing w:line="440" w:lineRule="exact"/>
              <w:jc w:val="left"/>
              <w:rPr>
                <w:rFonts w:hint="eastAsia" w:ascii="宋体" w:hAnsi="宋体" w:eastAsia="宋体" w:cs="宋体"/>
                <w:szCs w:val="21"/>
                <w:highlight w:val="none"/>
              </w:rPr>
            </w:pPr>
            <w:r>
              <w:rPr>
                <w:rFonts w:hint="eastAsia" w:ascii="宋体" w:hAnsi="宋体" w:eastAsia="宋体" w:cs="宋体"/>
                <w:szCs w:val="21"/>
                <w:highlight w:val="none"/>
              </w:rPr>
              <w:t>(2) 数据清洗。清洗过程中，应完成格式标准化和文本清洗工作，包括去除 HTML 标签、特殊符号、乱码以及无关信息，进行冗余空格与噪声文本清理，并对标题与正文进行长度规范化处理并统一编码格式与时间表述规范。组合构建唯一性标识，自动去重，避免重复数据输出。同时，对字段缺失、编码异常等采集问题生成基础日志记录，便于追溯与审计。</w:t>
            </w:r>
          </w:p>
          <w:p w14:paraId="7CF28D93">
            <w:pPr>
              <w:spacing w:line="440" w:lineRule="exact"/>
              <w:jc w:val="left"/>
              <w:rPr>
                <w:rFonts w:hint="eastAsia" w:ascii="宋体" w:hAnsi="宋体" w:eastAsia="宋体" w:cs="宋体"/>
                <w:szCs w:val="21"/>
                <w:highlight w:val="none"/>
              </w:rPr>
            </w:pPr>
            <w:r>
              <w:rPr>
                <w:rFonts w:hint="eastAsia" w:ascii="宋体" w:hAnsi="宋体" w:eastAsia="宋体" w:cs="宋体"/>
                <w:szCs w:val="21"/>
                <w:highlight w:val="none"/>
              </w:rPr>
              <w:t>(3) 支持自定义清洗规则配置，可按业务需求添加关键词过滤、敏感信息脱敏及特殊格式转换规则。</w:t>
            </w:r>
          </w:p>
          <w:p w14:paraId="5C71CF38">
            <w:pPr>
              <w:spacing w:line="440" w:lineRule="exact"/>
              <w:jc w:val="left"/>
              <w:rPr>
                <w:rFonts w:hint="eastAsia" w:ascii="宋体" w:hAnsi="宋体" w:eastAsia="宋体" w:cs="宋体"/>
                <w:szCs w:val="21"/>
                <w:highlight w:val="none"/>
              </w:rPr>
            </w:pPr>
            <w:r>
              <w:rPr>
                <w:rFonts w:hint="eastAsia" w:ascii="宋体" w:hAnsi="宋体" w:eastAsia="宋体" w:cs="宋体"/>
                <w:szCs w:val="21"/>
                <w:highlight w:val="none"/>
              </w:rPr>
              <w:t>(4) 政府公文</w:t>
            </w:r>
            <w:r>
              <w:rPr>
                <w:rFonts w:hint="eastAsia" w:ascii="宋体" w:hAnsi="宋体" w:eastAsia="宋体" w:cs="宋体"/>
                <w:szCs w:val="21"/>
                <w:highlight w:val="none"/>
                <w:lang w:val="en-US" w:eastAsia="zh-CN"/>
              </w:rPr>
              <w:t>附件</w:t>
            </w:r>
            <w:r>
              <w:rPr>
                <w:rFonts w:hint="eastAsia" w:ascii="宋体" w:hAnsi="宋体" w:eastAsia="宋体" w:cs="宋体"/>
                <w:szCs w:val="21"/>
                <w:highlight w:val="none"/>
              </w:rPr>
              <w:t>深度结构化解析：系统须内置针对政务场景的智能解析引擎，除支持网页正文提取外，还须支持对页面附件（PDF/Word/图片）进行深度解析。具备OCR自动识别与版面分析能力，能自动提取公文中的“发文机关”、“成文日期”、“发文字号”等元数据并建立结构化索引。支持将附件内容与正文逻辑关联，防止信息孤岛。</w:t>
            </w:r>
          </w:p>
          <w:p w14:paraId="0339995C">
            <w:pPr>
              <w:spacing w:line="440" w:lineRule="exact"/>
              <w:jc w:val="left"/>
              <w:rPr>
                <w:rFonts w:hint="eastAsia" w:ascii="宋体" w:hAnsi="宋体" w:eastAsia="宋体" w:cs="宋体"/>
                <w:szCs w:val="21"/>
                <w:highlight w:val="none"/>
              </w:rPr>
            </w:pPr>
            <w:r>
              <w:rPr>
                <w:rFonts w:hint="eastAsia" w:ascii="宋体" w:hAnsi="宋体" w:eastAsia="宋体" w:cs="宋体"/>
                <w:szCs w:val="21"/>
                <w:highlight w:val="none"/>
              </w:rPr>
              <w:t>B. 智能分析核心层</w:t>
            </w:r>
          </w:p>
          <w:p w14:paraId="5ED1DB2F">
            <w:pPr>
              <w:spacing w:line="440" w:lineRule="exact"/>
              <w:jc w:val="left"/>
              <w:rPr>
                <w:rFonts w:hint="eastAsia" w:ascii="宋体" w:hAnsi="宋体" w:eastAsia="宋体" w:cs="宋体"/>
                <w:szCs w:val="21"/>
                <w:highlight w:val="none"/>
              </w:rPr>
            </w:pPr>
            <w:r>
              <w:rPr>
                <w:rFonts w:hint="eastAsia" w:ascii="宋体" w:hAnsi="宋体" w:eastAsia="宋体" w:cs="宋体"/>
                <w:szCs w:val="21"/>
                <w:highlight w:val="none"/>
              </w:rPr>
              <w:t>应包括知识的提取、知识图谱的构建以及多模态大模型的分析能力。该层级应提供一个高效可检索的知识图谱，以及具备核心推理能力的模型服务，支持复杂任务拆解与多智能体协同执行。</w:t>
            </w:r>
          </w:p>
          <w:p w14:paraId="517B95AE">
            <w:pPr>
              <w:spacing w:line="440" w:lineRule="exact"/>
              <w:jc w:val="left"/>
              <w:rPr>
                <w:rFonts w:hint="eastAsia" w:ascii="宋体" w:hAnsi="宋体" w:eastAsia="宋体" w:cs="宋体"/>
                <w:szCs w:val="21"/>
                <w:highlight w:val="none"/>
              </w:rPr>
            </w:pPr>
            <w:r>
              <w:rPr>
                <w:rFonts w:hint="eastAsia" w:ascii="宋体" w:hAnsi="宋体" w:eastAsia="宋体" w:cs="宋体"/>
                <w:szCs w:val="21"/>
                <w:highlight w:val="none"/>
              </w:rPr>
              <w:t>(1) 知识图谱与模型服务。提供高效可检索的知识图谱，及具备核心推理能力的模型服务。</w:t>
            </w:r>
          </w:p>
          <w:p w14:paraId="1B82F479">
            <w:pPr>
              <w:spacing w:line="440" w:lineRule="exact"/>
              <w:jc w:val="left"/>
              <w:rPr>
                <w:rFonts w:hint="eastAsia" w:ascii="宋体" w:hAnsi="宋体" w:eastAsia="宋体" w:cs="宋体"/>
                <w:szCs w:val="21"/>
                <w:highlight w:val="none"/>
              </w:rPr>
            </w:pPr>
            <w:r>
              <w:rPr>
                <w:rFonts w:hint="eastAsia" w:ascii="宋体" w:hAnsi="宋体" w:eastAsia="宋体" w:cs="宋体"/>
                <w:szCs w:val="21"/>
                <w:highlight w:val="none"/>
              </w:rPr>
              <w:t>(2) 支持自然语言指令交互。系统应提供直观的 Web 前端交互界面，支持以自然语言形式输入任务指令，系统应基于语义理解技术自动解析用户意图，将其转化为可执行的任务流程，降低使用门槛，提升操作效率。该功能应基于标准对话引擎实现，不依赖特定大模型 API 调用，所有解析逻辑在本地完成，确保响应稳定、数据不出域。支持多轮对话上下文记忆与意图修正，可处理模糊查询与复杂条件组合指令。</w:t>
            </w:r>
          </w:p>
          <w:p w14:paraId="67FD9F89">
            <w:pPr>
              <w:spacing w:line="440" w:lineRule="exact"/>
              <w:jc w:val="left"/>
              <w:rPr>
                <w:rFonts w:hint="eastAsia" w:ascii="宋体" w:hAnsi="宋体" w:eastAsia="宋体" w:cs="宋体"/>
                <w:szCs w:val="21"/>
                <w:highlight w:val="none"/>
              </w:rPr>
            </w:pPr>
            <w:r>
              <w:rPr>
                <w:rFonts w:hint="eastAsia" w:ascii="宋体" w:hAnsi="宋体" w:eastAsia="宋体" w:cs="宋体"/>
                <w:szCs w:val="21"/>
                <w:highlight w:val="none"/>
              </w:rPr>
              <w:t>(3) 异构智能体混合调度架构：系统须支持 Plan &amp; Executor（规划与执行）双引擎智能体架构。在报告生成任务流中，支持异构模型混合调度：针对“任务拆解规划”等高复杂节点自动调用千亿级参数模型（如 Llama-70B/DeepSeek-R1），针对“高频信息抽取”节点自动路由至百亿级轻量模型（7B/8B），以平衡推理精度与系统响应速度。</w:t>
            </w:r>
          </w:p>
          <w:p w14:paraId="33405088">
            <w:pPr>
              <w:spacing w:line="440" w:lineRule="exact"/>
              <w:jc w:val="left"/>
              <w:rPr>
                <w:rFonts w:hint="eastAsia" w:ascii="宋体" w:hAnsi="宋体" w:eastAsia="宋体" w:cs="宋体"/>
                <w:szCs w:val="21"/>
                <w:highlight w:val="none"/>
              </w:rPr>
            </w:pPr>
            <w:r>
              <w:rPr>
                <w:rFonts w:hint="eastAsia" w:ascii="宋体" w:hAnsi="宋体" w:eastAsia="宋体" w:cs="宋体"/>
                <w:szCs w:val="21"/>
                <w:highlight w:val="none"/>
              </w:rPr>
              <w:t>(4) 基于 GraphRAG 的溯源校验：平台须具备 GraphRAG（基于知识图谱的检索增强生成）能力。在生成报告时，系统需能自动抽取文本实体构建临时子图，进行多跳推理，而非仅依赖向量相似度检索。生成的报告内容须标注引用来源的知识图谱路径，支持追溯原始文档片段。</w:t>
            </w:r>
          </w:p>
          <w:p w14:paraId="6EBA5395">
            <w:pPr>
              <w:spacing w:line="440" w:lineRule="exact"/>
              <w:jc w:val="left"/>
              <w:rPr>
                <w:rFonts w:hint="eastAsia" w:ascii="宋体" w:hAnsi="宋体" w:eastAsia="宋体" w:cs="宋体"/>
                <w:szCs w:val="21"/>
                <w:highlight w:val="none"/>
              </w:rPr>
            </w:pPr>
            <w:r>
              <w:rPr>
                <w:rFonts w:hint="eastAsia" w:ascii="宋体" w:hAnsi="宋体" w:eastAsia="宋体" w:cs="宋体"/>
                <w:szCs w:val="21"/>
                <w:highlight w:val="none"/>
              </w:rPr>
              <w:t>(5) 智能体协作模式。应支持多种智能体协作模式。包括但不限于 React 和 Plan &amp; Executor 两种主流智能体工作模式，可根据任务特性自动匹配最优模式，两种模式可灵活切换或组合使用，提升系统对复杂任务的适应能力，确保高成功率与执行效率，且无需手动配置模式选择，由系统智能决策。支持任务优先级动态调整与资源弹性分配，实现多任务并行处理与结果协同整合。</w:t>
            </w:r>
          </w:p>
          <w:p w14:paraId="3B0648EB">
            <w:pPr>
              <w:spacing w:line="440" w:lineRule="exact"/>
              <w:jc w:val="left"/>
              <w:rPr>
                <w:rFonts w:hint="eastAsia" w:ascii="宋体" w:hAnsi="宋体" w:eastAsia="宋体" w:cs="宋体"/>
                <w:szCs w:val="21"/>
                <w:highlight w:val="none"/>
              </w:rPr>
            </w:pPr>
            <w:r>
              <w:rPr>
                <w:rFonts w:hint="eastAsia" w:ascii="宋体" w:hAnsi="宋体" w:eastAsia="宋体" w:cs="宋体"/>
                <w:szCs w:val="21"/>
                <w:highlight w:val="none"/>
              </w:rPr>
              <w:t>(6) 本地知识图谱构建与搜索。系统应支持本地知识图谱的构建与搜索。平台需要集成从非结构化文本中自动抽取实体、关系及属性的能力，并基于图数据库构建可检索、可推理的领域知识图谱。并能够支持可视化展示，显著提升政策分析的准确性、逻辑性与可解释性。所有图谱构建、存储与查询过程均在本地私有环境中完成，确保敏感数据不出域。支持实体消歧、关系推理与知识补全功能，可通过规则引擎定义领域特定推理逻辑。</w:t>
            </w:r>
          </w:p>
          <w:p w14:paraId="691E3086">
            <w:pPr>
              <w:spacing w:line="440" w:lineRule="exact"/>
              <w:jc w:val="left"/>
              <w:rPr>
                <w:rFonts w:hint="eastAsia" w:ascii="宋体" w:hAnsi="宋体" w:eastAsia="宋体" w:cs="宋体"/>
                <w:szCs w:val="21"/>
                <w:highlight w:val="none"/>
              </w:rPr>
            </w:pPr>
            <w:r>
              <w:rPr>
                <w:rFonts w:hint="eastAsia" w:ascii="宋体" w:hAnsi="宋体" w:eastAsia="宋体" w:cs="宋体"/>
                <w:szCs w:val="21"/>
                <w:highlight w:val="none"/>
              </w:rPr>
              <w:t>(7) 图像内容智能解析。系统应支持图像内容智能解析。系统需要支持对采集回来的图像数据进行存储、搜索和智能解析，能够理解图片的内容，包括图片中出现的文字，应支持提取图像中的关键信息，并将信息整合到智能体的分析过程中。支持多模态数据融合分析，可将图像解析结果与文本数据关联，实现跨模态知识推理与联合检索。</w:t>
            </w:r>
          </w:p>
          <w:p w14:paraId="03800198">
            <w:pPr>
              <w:spacing w:line="440" w:lineRule="exact"/>
              <w:jc w:val="left"/>
              <w:rPr>
                <w:rFonts w:hint="eastAsia" w:ascii="宋体" w:hAnsi="宋体" w:eastAsia="宋体" w:cs="宋体"/>
                <w:szCs w:val="21"/>
                <w:highlight w:val="none"/>
              </w:rPr>
            </w:pPr>
            <w:r>
              <w:rPr>
                <w:rFonts w:hint="eastAsia" w:ascii="宋体" w:hAnsi="宋体" w:eastAsia="宋体" w:cs="宋体"/>
                <w:szCs w:val="21"/>
                <w:highlight w:val="none"/>
              </w:rPr>
              <w:t>(8) 高并发执行引擎。平台应支持多个子智能体并行调度与依赖管理，最大化利用计算资源。并发执行的同时，平台应保障各模块间状态同步与信息一致性，避免因数据断层导致执行失败。应具备高并发处理能力，可同时响应多个请求或并行执行多个子任务，显著缩短端到端处理时间。采用分布式任务调度框架，支持任务断点续跑与失败重试机制。</w:t>
            </w:r>
          </w:p>
          <w:p w14:paraId="2BC79ECE">
            <w:pPr>
              <w:spacing w:line="440" w:lineRule="exact"/>
              <w:jc w:val="left"/>
              <w:rPr>
                <w:rFonts w:hint="eastAsia" w:ascii="宋体" w:hAnsi="宋体" w:eastAsia="宋体" w:cs="宋体"/>
                <w:szCs w:val="21"/>
                <w:highlight w:val="none"/>
              </w:rPr>
            </w:pPr>
            <w:r>
              <w:rPr>
                <w:rFonts w:hint="eastAsia" w:ascii="宋体" w:hAnsi="宋体" w:eastAsia="宋体" w:cs="宋体"/>
                <w:szCs w:val="21"/>
                <w:highlight w:val="none"/>
              </w:rPr>
              <w:t>C. 应用服务层与用户端功能</w:t>
            </w:r>
          </w:p>
          <w:p w14:paraId="2E77D829">
            <w:pPr>
              <w:spacing w:line="440" w:lineRule="exact"/>
              <w:jc w:val="left"/>
              <w:rPr>
                <w:rFonts w:hint="eastAsia" w:ascii="宋体" w:hAnsi="宋体" w:eastAsia="宋体" w:cs="宋体"/>
                <w:szCs w:val="21"/>
                <w:highlight w:val="none"/>
              </w:rPr>
            </w:pPr>
            <w:r>
              <w:rPr>
                <w:rFonts w:hint="eastAsia" w:ascii="宋体" w:hAnsi="宋体" w:eastAsia="宋体" w:cs="宋体"/>
                <w:szCs w:val="21"/>
                <w:highlight w:val="none"/>
              </w:rPr>
              <w:t>主要用于提供针对使用场景的应用适配上下文和具体功能，包括多维度权限管控、个性化服务配置与开放生态集成能力。</w:t>
            </w:r>
          </w:p>
          <w:p w14:paraId="14E1DD19">
            <w:pPr>
              <w:spacing w:line="440" w:lineRule="exact"/>
              <w:jc w:val="left"/>
              <w:rPr>
                <w:rFonts w:hint="eastAsia" w:ascii="宋体" w:hAnsi="宋体" w:eastAsia="宋体" w:cs="宋体"/>
                <w:szCs w:val="21"/>
                <w:highlight w:val="none"/>
              </w:rPr>
            </w:pPr>
            <w:r>
              <w:rPr>
                <w:rFonts w:hint="eastAsia" w:ascii="宋体" w:hAnsi="宋体" w:eastAsia="宋体" w:cs="宋体"/>
                <w:szCs w:val="21"/>
                <w:highlight w:val="none"/>
              </w:rPr>
              <w:t>(1) 全链路流式输出。应支持全链路流式输出。系统应支持从接收到指令开始的全链路流式输出，应前端实时展示智能体的思考过程、工具调用、数据获取、分析逻辑及内容生成进展，实现“所见即所得”的交互体验。输出内容应按阶段逐步呈现，无需等待整体完成即可预览部分结果。支持输出过程暂停/继续控制与中间结果导出功能。</w:t>
            </w:r>
          </w:p>
          <w:p w14:paraId="72B61C7D">
            <w:pPr>
              <w:spacing w:line="440" w:lineRule="exact"/>
              <w:jc w:val="left"/>
              <w:rPr>
                <w:rFonts w:hint="eastAsia" w:ascii="宋体" w:hAnsi="宋体" w:eastAsia="宋体" w:cs="宋体"/>
                <w:szCs w:val="21"/>
                <w:highlight w:val="none"/>
              </w:rPr>
            </w:pPr>
            <w:r>
              <w:rPr>
                <w:rFonts w:hint="eastAsia" w:ascii="宋体" w:hAnsi="宋体" w:eastAsia="宋体" w:cs="宋体"/>
                <w:szCs w:val="21"/>
                <w:highlight w:val="none"/>
              </w:rPr>
              <w:t>(2) 全链路所见即所得交互</w:t>
            </w:r>
            <w:r>
              <w:rPr>
                <w:rFonts w:hint="eastAsia" w:ascii="宋体" w:hAnsi="宋体" w:eastAsia="宋体" w:cs="宋体"/>
                <w:szCs w:val="21"/>
                <w:highlight w:val="none"/>
                <w:lang w:eastAsia="zh-CN"/>
              </w:rPr>
              <w:t>。</w:t>
            </w:r>
            <w:r>
              <w:rPr>
                <w:rFonts w:hint="eastAsia" w:ascii="宋体" w:hAnsi="宋体" w:eastAsia="宋体" w:cs="宋体"/>
                <w:szCs w:val="21"/>
                <w:highlight w:val="none"/>
              </w:rPr>
              <w:t>提供 Markdown 与 Office 格式的双向实时渲染引擎：用户在预览区修改报告文字或图表时，</w:t>
            </w:r>
            <w:r>
              <w:rPr>
                <w:rFonts w:hint="eastAsia" w:ascii="宋体" w:hAnsi="宋体" w:eastAsia="宋体" w:cs="宋体"/>
                <w:szCs w:val="21"/>
                <w:highlight w:val="none"/>
                <w:lang w:val="en-US" w:eastAsia="zh-CN"/>
              </w:rPr>
              <w:t xml:space="preserve">一侧    </w:t>
            </w:r>
            <w:r>
              <w:rPr>
                <w:rFonts w:hint="eastAsia" w:ascii="宋体" w:hAnsi="宋体" w:eastAsia="宋体" w:cs="宋体"/>
                <w:szCs w:val="21"/>
                <w:highlight w:val="none"/>
              </w:rPr>
              <w:t>Markdown 源码需自动同步更新；支持在 AI 生成大纲阶段进行拖拽式调整，AI 根据调整后的大纲重新生成内容。支持“中间态导出”，允许用户在生成过程中暂停并导出草稿。</w:t>
            </w:r>
          </w:p>
          <w:p w14:paraId="2BE114B0">
            <w:pPr>
              <w:spacing w:line="440" w:lineRule="exact"/>
              <w:jc w:val="left"/>
              <w:rPr>
                <w:rFonts w:hint="eastAsia" w:ascii="宋体" w:hAnsi="宋体" w:eastAsia="宋体" w:cs="宋体"/>
                <w:szCs w:val="21"/>
                <w:highlight w:val="none"/>
              </w:rPr>
            </w:pPr>
            <w:r>
              <w:rPr>
                <w:rFonts w:hint="eastAsia" w:ascii="宋体" w:hAnsi="宋体" w:eastAsia="宋体" w:cs="宋体"/>
                <w:szCs w:val="21"/>
                <w:highlight w:val="none"/>
              </w:rPr>
              <w:t>(3) 可视化编排沙箱与审计：系统须提供可视化的智能体编排沙箱（Sandbox）环境，支持用户通过节点连线方式自定义报告生成的业务逻辑（如：先搜索-&gt;后总结-&gt;再润色），并支持在沙箱中对每个节点进行独立的 Debug 调试。同时，系统须具备完善的模型思维链（Chain of Thought）审计日志，完整记录报告生成每一步的 Token 消耗、推理耗时及原始 Prompt 输入，支持一键导出审计日志。</w:t>
            </w:r>
          </w:p>
          <w:p w14:paraId="6FCC0D72">
            <w:pPr>
              <w:spacing w:line="440" w:lineRule="exact"/>
              <w:jc w:val="left"/>
              <w:rPr>
                <w:rFonts w:hint="eastAsia" w:ascii="宋体" w:hAnsi="宋体" w:eastAsia="宋体" w:cs="宋体"/>
                <w:szCs w:val="21"/>
                <w:highlight w:val="none"/>
              </w:rPr>
            </w:pPr>
            <w:r>
              <w:rPr>
                <w:rFonts w:hint="eastAsia" w:ascii="宋体" w:hAnsi="宋体" w:eastAsia="宋体" w:cs="宋体"/>
                <w:szCs w:val="21"/>
                <w:highlight w:val="none"/>
              </w:rPr>
              <w:t>(4) 私有化部署。应支持私有化部署，保障数据安全与自主可控。所有组件均可在本地服务器或私有云环境中独立部署，确保敏感信息不外泄。部署方案应基于标准容器化技术，兼容国产化服务器、操作系统及数据库，支持单机/集群部署模式切换，提供完善的数据备份、权限管理及操作审计功能，确保自主可控与全流程安全合规。</w:t>
            </w:r>
          </w:p>
          <w:p w14:paraId="36265A82">
            <w:pPr>
              <w:spacing w:line="440" w:lineRule="exact"/>
              <w:jc w:val="left"/>
              <w:rPr>
                <w:rFonts w:hint="default" w:ascii="宋体" w:hAnsi="宋体" w:eastAsia="宋体" w:cs="宋体"/>
                <w:szCs w:val="21"/>
                <w:highlight w:val="none"/>
                <w:lang w:val="en-US" w:eastAsia="zh-CN"/>
              </w:rPr>
            </w:pPr>
            <w:r>
              <w:rPr>
                <w:rFonts w:hint="eastAsia" w:ascii="宋体" w:hAnsi="宋体" w:eastAsia="宋体" w:cs="宋体"/>
                <w:szCs w:val="21"/>
                <w:highlight w:val="none"/>
                <w:lang w:val="en-US" w:eastAsia="zh-CN"/>
              </w:rPr>
              <w:t>▲D.配套相关数据集要求：所爬取并交付的数据集应包含2018年至今相关网站的全部数据。（提供承诺函，格式自拟）</w:t>
            </w:r>
          </w:p>
          <w:p w14:paraId="77C68467">
            <w:pPr>
              <w:spacing w:line="440" w:lineRule="exact"/>
              <w:jc w:val="left"/>
              <w:rPr>
                <w:rFonts w:hint="eastAsia" w:ascii="宋体" w:hAnsi="宋体" w:eastAsia="宋体" w:cs="宋体"/>
                <w:szCs w:val="21"/>
                <w:highlight w:val="none"/>
              </w:rPr>
            </w:pPr>
            <w:r>
              <w:rPr>
                <w:rFonts w:hint="eastAsia" w:ascii="宋体" w:hAnsi="宋体" w:eastAsia="宋体" w:cs="宋体"/>
                <w:szCs w:val="21"/>
                <w:highlight w:val="none"/>
              </w:rPr>
              <w:t>(三) 具体功能模块设计</w:t>
            </w:r>
          </w:p>
          <w:p w14:paraId="6BE1D1ED">
            <w:pPr>
              <w:spacing w:line="440" w:lineRule="exact"/>
              <w:jc w:val="left"/>
              <w:rPr>
                <w:rFonts w:hint="eastAsia" w:ascii="宋体" w:hAnsi="宋体" w:eastAsia="宋体" w:cs="宋体"/>
                <w:szCs w:val="21"/>
                <w:highlight w:val="none"/>
                <w:lang w:eastAsia="zh-CN"/>
              </w:rPr>
            </w:pPr>
            <w:r>
              <w:rPr>
                <w:rFonts w:hint="eastAsia" w:ascii="宋体" w:hAnsi="宋体" w:eastAsia="宋体" w:cs="宋体"/>
                <w:szCs w:val="21"/>
                <w:highlight w:val="none"/>
              </w:rPr>
              <w:t>1. 用户端功能</w:t>
            </w:r>
            <w:r>
              <w:rPr>
                <w:rFonts w:hint="eastAsia" w:ascii="宋体" w:hAnsi="宋体" w:eastAsia="宋体" w:cs="宋体"/>
                <w:szCs w:val="21"/>
                <w:highlight w:val="none"/>
                <w:lang w:eastAsia="zh-CN"/>
              </w:rPr>
              <w:t>（</w:t>
            </w:r>
            <w:r>
              <w:rPr>
                <w:rFonts w:hint="eastAsia" w:ascii="宋体" w:hAnsi="宋体" w:eastAsia="宋体" w:cs="宋体"/>
                <w:szCs w:val="21"/>
                <w:highlight w:val="none"/>
                <w:lang w:val="en-US" w:eastAsia="zh-CN"/>
              </w:rPr>
              <w:t>包括但不限于</w:t>
            </w:r>
            <w:r>
              <w:rPr>
                <w:rFonts w:hint="eastAsia" w:ascii="宋体" w:hAnsi="宋体" w:eastAsia="宋体" w:cs="宋体"/>
                <w:szCs w:val="21"/>
                <w:highlight w:val="none"/>
                <w:lang w:eastAsia="zh-CN"/>
              </w:rPr>
              <w:t>）</w:t>
            </w:r>
          </w:p>
          <w:tbl>
            <w:tblPr>
              <w:tblStyle w:val="11"/>
              <w:tblpPr w:leftFromText="180" w:rightFromText="180" w:vertAnchor="text" w:horzAnchor="page" w:tblpX="115" w:tblpY="452"/>
              <w:tblOverlap w:val="never"/>
              <w:tblW w:w="5617" w:type="dxa"/>
              <w:tblInd w:w="0" w:type="dxa"/>
              <w:tblLayout w:type="autofit"/>
              <w:tblCellMar>
                <w:top w:w="0" w:type="dxa"/>
                <w:left w:w="10" w:type="dxa"/>
                <w:bottom w:w="0" w:type="dxa"/>
                <w:right w:w="10" w:type="dxa"/>
              </w:tblCellMar>
            </w:tblPr>
            <w:tblGrid>
              <w:gridCol w:w="744"/>
              <w:gridCol w:w="1129"/>
              <w:gridCol w:w="1495"/>
              <w:gridCol w:w="2249"/>
            </w:tblGrid>
            <w:tr w14:paraId="4B4E48E9">
              <w:tblPrEx>
                <w:tblCellMar>
                  <w:top w:w="0" w:type="dxa"/>
                  <w:left w:w="10" w:type="dxa"/>
                  <w:bottom w:w="0" w:type="dxa"/>
                  <w:right w:w="10" w:type="dxa"/>
                </w:tblCellMar>
              </w:tblPrEx>
              <w:tc>
                <w:tcPr>
                  <w:tcW w:w="744" w:type="dxa"/>
                  <w:tcBorders>
                    <w:top w:val="single" w:color="000000" w:sz="4" w:space="0"/>
                    <w:left w:val="single" w:color="000000" w:sz="4" w:space="0"/>
                    <w:bottom w:val="single" w:color="000000" w:sz="4" w:space="0"/>
                    <w:right w:val="single" w:color="000000" w:sz="4" w:space="0"/>
                    <w:tl2br w:val="nil"/>
                  </w:tcBorders>
                  <w:noWrap w:val="0"/>
                  <w:tcMar>
                    <w:top w:w="60" w:type="dxa"/>
                    <w:left w:w="120" w:type="dxa"/>
                    <w:bottom w:w="30" w:type="dxa"/>
                    <w:right w:w="120" w:type="dxa"/>
                  </w:tcMar>
                  <w:vAlign w:val="center"/>
                </w:tcPr>
                <w:p w14:paraId="1C62C2C1">
                  <w:pPr>
                    <w:spacing w:line="440" w:lineRule="exact"/>
                    <w:jc w:val="center"/>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序号</w:t>
                  </w:r>
                </w:p>
              </w:tc>
              <w:tc>
                <w:tcPr>
                  <w:tcW w:w="1129" w:type="dxa"/>
                  <w:tcBorders>
                    <w:top w:val="single" w:color="000000" w:sz="4" w:space="0"/>
                    <w:left w:val="single" w:color="000000" w:sz="4" w:space="0"/>
                    <w:bottom w:val="single" w:color="000000" w:sz="4" w:space="0"/>
                    <w:right w:val="single" w:color="000000" w:sz="4" w:space="0"/>
                    <w:tl2br w:val="nil"/>
                  </w:tcBorders>
                  <w:noWrap w:val="0"/>
                  <w:tcMar>
                    <w:top w:w="60" w:type="dxa"/>
                    <w:left w:w="120" w:type="dxa"/>
                    <w:bottom w:w="30" w:type="dxa"/>
                    <w:right w:w="120" w:type="dxa"/>
                  </w:tcMar>
                  <w:vAlign w:val="center"/>
                </w:tcPr>
                <w:p w14:paraId="4EDD5383">
                  <w:pPr>
                    <w:spacing w:line="440" w:lineRule="exact"/>
                    <w:jc w:val="center"/>
                    <w:rPr>
                      <w:rFonts w:hint="eastAsia" w:ascii="宋体" w:hAnsi="宋体" w:eastAsia="宋体" w:cs="宋体"/>
                      <w:szCs w:val="21"/>
                      <w:highlight w:val="none"/>
                      <w:lang w:eastAsia="zh-CN"/>
                    </w:rPr>
                  </w:pPr>
                  <w:r>
                    <w:rPr>
                      <w:rFonts w:hint="eastAsia" w:ascii="宋体" w:hAnsi="宋体" w:eastAsia="宋体" w:cs="宋体"/>
                      <w:szCs w:val="21"/>
                      <w:highlight w:val="none"/>
                      <w:lang w:val="en-US" w:eastAsia="zh-CN"/>
                    </w:rPr>
                    <w:t>模块</w:t>
                  </w:r>
                </w:p>
              </w:tc>
              <w:tc>
                <w:tcPr>
                  <w:tcW w:w="1495" w:type="dxa"/>
                  <w:tcBorders>
                    <w:top w:val="single" w:color="000000" w:sz="4" w:space="0"/>
                    <w:left w:val="single" w:color="000000" w:sz="4" w:space="0"/>
                    <w:bottom w:val="single" w:color="000000" w:sz="4" w:space="0"/>
                    <w:right w:val="single" w:color="000000" w:sz="4" w:space="0"/>
                  </w:tcBorders>
                  <w:noWrap w:val="0"/>
                  <w:tcMar>
                    <w:top w:w="60" w:type="dxa"/>
                    <w:left w:w="120" w:type="dxa"/>
                    <w:bottom w:w="30" w:type="dxa"/>
                    <w:right w:w="120" w:type="dxa"/>
                  </w:tcMar>
                  <w:vAlign w:val="center"/>
                </w:tcPr>
                <w:p w14:paraId="1AD4E974">
                  <w:pPr>
                    <w:spacing w:line="440" w:lineRule="exact"/>
                    <w:jc w:val="center"/>
                    <w:rPr>
                      <w:rFonts w:hint="eastAsia" w:ascii="宋体" w:hAnsi="宋体" w:eastAsia="宋体" w:cs="宋体"/>
                      <w:szCs w:val="21"/>
                      <w:highlight w:val="none"/>
                    </w:rPr>
                  </w:pPr>
                  <w:r>
                    <w:rPr>
                      <w:rFonts w:hint="eastAsia" w:ascii="宋体" w:hAnsi="宋体" w:eastAsia="宋体" w:cs="宋体"/>
                      <w:szCs w:val="21"/>
                      <w:highlight w:val="none"/>
                    </w:rPr>
                    <w:t>功能</w:t>
                  </w:r>
                </w:p>
              </w:tc>
              <w:tc>
                <w:tcPr>
                  <w:tcW w:w="2249" w:type="dxa"/>
                  <w:tcBorders>
                    <w:top w:val="single" w:color="000000" w:sz="4" w:space="0"/>
                    <w:left w:val="single" w:color="000000" w:sz="4" w:space="0"/>
                    <w:bottom w:val="single" w:color="000000" w:sz="4" w:space="0"/>
                    <w:right w:val="single" w:color="000000" w:sz="4" w:space="0"/>
                  </w:tcBorders>
                  <w:noWrap w:val="0"/>
                  <w:tcMar>
                    <w:top w:w="60" w:type="dxa"/>
                    <w:left w:w="120" w:type="dxa"/>
                    <w:bottom w:w="30" w:type="dxa"/>
                    <w:right w:w="120" w:type="dxa"/>
                  </w:tcMar>
                  <w:vAlign w:val="center"/>
                </w:tcPr>
                <w:p w14:paraId="74D1DB6E">
                  <w:pPr>
                    <w:spacing w:line="440" w:lineRule="exact"/>
                    <w:jc w:val="center"/>
                    <w:rPr>
                      <w:rFonts w:hint="eastAsia" w:ascii="宋体" w:hAnsi="宋体" w:eastAsia="宋体" w:cs="宋体"/>
                      <w:szCs w:val="21"/>
                      <w:highlight w:val="none"/>
                    </w:rPr>
                  </w:pPr>
                  <w:r>
                    <w:rPr>
                      <w:rFonts w:hint="eastAsia" w:ascii="宋体" w:hAnsi="宋体" w:eastAsia="宋体" w:cs="宋体"/>
                      <w:szCs w:val="21"/>
                      <w:highlight w:val="none"/>
                      <w:lang w:val="en-US" w:eastAsia="zh-CN"/>
                    </w:rPr>
                    <w:t>具体要求</w:t>
                  </w:r>
                </w:p>
              </w:tc>
            </w:tr>
            <w:tr w14:paraId="2822CB5A">
              <w:tblPrEx>
                <w:tblCellMar>
                  <w:top w:w="0" w:type="dxa"/>
                  <w:left w:w="10" w:type="dxa"/>
                  <w:bottom w:w="0" w:type="dxa"/>
                  <w:right w:w="10" w:type="dxa"/>
                </w:tblCellMar>
              </w:tblPrEx>
              <w:tc>
                <w:tcPr>
                  <w:tcW w:w="744" w:type="dxa"/>
                  <w:vMerge w:val="restart"/>
                  <w:tcBorders>
                    <w:top w:val="single" w:color="000000" w:sz="4" w:space="0"/>
                    <w:left w:val="single" w:color="000000" w:sz="4" w:space="0"/>
                    <w:right w:val="single" w:color="000000" w:sz="4" w:space="0"/>
                  </w:tcBorders>
                  <w:noWrap w:val="0"/>
                  <w:tcMar>
                    <w:top w:w="60" w:type="dxa"/>
                    <w:left w:w="120" w:type="dxa"/>
                    <w:bottom w:w="30" w:type="dxa"/>
                    <w:right w:w="120" w:type="dxa"/>
                  </w:tcMar>
                  <w:vAlign w:val="center"/>
                </w:tcPr>
                <w:p w14:paraId="31B2E574">
                  <w:pPr>
                    <w:spacing w:line="440" w:lineRule="exact"/>
                    <w:jc w:val="center"/>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1</w:t>
                  </w:r>
                </w:p>
              </w:tc>
              <w:tc>
                <w:tcPr>
                  <w:tcW w:w="1129" w:type="dxa"/>
                  <w:vMerge w:val="restart"/>
                  <w:tcBorders>
                    <w:top w:val="single" w:color="000000" w:sz="4" w:space="0"/>
                    <w:left w:val="single" w:color="000000" w:sz="4" w:space="0"/>
                    <w:right w:val="single" w:color="000000" w:sz="4" w:space="0"/>
                  </w:tcBorders>
                  <w:noWrap w:val="0"/>
                  <w:tcMar>
                    <w:top w:w="60" w:type="dxa"/>
                    <w:left w:w="120" w:type="dxa"/>
                    <w:bottom w:w="30" w:type="dxa"/>
                    <w:right w:w="120" w:type="dxa"/>
                  </w:tcMar>
                  <w:vAlign w:val="center"/>
                </w:tcPr>
                <w:p w14:paraId="14FD81BC">
                  <w:pPr>
                    <w:spacing w:line="440" w:lineRule="exact"/>
                    <w:jc w:val="center"/>
                    <w:rPr>
                      <w:rFonts w:hint="eastAsia" w:ascii="宋体" w:hAnsi="宋体" w:eastAsia="宋体" w:cs="宋体"/>
                      <w:szCs w:val="21"/>
                      <w:highlight w:val="none"/>
                    </w:rPr>
                  </w:pPr>
                  <w:r>
                    <w:rPr>
                      <w:rFonts w:hint="eastAsia" w:ascii="宋体" w:hAnsi="宋体" w:eastAsia="宋体" w:cs="宋体"/>
                      <w:szCs w:val="21"/>
                      <w:highlight w:val="none"/>
                    </w:rPr>
                    <w:t>工作台首</w:t>
                  </w:r>
                </w:p>
              </w:tc>
              <w:tc>
                <w:tcPr>
                  <w:tcW w:w="1495" w:type="dxa"/>
                  <w:tcBorders>
                    <w:top w:val="single" w:color="000000" w:sz="4" w:space="0"/>
                    <w:left w:val="single" w:color="000000" w:sz="4" w:space="0"/>
                    <w:bottom w:val="single" w:color="000000" w:sz="4" w:space="0"/>
                    <w:right w:val="single" w:color="000000" w:sz="4" w:space="0"/>
                  </w:tcBorders>
                  <w:noWrap w:val="0"/>
                  <w:tcMar>
                    <w:top w:w="60" w:type="dxa"/>
                    <w:left w:w="120" w:type="dxa"/>
                    <w:bottom w:w="30" w:type="dxa"/>
                    <w:right w:w="120" w:type="dxa"/>
                  </w:tcMar>
                  <w:vAlign w:val="center"/>
                </w:tcPr>
                <w:p w14:paraId="044F042F">
                  <w:pPr>
                    <w:spacing w:line="440" w:lineRule="exact"/>
                    <w:jc w:val="center"/>
                    <w:rPr>
                      <w:rFonts w:hint="eastAsia" w:ascii="宋体" w:hAnsi="宋体" w:eastAsia="宋体" w:cs="宋体"/>
                      <w:szCs w:val="21"/>
                      <w:highlight w:val="none"/>
                    </w:rPr>
                  </w:pPr>
                  <w:r>
                    <w:rPr>
                      <w:rFonts w:hint="eastAsia" w:ascii="宋体" w:hAnsi="宋体" w:eastAsia="宋体" w:cs="宋体"/>
                      <w:szCs w:val="21"/>
                      <w:highlight w:val="none"/>
                    </w:rPr>
                    <w:t>数据概览看板</w:t>
                  </w:r>
                </w:p>
              </w:tc>
              <w:tc>
                <w:tcPr>
                  <w:tcW w:w="2249" w:type="dxa"/>
                  <w:tcBorders>
                    <w:top w:val="single" w:color="000000" w:sz="4" w:space="0"/>
                    <w:left w:val="single" w:color="000000" w:sz="4" w:space="0"/>
                    <w:bottom w:val="single" w:color="000000" w:sz="4" w:space="0"/>
                    <w:right w:val="single" w:color="000000" w:sz="4" w:space="0"/>
                  </w:tcBorders>
                  <w:noWrap w:val="0"/>
                  <w:tcMar>
                    <w:top w:w="60" w:type="dxa"/>
                    <w:left w:w="120" w:type="dxa"/>
                    <w:bottom w:w="30" w:type="dxa"/>
                    <w:right w:w="120" w:type="dxa"/>
                  </w:tcMar>
                  <w:vAlign w:val="center"/>
                </w:tcPr>
                <w:p w14:paraId="0068967E">
                  <w:pPr>
                    <w:spacing w:line="440" w:lineRule="exact"/>
                    <w:jc w:val="center"/>
                    <w:rPr>
                      <w:rFonts w:hint="eastAsia" w:ascii="宋体" w:hAnsi="宋体" w:eastAsia="宋体" w:cs="宋体"/>
                      <w:szCs w:val="21"/>
                      <w:highlight w:val="none"/>
                    </w:rPr>
                  </w:pPr>
                  <w:r>
                    <w:rPr>
                      <w:rFonts w:hint="eastAsia" w:ascii="宋体" w:hAnsi="宋体" w:eastAsia="宋体" w:cs="宋体"/>
                      <w:szCs w:val="21"/>
                      <w:highlight w:val="none"/>
                    </w:rPr>
                    <w:t>展示今日爬取量、报告生成数量统计</w:t>
                  </w:r>
                </w:p>
              </w:tc>
            </w:tr>
            <w:tr w14:paraId="439ABEE4">
              <w:tblPrEx>
                <w:tblCellMar>
                  <w:top w:w="0" w:type="dxa"/>
                  <w:left w:w="10" w:type="dxa"/>
                  <w:bottom w:w="0" w:type="dxa"/>
                  <w:right w:w="10" w:type="dxa"/>
                </w:tblCellMar>
              </w:tblPrEx>
              <w:tc>
                <w:tcPr>
                  <w:tcW w:w="744" w:type="dxa"/>
                  <w:vMerge w:val="continue"/>
                  <w:tcBorders>
                    <w:left w:val="single" w:color="000000" w:sz="4" w:space="0"/>
                    <w:right w:val="single" w:color="000000" w:sz="4" w:space="0"/>
                  </w:tcBorders>
                  <w:noWrap w:val="0"/>
                  <w:tcMar>
                    <w:top w:w="60" w:type="dxa"/>
                    <w:left w:w="120" w:type="dxa"/>
                    <w:bottom w:w="30" w:type="dxa"/>
                    <w:right w:w="120" w:type="dxa"/>
                  </w:tcMar>
                  <w:vAlign w:val="center"/>
                </w:tcPr>
                <w:p w14:paraId="1BB3C417">
                  <w:pPr>
                    <w:spacing w:line="440" w:lineRule="exact"/>
                    <w:jc w:val="center"/>
                    <w:rPr>
                      <w:rFonts w:hint="eastAsia" w:ascii="宋体" w:hAnsi="宋体" w:eastAsia="宋体" w:cs="宋体"/>
                      <w:szCs w:val="21"/>
                      <w:highlight w:val="none"/>
                    </w:rPr>
                  </w:pPr>
                </w:p>
              </w:tc>
              <w:tc>
                <w:tcPr>
                  <w:tcW w:w="1129" w:type="dxa"/>
                  <w:vMerge w:val="continue"/>
                  <w:tcBorders>
                    <w:left w:val="single" w:color="000000" w:sz="4" w:space="0"/>
                    <w:right w:val="single" w:color="000000" w:sz="4" w:space="0"/>
                  </w:tcBorders>
                  <w:noWrap w:val="0"/>
                  <w:tcMar>
                    <w:top w:w="60" w:type="dxa"/>
                    <w:left w:w="120" w:type="dxa"/>
                    <w:bottom w:w="30" w:type="dxa"/>
                    <w:right w:w="120" w:type="dxa"/>
                  </w:tcMar>
                  <w:vAlign w:val="center"/>
                </w:tcPr>
                <w:p w14:paraId="3AD59E62">
                  <w:pPr>
                    <w:spacing w:line="440" w:lineRule="exact"/>
                    <w:jc w:val="center"/>
                    <w:rPr>
                      <w:rFonts w:hint="eastAsia" w:ascii="宋体" w:hAnsi="宋体" w:eastAsia="宋体" w:cs="宋体"/>
                      <w:szCs w:val="21"/>
                      <w:highlight w:val="none"/>
                    </w:rPr>
                  </w:pPr>
                </w:p>
              </w:tc>
              <w:tc>
                <w:tcPr>
                  <w:tcW w:w="1495" w:type="dxa"/>
                  <w:tcBorders>
                    <w:top w:val="single" w:color="000000" w:sz="4" w:space="0"/>
                    <w:left w:val="single" w:color="000000" w:sz="4" w:space="0"/>
                    <w:bottom w:val="single" w:color="000000" w:sz="4" w:space="0"/>
                    <w:right w:val="single" w:color="000000" w:sz="4" w:space="0"/>
                  </w:tcBorders>
                  <w:noWrap w:val="0"/>
                  <w:tcMar>
                    <w:top w:w="60" w:type="dxa"/>
                    <w:left w:w="120" w:type="dxa"/>
                    <w:bottom w:w="30" w:type="dxa"/>
                    <w:right w:w="120" w:type="dxa"/>
                  </w:tcMar>
                  <w:vAlign w:val="center"/>
                </w:tcPr>
                <w:p w14:paraId="7FF3925D">
                  <w:pPr>
                    <w:spacing w:line="440" w:lineRule="exact"/>
                    <w:jc w:val="center"/>
                    <w:rPr>
                      <w:rFonts w:hint="eastAsia" w:ascii="宋体" w:hAnsi="宋体" w:eastAsia="宋体" w:cs="宋体"/>
                      <w:szCs w:val="21"/>
                      <w:highlight w:val="none"/>
                    </w:rPr>
                  </w:pPr>
                  <w:r>
                    <w:rPr>
                      <w:rFonts w:hint="eastAsia" w:ascii="宋体" w:hAnsi="宋体" w:eastAsia="宋体" w:cs="宋体"/>
                      <w:szCs w:val="21"/>
                      <w:highlight w:val="none"/>
                    </w:rPr>
                    <w:t>最新报告列表</w:t>
                  </w:r>
                </w:p>
              </w:tc>
              <w:tc>
                <w:tcPr>
                  <w:tcW w:w="2249" w:type="dxa"/>
                  <w:tcBorders>
                    <w:top w:val="single" w:color="000000" w:sz="4" w:space="0"/>
                    <w:left w:val="single" w:color="000000" w:sz="4" w:space="0"/>
                    <w:bottom w:val="single" w:color="000000" w:sz="4" w:space="0"/>
                    <w:right w:val="single" w:color="000000" w:sz="4" w:space="0"/>
                  </w:tcBorders>
                  <w:noWrap w:val="0"/>
                  <w:tcMar>
                    <w:top w:w="60" w:type="dxa"/>
                    <w:left w:w="120" w:type="dxa"/>
                    <w:bottom w:w="30" w:type="dxa"/>
                    <w:right w:w="120" w:type="dxa"/>
                  </w:tcMar>
                  <w:vAlign w:val="center"/>
                </w:tcPr>
                <w:p w14:paraId="2349E39F">
                  <w:pPr>
                    <w:spacing w:line="440" w:lineRule="exact"/>
                    <w:jc w:val="center"/>
                    <w:rPr>
                      <w:rFonts w:hint="eastAsia" w:ascii="宋体" w:hAnsi="宋体" w:eastAsia="宋体" w:cs="宋体"/>
                      <w:szCs w:val="21"/>
                      <w:highlight w:val="none"/>
                    </w:rPr>
                  </w:pPr>
                  <w:r>
                    <w:rPr>
                      <w:rFonts w:hint="eastAsia" w:ascii="宋体" w:hAnsi="宋体" w:eastAsia="宋体" w:cs="宋体"/>
                      <w:szCs w:val="21"/>
                      <w:highlight w:val="none"/>
                    </w:rPr>
                    <w:t>列表展示最新生成的 Top5 报告快捷入口</w:t>
                  </w:r>
                </w:p>
              </w:tc>
            </w:tr>
            <w:tr w14:paraId="5F579899">
              <w:tblPrEx>
                <w:tblCellMar>
                  <w:top w:w="0" w:type="dxa"/>
                  <w:left w:w="10" w:type="dxa"/>
                  <w:bottom w:w="0" w:type="dxa"/>
                  <w:right w:w="10" w:type="dxa"/>
                </w:tblCellMar>
              </w:tblPrEx>
              <w:tc>
                <w:tcPr>
                  <w:tcW w:w="744" w:type="dxa"/>
                  <w:vMerge w:val="continue"/>
                  <w:tcBorders>
                    <w:left w:val="single" w:color="000000" w:sz="4" w:space="0"/>
                    <w:bottom w:val="single" w:color="000000" w:sz="4" w:space="0"/>
                    <w:right w:val="single" w:color="000000" w:sz="4" w:space="0"/>
                  </w:tcBorders>
                  <w:noWrap w:val="0"/>
                  <w:tcMar>
                    <w:top w:w="60" w:type="dxa"/>
                    <w:left w:w="120" w:type="dxa"/>
                    <w:bottom w:w="30" w:type="dxa"/>
                    <w:right w:w="120" w:type="dxa"/>
                  </w:tcMar>
                  <w:vAlign w:val="center"/>
                </w:tcPr>
                <w:p w14:paraId="6325C8FE">
                  <w:pPr>
                    <w:spacing w:line="440" w:lineRule="exact"/>
                    <w:jc w:val="center"/>
                    <w:rPr>
                      <w:rFonts w:hint="eastAsia" w:ascii="宋体" w:hAnsi="宋体" w:eastAsia="宋体" w:cs="宋体"/>
                      <w:szCs w:val="21"/>
                      <w:highlight w:val="none"/>
                    </w:rPr>
                  </w:pPr>
                </w:p>
              </w:tc>
              <w:tc>
                <w:tcPr>
                  <w:tcW w:w="1129" w:type="dxa"/>
                  <w:vMerge w:val="continue"/>
                  <w:tcBorders>
                    <w:left w:val="single" w:color="000000" w:sz="4" w:space="0"/>
                    <w:bottom w:val="single" w:color="000000" w:sz="4" w:space="0"/>
                    <w:right w:val="single" w:color="000000" w:sz="4" w:space="0"/>
                  </w:tcBorders>
                  <w:noWrap w:val="0"/>
                  <w:tcMar>
                    <w:top w:w="60" w:type="dxa"/>
                    <w:left w:w="120" w:type="dxa"/>
                    <w:bottom w:w="30" w:type="dxa"/>
                    <w:right w:w="120" w:type="dxa"/>
                  </w:tcMar>
                  <w:vAlign w:val="center"/>
                </w:tcPr>
                <w:p w14:paraId="19580E5A">
                  <w:pPr>
                    <w:spacing w:line="440" w:lineRule="exact"/>
                    <w:jc w:val="center"/>
                    <w:rPr>
                      <w:rFonts w:hint="eastAsia" w:ascii="宋体" w:hAnsi="宋体" w:eastAsia="宋体" w:cs="宋体"/>
                      <w:szCs w:val="21"/>
                      <w:highlight w:val="none"/>
                    </w:rPr>
                  </w:pPr>
                </w:p>
              </w:tc>
              <w:tc>
                <w:tcPr>
                  <w:tcW w:w="1495" w:type="dxa"/>
                  <w:tcBorders>
                    <w:top w:val="single" w:color="000000" w:sz="4" w:space="0"/>
                    <w:left w:val="single" w:color="000000" w:sz="4" w:space="0"/>
                    <w:bottom w:val="single" w:color="000000" w:sz="4" w:space="0"/>
                    <w:right w:val="single" w:color="000000" w:sz="4" w:space="0"/>
                  </w:tcBorders>
                  <w:noWrap w:val="0"/>
                  <w:tcMar>
                    <w:top w:w="60" w:type="dxa"/>
                    <w:left w:w="120" w:type="dxa"/>
                    <w:bottom w:w="30" w:type="dxa"/>
                    <w:right w:w="120" w:type="dxa"/>
                  </w:tcMar>
                  <w:vAlign w:val="center"/>
                </w:tcPr>
                <w:p w14:paraId="4ADC2013">
                  <w:pPr>
                    <w:spacing w:line="440" w:lineRule="exact"/>
                    <w:jc w:val="center"/>
                    <w:rPr>
                      <w:rFonts w:hint="eastAsia" w:ascii="宋体" w:hAnsi="宋体" w:eastAsia="宋体" w:cs="宋体"/>
                      <w:szCs w:val="21"/>
                      <w:highlight w:val="none"/>
                    </w:rPr>
                  </w:pPr>
                  <w:r>
                    <w:rPr>
                      <w:rFonts w:hint="eastAsia" w:ascii="宋体" w:hAnsi="宋体" w:eastAsia="宋体" w:cs="宋体"/>
                      <w:szCs w:val="21"/>
                      <w:highlight w:val="none"/>
                    </w:rPr>
                    <w:t>系统状态监控</w:t>
                  </w:r>
                </w:p>
              </w:tc>
              <w:tc>
                <w:tcPr>
                  <w:tcW w:w="2249" w:type="dxa"/>
                  <w:tcBorders>
                    <w:top w:val="single" w:color="000000" w:sz="4" w:space="0"/>
                    <w:left w:val="single" w:color="000000" w:sz="4" w:space="0"/>
                    <w:bottom w:val="single" w:color="000000" w:sz="4" w:space="0"/>
                    <w:right w:val="single" w:color="000000" w:sz="4" w:space="0"/>
                  </w:tcBorders>
                  <w:noWrap w:val="0"/>
                  <w:tcMar>
                    <w:top w:w="60" w:type="dxa"/>
                    <w:left w:w="120" w:type="dxa"/>
                    <w:bottom w:w="30" w:type="dxa"/>
                    <w:right w:w="120" w:type="dxa"/>
                  </w:tcMar>
                  <w:vAlign w:val="center"/>
                </w:tcPr>
                <w:p w14:paraId="50CE79FB">
                  <w:pPr>
                    <w:spacing w:line="440" w:lineRule="exact"/>
                    <w:jc w:val="center"/>
                    <w:rPr>
                      <w:rFonts w:hint="eastAsia" w:ascii="宋体" w:hAnsi="宋体" w:eastAsia="宋体" w:cs="宋体"/>
                      <w:szCs w:val="21"/>
                      <w:highlight w:val="none"/>
                    </w:rPr>
                  </w:pPr>
                  <w:r>
                    <w:rPr>
                      <w:rFonts w:hint="eastAsia" w:ascii="宋体" w:hAnsi="宋体" w:eastAsia="宋体" w:cs="宋体"/>
                      <w:szCs w:val="21"/>
                      <w:highlight w:val="none"/>
                    </w:rPr>
                    <w:t>展示爬虫服务与 AI 服务运行状态指示灯</w:t>
                  </w:r>
                </w:p>
              </w:tc>
            </w:tr>
            <w:tr w14:paraId="7B26A111">
              <w:tblPrEx>
                <w:tblCellMar>
                  <w:top w:w="0" w:type="dxa"/>
                  <w:left w:w="10" w:type="dxa"/>
                  <w:bottom w:w="0" w:type="dxa"/>
                  <w:right w:w="10" w:type="dxa"/>
                </w:tblCellMar>
              </w:tblPrEx>
              <w:tc>
                <w:tcPr>
                  <w:tcW w:w="744" w:type="dxa"/>
                  <w:tcBorders>
                    <w:top w:val="single" w:color="000000" w:sz="4" w:space="0"/>
                    <w:left w:val="single" w:color="000000" w:sz="4" w:space="0"/>
                    <w:bottom w:val="single" w:color="000000" w:sz="4" w:space="0"/>
                    <w:right w:val="single" w:color="000000" w:sz="4" w:space="0"/>
                  </w:tcBorders>
                  <w:noWrap w:val="0"/>
                  <w:tcMar>
                    <w:top w:w="60" w:type="dxa"/>
                    <w:left w:w="120" w:type="dxa"/>
                    <w:bottom w:w="30" w:type="dxa"/>
                    <w:right w:w="120" w:type="dxa"/>
                  </w:tcMar>
                  <w:vAlign w:val="center"/>
                </w:tcPr>
                <w:p w14:paraId="02BE138A">
                  <w:pPr>
                    <w:spacing w:line="440" w:lineRule="exact"/>
                    <w:jc w:val="center"/>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2</w:t>
                  </w:r>
                </w:p>
              </w:tc>
              <w:tc>
                <w:tcPr>
                  <w:tcW w:w="1129" w:type="dxa"/>
                  <w:tcBorders>
                    <w:top w:val="single" w:color="000000" w:sz="4" w:space="0"/>
                    <w:left w:val="single" w:color="000000" w:sz="4" w:space="0"/>
                    <w:bottom w:val="single" w:color="000000" w:sz="4" w:space="0"/>
                    <w:right w:val="single" w:color="000000" w:sz="4" w:space="0"/>
                  </w:tcBorders>
                  <w:noWrap w:val="0"/>
                  <w:tcMar>
                    <w:top w:w="60" w:type="dxa"/>
                    <w:left w:w="120" w:type="dxa"/>
                    <w:bottom w:w="30" w:type="dxa"/>
                    <w:right w:w="120" w:type="dxa"/>
                  </w:tcMar>
                  <w:vAlign w:val="center"/>
                </w:tcPr>
                <w:p w14:paraId="1DF945BF">
                  <w:pPr>
                    <w:spacing w:line="440" w:lineRule="exact"/>
                    <w:jc w:val="center"/>
                    <w:rPr>
                      <w:rFonts w:hint="eastAsia" w:ascii="宋体" w:hAnsi="宋体" w:eastAsia="宋体" w:cs="宋体"/>
                      <w:szCs w:val="21"/>
                      <w:highlight w:val="none"/>
                    </w:rPr>
                  </w:pPr>
                  <w:r>
                    <w:rPr>
                      <w:rFonts w:hint="eastAsia" w:ascii="宋体" w:hAnsi="宋体" w:eastAsia="宋体" w:cs="宋体"/>
                      <w:szCs w:val="21"/>
                      <w:highlight w:val="none"/>
                    </w:rPr>
                    <w:t>信源</w:t>
                  </w:r>
                </w:p>
              </w:tc>
              <w:tc>
                <w:tcPr>
                  <w:tcW w:w="1495" w:type="dxa"/>
                  <w:tcBorders>
                    <w:top w:val="single" w:color="000000" w:sz="4" w:space="0"/>
                    <w:left w:val="single" w:color="000000" w:sz="4" w:space="0"/>
                    <w:bottom w:val="single" w:color="000000" w:sz="4" w:space="0"/>
                    <w:right w:val="single" w:color="000000" w:sz="4" w:space="0"/>
                  </w:tcBorders>
                  <w:noWrap w:val="0"/>
                  <w:tcMar>
                    <w:top w:w="60" w:type="dxa"/>
                    <w:left w:w="120" w:type="dxa"/>
                    <w:bottom w:w="30" w:type="dxa"/>
                    <w:right w:w="120" w:type="dxa"/>
                  </w:tcMar>
                  <w:vAlign w:val="center"/>
                </w:tcPr>
                <w:p w14:paraId="65A6A9DE">
                  <w:pPr>
                    <w:spacing w:line="440" w:lineRule="exact"/>
                    <w:jc w:val="center"/>
                    <w:rPr>
                      <w:rFonts w:hint="eastAsia" w:ascii="宋体" w:hAnsi="宋体" w:eastAsia="宋体" w:cs="宋体"/>
                      <w:szCs w:val="21"/>
                      <w:highlight w:val="none"/>
                    </w:rPr>
                  </w:pPr>
                  <w:r>
                    <w:rPr>
                      <w:rFonts w:hint="eastAsia" w:ascii="宋体" w:hAnsi="宋体" w:eastAsia="宋体" w:cs="宋体"/>
                      <w:szCs w:val="21"/>
                      <w:highlight w:val="none"/>
                    </w:rPr>
                    <w:t>信源列表展示</w:t>
                  </w:r>
                </w:p>
              </w:tc>
              <w:tc>
                <w:tcPr>
                  <w:tcW w:w="2249" w:type="dxa"/>
                  <w:tcBorders>
                    <w:top w:val="single" w:color="000000" w:sz="4" w:space="0"/>
                    <w:left w:val="single" w:color="000000" w:sz="4" w:space="0"/>
                    <w:bottom w:val="single" w:color="000000" w:sz="4" w:space="0"/>
                    <w:right w:val="single" w:color="000000" w:sz="4" w:space="0"/>
                  </w:tcBorders>
                  <w:noWrap w:val="0"/>
                  <w:tcMar>
                    <w:top w:w="60" w:type="dxa"/>
                    <w:left w:w="120" w:type="dxa"/>
                    <w:bottom w:w="30" w:type="dxa"/>
                    <w:right w:w="120" w:type="dxa"/>
                  </w:tcMar>
                  <w:vAlign w:val="center"/>
                </w:tcPr>
                <w:p w14:paraId="313F1EC6">
                  <w:pPr>
                    <w:spacing w:line="440" w:lineRule="exact"/>
                    <w:jc w:val="center"/>
                    <w:rPr>
                      <w:rFonts w:hint="eastAsia" w:ascii="宋体" w:hAnsi="宋体" w:eastAsia="宋体" w:cs="宋体"/>
                      <w:szCs w:val="21"/>
                      <w:highlight w:val="none"/>
                    </w:rPr>
                  </w:pPr>
                  <w:r>
                    <w:rPr>
                      <w:rFonts w:hint="eastAsia" w:ascii="宋体" w:hAnsi="宋体" w:eastAsia="宋体" w:cs="宋体"/>
                      <w:szCs w:val="21"/>
                      <w:highlight w:val="none"/>
                    </w:rPr>
                    <w:t>分页展示已配置的网站(URL、名称、地区)</w:t>
                  </w:r>
                </w:p>
              </w:tc>
            </w:tr>
            <w:tr w14:paraId="2FD00362">
              <w:tblPrEx>
                <w:tblCellMar>
                  <w:top w:w="0" w:type="dxa"/>
                  <w:left w:w="10" w:type="dxa"/>
                  <w:bottom w:w="0" w:type="dxa"/>
                  <w:right w:w="10" w:type="dxa"/>
                </w:tblCellMar>
              </w:tblPrEx>
              <w:tc>
                <w:tcPr>
                  <w:tcW w:w="744" w:type="dxa"/>
                  <w:vMerge w:val="restart"/>
                  <w:tcBorders>
                    <w:top w:val="single" w:color="000000" w:sz="4" w:space="0"/>
                    <w:left w:val="single" w:color="000000" w:sz="4" w:space="0"/>
                    <w:right w:val="single" w:color="000000" w:sz="4" w:space="0"/>
                  </w:tcBorders>
                  <w:noWrap w:val="0"/>
                  <w:tcMar>
                    <w:top w:w="60" w:type="dxa"/>
                    <w:left w:w="120" w:type="dxa"/>
                    <w:bottom w:w="30" w:type="dxa"/>
                    <w:right w:w="120" w:type="dxa"/>
                  </w:tcMar>
                  <w:vAlign w:val="center"/>
                </w:tcPr>
                <w:p w14:paraId="13DC7DEE">
                  <w:pPr>
                    <w:spacing w:line="440" w:lineRule="exact"/>
                    <w:jc w:val="center"/>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3</w:t>
                  </w:r>
                </w:p>
              </w:tc>
              <w:tc>
                <w:tcPr>
                  <w:tcW w:w="1129" w:type="dxa"/>
                  <w:vMerge w:val="restart"/>
                  <w:tcBorders>
                    <w:top w:val="single" w:color="000000" w:sz="4" w:space="0"/>
                    <w:left w:val="single" w:color="000000" w:sz="4" w:space="0"/>
                    <w:right w:val="single" w:color="000000" w:sz="4" w:space="0"/>
                  </w:tcBorders>
                  <w:noWrap w:val="0"/>
                  <w:tcMar>
                    <w:top w:w="60" w:type="dxa"/>
                    <w:left w:w="120" w:type="dxa"/>
                    <w:bottom w:w="30" w:type="dxa"/>
                    <w:right w:w="120" w:type="dxa"/>
                  </w:tcMar>
                  <w:vAlign w:val="center"/>
                </w:tcPr>
                <w:p w14:paraId="6EAC9360">
                  <w:pPr>
                    <w:spacing w:line="440" w:lineRule="exact"/>
                    <w:jc w:val="center"/>
                    <w:rPr>
                      <w:rFonts w:hint="eastAsia" w:ascii="宋体" w:hAnsi="宋体" w:eastAsia="宋体" w:cs="宋体"/>
                      <w:szCs w:val="21"/>
                      <w:highlight w:val="none"/>
                    </w:rPr>
                  </w:pPr>
                  <w:r>
                    <w:rPr>
                      <w:rFonts w:hint="eastAsia" w:ascii="宋体" w:hAnsi="宋体" w:eastAsia="宋体" w:cs="宋体"/>
                      <w:szCs w:val="21"/>
                      <w:highlight w:val="none"/>
                    </w:rPr>
                    <w:t>管理</w:t>
                  </w:r>
                </w:p>
              </w:tc>
              <w:tc>
                <w:tcPr>
                  <w:tcW w:w="1495" w:type="dxa"/>
                  <w:tcBorders>
                    <w:top w:val="single" w:color="000000" w:sz="4" w:space="0"/>
                    <w:left w:val="single" w:color="000000" w:sz="4" w:space="0"/>
                    <w:bottom w:val="single" w:color="000000" w:sz="4" w:space="0"/>
                    <w:right w:val="single" w:color="000000" w:sz="4" w:space="0"/>
                  </w:tcBorders>
                  <w:noWrap w:val="0"/>
                  <w:tcMar>
                    <w:top w:w="60" w:type="dxa"/>
                    <w:left w:w="120" w:type="dxa"/>
                    <w:bottom w:w="30" w:type="dxa"/>
                    <w:right w:w="120" w:type="dxa"/>
                  </w:tcMar>
                  <w:vAlign w:val="center"/>
                </w:tcPr>
                <w:p w14:paraId="1E38FDB0">
                  <w:pPr>
                    <w:spacing w:line="440" w:lineRule="exact"/>
                    <w:jc w:val="center"/>
                    <w:rPr>
                      <w:rFonts w:hint="eastAsia" w:ascii="宋体" w:hAnsi="宋体" w:eastAsia="宋体" w:cs="宋体"/>
                      <w:szCs w:val="21"/>
                      <w:highlight w:val="none"/>
                    </w:rPr>
                  </w:pPr>
                  <w:r>
                    <w:rPr>
                      <w:rFonts w:hint="eastAsia" w:ascii="宋体" w:hAnsi="宋体" w:eastAsia="宋体" w:cs="宋体"/>
                      <w:szCs w:val="21"/>
                      <w:highlight w:val="none"/>
                    </w:rPr>
                    <w:t>新增信源表单</w:t>
                  </w:r>
                </w:p>
              </w:tc>
              <w:tc>
                <w:tcPr>
                  <w:tcW w:w="2249" w:type="dxa"/>
                  <w:tcBorders>
                    <w:top w:val="single" w:color="000000" w:sz="4" w:space="0"/>
                    <w:left w:val="single" w:color="000000" w:sz="4" w:space="0"/>
                    <w:bottom w:val="single" w:color="000000" w:sz="4" w:space="0"/>
                    <w:right w:val="single" w:color="000000" w:sz="4" w:space="0"/>
                  </w:tcBorders>
                  <w:noWrap w:val="0"/>
                  <w:tcMar>
                    <w:top w:w="60" w:type="dxa"/>
                    <w:left w:w="120" w:type="dxa"/>
                    <w:bottom w:w="30" w:type="dxa"/>
                    <w:right w:w="120" w:type="dxa"/>
                  </w:tcMar>
                  <w:vAlign w:val="center"/>
                </w:tcPr>
                <w:p w14:paraId="2E5C9556">
                  <w:pPr>
                    <w:spacing w:line="440" w:lineRule="exact"/>
                    <w:jc w:val="center"/>
                    <w:rPr>
                      <w:rFonts w:hint="eastAsia" w:ascii="宋体" w:hAnsi="宋体" w:eastAsia="宋体" w:cs="宋体"/>
                      <w:szCs w:val="21"/>
                      <w:highlight w:val="none"/>
                    </w:rPr>
                  </w:pPr>
                  <w:r>
                    <w:rPr>
                      <w:rFonts w:hint="eastAsia" w:ascii="宋体" w:hAnsi="宋体" w:eastAsia="宋体" w:cs="宋体"/>
                      <w:szCs w:val="21"/>
                      <w:highlight w:val="none"/>
                    </w:rPr>
                    <w:t>填写网站名称、URL、所属地区(如欧盟/美国)</w:t>
                  </w:r>
                </w:p>
              </w:tc>
            </w:tr>
            <w:tr w14:paraId="3F721F4B">
              <w:tblPrEx>
                <w:tblCellMar>
                  <w:top w:w="0" w:type="dxa"/>
                  <w:left w:w="10" w:type="dxa"/>
                  <w:bottom w:w="0" w:type="dxa"/>
                  <w:right w:w="10" w:type="dxa"/>
                </w:tblCellMar>
              </w:tblPrEx>
              <w:tc>
                <w:tcPr>
                  <w:tcW w:w="744" w:type="dxa"/>
                  <w:vMerge w:val="continue"/>
                  <w:tcBorders>
                    <w:left w:val="single" w:color="000000" w:sz="4" w:space="0"/>
                    <w:right w:val="single" w:color="000000" w:sz="4" w:space="0"/>
                  </w:tcBorders>
                  <w:noWrap w:val="0"/>
                  <w:tcMar>
                    <w:top w:w="60" w:type="dxa"/>
                    <w:left w:w="120" w:type="dxa"/>
                    <w:bottom w:w="30" w:type="dxa"/>
                    <w:right w:w="120" w:type="dxa"/>
                  </w:tcMar>
                  <w:vAlign w:val="center"/>
                </w:tcPr>
                <w:p w14:paraId="66C5C23E">
                  <w:pPr>
                    <w:spacing w:line="440" w:lineRule="exact"/>
                    <w:jc w:val="center"/>
                    <w:rPr>
                      <w:rFonts w:hint="eastAsia" w:ascii="宋体" w:hAnsi="宋体" w:eastAsia="宋体" w:cs="宋体"/>
                      <w:szCs w:val="21"/>
                      <w:highlight w:val="none"/>
                    </w:rPr>
                  </w:pPr>
                </w:p>
              </w:tc>
              <w:tc>
                <w:tcPr>
                  <w:tcW w:w="1129" w:type="dxa"/>
                  <w:vMerge w:val="continue"/>
                  <w:tcBorders>
                    <w:left w:val="single" w:color="000000" w:sz="4" w:space="0"/>
                    <w:right w:val="single" w:color="000000" w:sz="4" w:space="0"/>
                  </w:tcBorders>
                  <w:noWrap w:val="0"/>
                  <w:tcMar>
                    <w:top w:w="60" w:type="dxa"/>
                    <w:left w:w="120" w:type="dxa"/>
                    <w:bottom w:w="30" w:type="dxa"/>
                    <w:right w:w="120" w:type="dxa"/>
                  </w:tcMar>
                  <w:vAlign w:val="center"/>
                </w:tcPr>
                <w:p w14:paraId="2F197ADB">
                  <w:pPr>
                    <w:spacing w:line="440" w:lineRule="exact"/>
                    <w:jc w:val="center"/>
                    <w:rPr>
                      <w:rFonts w:hint="eastAsia" w:ascii="宋体" w:hAnsi="宋体" w:eastAsia="宋体" w:cs="宋体"/>
                      <w:szCs w:val="21"/>
                      <w:highlight w:val="none"/>
                    </w:rPr>
                  </w:pPr>
                </w:p>
              </w:tc>
              <w:tc>
                <w:tcPr>
                  <w:tcW w:w="1495" w:type="dxa"/>
                  <w:tcBorders>
                    <w:top w:val="single" w:color="000000" w:sz="4" w:space="0"/>
                    <w:left w:val="single" w:color="000000" w:sz="4" w:space="0"/>
                    <w:bottom w:val="single" w:color="000000" w:sz="4" w:space="0"/>
                    <w:right w:val="single" w:color="000000" w:sz="4" w:space="0"/>
                  </w:tcBorders>
                  <w:noWrap w:val="0"/>
                  <w:tcMar>
                    <w:top w:w="60" w:type="dxa"/>
                    <w:left w:w="120" w:type="dxa"/>
                    <w:bottom w:w="30" w:type="dxa"/>
                    <w:right w:w="120" w:type="dxa"/>
                  </w:tcMar>
                  <w:vAlign w:val="center"/>
                </w:tcPr>
                <w:p w14:paraId="317F540B">
                  <w:pPr>
                    <w:spacing w:line="440" w:lineRule="exact"/>
                    <w:jc w:val="center"/>
                    <w:rPr>
                      <w:rFonts w:hint="eastAsia" w:ascii="宋体" w:hAnsi="宋体" w:eastAsia="宋体" w:cs="宋体"/>
                      <w:szCs w:val="21"/>
                      <w:highlight w:val="none"/>
                    </w:rPr>
                  </w:pPr>
                  <w:r>
                    <w:rPr>
                      <w:rFonts w:hint="eastAsia" w:ascii="宋体" w:hAnsi="宋体" w:eastAsia="宋体" w:cs="宋体"/>
                      <w:szCs w:val="21"/>
                      <w:highlight w:val="none"/>
                    </w:rPr>
                    <w:t>爬取频率配置</w:t>
                  </w:r>
                </w:p>
              </w:tc>
              <w:tc>
                <w:tcPr>
                  <w:tcW w:w="2249" w:type="dxa"/>
                  <w:tcBorders>
                    <w:top w:val="single" w:color="000000" w:sz="4" w:space="0"/>
                    <w:left w:val="single" w:color="000000" w:sz="4" w:space="0"/>
                    <w:bottom w:val="single" w:color="000000" w:sz="4" w:space="0"/>
                    <w:right w:val="single" w:color="000000" w:sz="4" w:space="0"/>
                  </w:tcBorders>
                  <w:noWrap w:val="0"/>
                  <w:tcMar>
                    <w:top w:w="60" w:type="dxa"/>
                    <w:left w:w="120" w:type="dxa"/>
                    <w:bottom w:w="30" w:type="dxa"/>
                    <w:right w:w="120" w:type="dxa"/>
                  </w:tcMar>
                  <w:vAlign w:val="center"/>
                </w:tcPr>
                <w:p w14:paraId="1D23163D">
                  <w:pPr>
                    <w:spacing w:line="440" w:lineRule="exact"/>
                    <w:jc w:val="center"/>
                    <w:rPr>
                      <w:rFonts w:hint="eastAsia" w:ascii="宋体" w:hAnsi="宋体" w:eastAsia="宋体" w:cs="宋体"/>
                      <w:szCs w:val="21"/>
                      <w:highlight w:val="none"/>
                    </w:rPr>
                  </w:pPr>
                  <w:r>
                    <w:rPr>
                      <w:rFonts w:hint="eastAsia" w:ascii="宋体" w:hAnsi="宋体" w:eastAsia="宋体" w:cs="宋体"/>
                      <w:szCs w:val="21"/>
                      <w:highlight w:val="none"/>
                    </w:rPr>
                    <w:t>设置定时任务时间(如：当地时间凌晨)</w:t>
                  </w:r>
                </w:p>
              </w:tc>
            </w:tr>
            <w:tr w14:paraId="49830D27">
              <w:tblPrEx>
                <w:tblCellMar>
                  <w:top w:w="0" w:type="dxa"/>
                  <w:left w:w="10" w:type="dxa"/>
                  <w:bottom w:w="0" w:type="dxa"/>
                  <w:right w:w="10" w:type="dxa"/>
                </w:tblCellMar>
              </w:tblPrEx>
              <w:tc>
                <w:tcPr>
                  <w:tcW w:w="744" w:type="dxa"/>
                  <w:vMerge w:val="continue"/>
                  <w:tcBorders>
                    <w:left w:val="single" w:color="000000" w:sz="4" w:space="0"/>
                    <w:right w:val="single" w:color="000000" w:sz="4" w:space="0"/>
                  </w:tcBorders>
                  <w:noWrap w:val="0"/>
                  <w:tcMar>
                    <w:top w:w="60" w:type="dxa"/>
                    <w:left w:w="120" w:type="dxa"/>
                    <w:bottom w:w="30" w:type="dxa"/>
                    <w:right w:w="120" w:type="dxa"/>
                  </w:tcMar>
                  <w:vAlign w:val="center"/>
                </w:tcPr>
                <w:p w14:paraId="515ACC4D">
                  <w:pPr>
                    <w:spacing w:line="440" w:lineRule="exact"/>
                    <w:jc w:val="center"/>
                    <w:rPr>
                      <w:rFonts w:hint="eastAsia" w:ascii="宋体" w:hAnsi="宋体" w:eastAsia="宋体" w:cs="宋体"/>
                      <w:szCs w:val="21"/>
                      <w:highlight w:val="none"/>
                    </w:rPr>
                  </w:pPr>
                </w:p>
              </w:tc>
              <w:tc>
                <w:tcPr>
                  <w:tcW w:w="1129" w:type="dxa"/>
                  <w:vMerge w:val="continue"/>
                  <w:tcBorders>
                    <w:left w:val="single" w:color="000000" w:sz="4" w:space="0"/>
                    <w:right w:val="single" w:color="000000" w:sz="4" w:space="0"/>
                  </w:tcBorders>
                  <w:noWrap w:val="0"/>
                  <w:tcMar>
                    <w:top w:w="60" w:type="dxa"/>
                    <w:left w:w="120" w:type="dxa"/>
                    <w:bottom w:w="30" w:type="dxa"/>
                    <w:right w:w="120" w:type="dxa"/>
                  </w:tcMar>
                  <w:vAlign w:val="center"/>
                </w:tcPr>
                <w:p w14:paraId="212C6210">
                  <w:pPr>
                    <w:spacing w:line="440" w:lineRule="exact"/>
                    <w:jc w:val="center"/>
                    <w:rPr>
                      <w:rFonts w:hint="eastAsia" w:ascii="宋体" w:hAnsi="宋体" w:eastAsia="宋体" w:cs="宋体"/>
                      <w:szCs w:val="21"/>
                      <w:highlight w:val="none"/>
                    </w:rPr>
                  </w:pPr>
                </w:p>
              </w:tc>
              <w:tc>
                <w:tcPr>
                  <w:tcW w:w="1495" w:type="dxa"/>
                  <w:tcBorders>
                    <w:top w:val="single" w:color="000000" w:sz="4" w:space="0"/>
                    <w:left w:val="single" w:color="000000" w:sz="4" w:space="0"/>
                    <w:bottom w:val="single" w:color="000000" w:sz="4" w:space="0"/>
                    <w:right w:val="single" w:color="000000" w:sz="4" w:space="0"/>
                  </w:tcBorders>
                  <w:noWrap w:val="0"/>
                  <w:tcMar>
                    <w:top w:w="60" w:type="dxa"/>
                    <w:left w:w="120" w:type="dxa"/>
                    <w:bottom w:w="30" w:type="dxa"/>
                    <w:right w:w="120" w:type="dxa"/>
                  </w:tcMar>
                  <w:vAlign w:val="center"/>
                </w:tcPr>
                <w:p w14:paraId="4B1EFC98">
                  <w:pPr>
                    <w:spacing w:line="440" w:lineRule="exact"/>
                    <w:jc w:val="center"/>
                    <w:rPr>
                      <w:rFonts w:hint="eastAsia" w:ascii="宋体" w:hAnsi="宋体" w:eastAsia="宋体" w:cs="宋体"/>
                      <w:szCs w:val="21"/>
                      <w:highlight w:val="none"/>
                    </w:rPr>
                  </w:pPr>
                  <w:r>
                    <w:rPr>
                      <w:rFonts w:hint="eastAsia" w:ascii="宋体" w:hAnsi="宋体" w:eastAsia="宋体" w:cs="宋体"/>
                      <w:szCs w:val="21"/>
                      <w:highlight w:val="none"/>
                    </w:rPr>
                    <w:t>爬取规则配置</w:t>
                  </w:r>
                </w:p>
              </w:tc>
              <w:tc>
                <w:tcPr>
                  <w:tcW w:w="2249" w:type="dxa"/>
                  <w:tcBorders>
                    <w:top w:val="single" w:color="000000" w:sz="4" w:space="0"/>
                    <w:left w:val="single" w:color="000000" w:sz="4" w:space="0"/>
                    <w:bottom w:val="single" w:color="000000" w:sz="4" w:space="0"/>
                    <w:right w:val="single" w:color="000000" w:sz="4" w:space="0"/>
                  </w:tcBorders>
                  <w:noWrap w:val="0"/>
                  <w:tcMar>
                    <w:top w:w="60" w:type="dxa"/>
                    <w:left w:w="120" w:type="dxa"/>
                    <w:bottom w:w="30" w:type="dxa"/>
                    <w:right w:w="120" w:type="dxa"/>
                  </w:tcMar>
                  <w:vAlign w:val="center"/>
                </w:tcPr>
                <w:p w14:paraId="19A76AF9">
                  <w:pPr>
                    <w:spacing w:line="440" w:lineRule="exact"/>
                    <w:jc w:val="center"/>
                    <w:rPr>
                      <w:rFonts w:hint="eastAsia" w:ascii="宋体" w:hAnsi="宋体" w:eastAsia="宋体" w:cs="宋体"/>
                      <w:szCs w:val="21"/>
                      <w:highlight w:val="none"/>
                    </w:rPr>
                  </w:pPr>
                  <w:r>
                    <w:rPr>
                      <w:rFonts w:hint="eastAsia" w:ascii="宋体" w:hAnsi="宋体" w:eastAsia="宋体" w:cs="宋体"/>
                      <w:szCs w:val="21"/>
                      <w:highlight w:val="none"/>
                    </w:rPr>
                    <w:t>配置目标网站的 DOM 解析规则或关键词</w:t>
                  </w:r>
                </w:p>
              </w:tc>
            </w:tr>
            <w:tr w14:paraId="79838983">
              <w:tblPrEx>
                <w:tblCellMar>
                  <w:top w:w="0" w:type="dxa"/>
                  <w:left w:w="10" w:type="dxa"/>
                  <w:bottom w:w="0" w:type="dxa"/>
                  <w:right w:w="10" w:type="dxa"/>
                </w:tblCellMar>
              </w:tblPrEx>
              <w:tc>
                <w:tcPr>
                  <w:tcW w:w="744" w:type="dxa"/>
                  <w:vMerge w:val="continue"/>
                  <w:tcBorders>
                    <w:left w:val="single" w:color="000000" w:sz="4" w:space="0"/>
                    <w:bottom w:val="single" w:color="000000" w:sz="4" w:space="0"/>
                    <w:right w:val="single" w:color="000000" w:sz="4" w:space="0"/>
                  </w:tcBorders>
                  <w:noWrap w:val="0"/>
                  <w:tcMar>
                    <w:top w:w="60" w:type="dxa"/>
                    <w:left w:w="120" w:type="dxa"/>
                    <w:bottom w:w="30" w:type="dxa"/>
                    <w:right w:w="120" w:type="dxa"/>
                  </w:tcMar>
                  <w:vAlign w:val="center"/>
                </w:tcPr>
                <w:p w14:paraId="35619015">
                  <w:pPr>
                    <w:spacing w:line="440" w:lineRule="exact"/>
                    <w:jc w:val="center"/>
                    <w:rPr>
                      <w:rFonts w:hint="eastAsia" w:ascii="宋体" w:hAnsi="宋体" w:eastAsia="宋体" w:cs="宋体"/>
                      <w:szCs w:val="21"/>
                      <w:highlight w:val="none"/>
                    </w:rPr>
                  </w:pPr>
                </w:p>
              </w:tc>
              <w:tc>
                <w:tcPr>
                  <w:tcW w:w="1129" w:type="dxa"/>
                  <w:vMerge w:val="continue"/>
                  <w:tcBorders>
                    <w:left w:val="single" w:color="000000" w:sz="4" w:space="0"/>
                    <w:bottom w:val="single" w:color="000000" w:sz="4" w:space="0"/>
                    <w:right w:val="single" w:color="000000" w:sz="4" w:space="0"/>
                  </w:tcBorders>
                  <w:noWrap w:val="0"/>
                  <w:tcMar>
                    <w:top w:w="60" w:type="dxa"/>
                    <w:left w:w="120" w:type="dxa"/>
                    <w:bottom w:w="30" w:type="dxa"/>
                    <w:right w:w="120" w:type="dxa"/>
                  </w:tcMar>
                  <w:vAlign w:val="center"/>
                </w:tcPr>
                <w:p w14:paraId="10F4DB20">
                  <w:pPr>
                    <w:spacing w:line="440" w:lineRule="exact"/>
                    <w:jc w:val="center"/>
                    <w:rPr>
                      <w:rFonts w:hint="eastAsia" w:ascii="宋体" w:hAnsi="宋体" w:eastAsia="宋体" w:cs="宋体"/>
                      <w:szCs w:val="21"/>
                      <w:highlight w:val="none"/>
                    </w:rPr>
                  </w:pPr>
                </w:p>
              </w:tc>
              <w:tc>
                <w:tcPr>
                  <w:tcW w:w="1495" w:type="dxa"/>
                  <w:tcBorders>
                    <w:top w:val="single" w:color="000000" w:sz="4" w:space="0"/>
                    <w:left w:val="single" w:color="000000" w:sz="4" w:space="0"/>
                    <w:bottom w:val="single" w:color="000000" w:sz="4" w:space="0"/>
                    <w:right w:val="single" w:color="000000" w:sz="4" w:space="0"/>
                  </w:tcBorders>
                  <w:noWrap w:val="0"/>
                  <w:tcMar>
                    <w:top w:w="60" w:type="dxa"/>
                    <w:left w:w="120" w:type="dxa"/>
                    <w:bottom w:w="30" w:type="dxa"/>
                    <w:right w:w="120" w:type="dxa"/>
                  </w:tcMar>
                  <w:vAlign w:val="center"/>
                </w:tcPr>
                <w:p w14:paraId="1B7CBEBA">
                  <w:pPr>
                    <w:spacing w:line="440" w:lineRule="exact"/>
                    <w:jc w:val="center"/>
                    <w:rPr>
                      <w:rFonts w:hint="eastAsia" w:ascii="宋体" w:hAnsi="宋体" w:eastAsia="宋体" w:cs="宋体"/>
                      <w:szCs w:val="21"/>
                      <w:highlight w:val="none"/>
                    </w:rPr>
                  </w:pPr>
                  <w:r>
                    <w:rPr>
                      <w:rFonts w:hint="eastAsia" w:ascii="宋体" w:hAnsi="宋体" w:eastAsia="宋体" w:cs="宋体"/>
                      <w:szCs w:val="21"/>
                      <w:highlight w:val="none"/>
                    </w:rPr>
                    <w:t>附件深度解析配置</w:t>
                  </w:r>
                </w:p>
              </w:tc>
              <w:tc>
                <w:tcPr>
                  <w:tcW w:w="2249" w:type="dxa"/>
                  <w:tcBorders>
                    <w:top w:val="single" w:color="000000" w:sz="4" w:space="0"/>
                    <w:left w:val="single" w:color="000000" w:sz="4" w:space="0"/>
                    <w:bottom w:val="single" w:color="000000" w:sz="4" w:space="0"/>
                    <w:right w:val="single" w:color="000000" w:sz="4" w:space="0"/>
                  </w:tcBorders>
                  <w:noWrap w:val="0"/>
                  <w:tcMar>
                    <w:top w:w="60" w:type="dxa"/>
                    <w:left w:w="120" w:type="dxa"/>
                    <w:bottom w:w="30" w:type="dxa"/>
                    <w:right w:w="120" w:type="dxa"/>
                  </w:tcMar>
                  <w:vAlign w:val="center"/>
                </w:tcPr>
                <w:p w14:paraId="319E2562">
                  <w:pPr>
                    <w:spacing w:line="440" w:lineRule="exact"/>
                    <w:jc w:val="center"/>
                    <w:rPr>
                      <w:rFonts w:hint="eastAsia" w:ascii="宋体" w:hAnsi="宋体" w:eastAsia="宋体" w:cs="宋体"/>
                      <w:szCs w:val="21"/>
                      <w:highlight w:val="none"/>
                    </w:rPr>
                  </w:pPr>
                  <w:r>
                    <w:rPr>
                      <w:rFonts w:hint="eastAsia" w:ascii="宋体" w:hAnsi="宋体" w:eastAsia="宋体" w:cs="宋体"/>
                      <w:szCs w:val="21"/>
                      <w:highlight w:val="none"/>
                    </w:rPr>
                    <w:t>配置是否开启 PDF/Word 附件的 OCR 识别与版面分析</w:t>
                  </w:r>
                </w:p>
              </w:tc>
            </w:tr>
            <w:tr w14:paraId="042B340D">
              <w:tblPrEx>
                <w:tblCellMar>
                  <w:top w:w="0" w:type="dxa"/>
                  <w:left w:w="10" w:type="dxa"/>
                  <w:bottom w:w="0" w:type="dxa"/>
                  <w:right w:w="10" w:type="dxa"/>
                </w:tblCellMar>
              </w:tblPrEx>
              <w:tc>
                <w:tcPr>
                  <w:tcW w:w="744" w:type="dxa"/>
                  <w:vMerge w:val="restart"/>
                  <w:tcBorders>
                    <w:top w:val="single" w:color="000000" w:sz="4" w:space="0"/>
                    <w:left w:val="single" w:color="000000" w:sz="4" w:space="0"/>
                    <w:right w:val="single" w:color="000000" w:sz="4" w:space="0"/>
                  </w:tcBorders>
                  <w:noWrap w:val="0"/>
                  <w:tcMar>
                    <w:top w:w="60" w:type="dxa"/>
                    <w:left w:w="120" w:type="dxa"/>
                    <w:bottom w:w="30" w:type="dxa"/>
                    <w:right w:w="120" w:type="dxa"/>
                  </w:tcMar>
                  <w:vAlign w:val="center"/>
                </w:tcPr>
                <w:p w14:paraId="3DEAC590">
                  <w:pPr>
                    <w:spacing w:line="440" w:lineRule="exact"/>
                    <w:jc w:val="center"/>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4</w:t>
                  </w:r>
                </w:p>
              </w:tc>
              <w:tc>
                <w:tcPr>
                  <w:tcW w:w="1129" w:type="dxa"/>
                  <w:vMerge w:val="restart"/>
                  <w:tcBorders>
                    <w:top w:val="single" w:color="000000" w:sz="4" w:space="0"/>
                    <w:left w:val="single" w:color="000000" w:sz="4" w:space="0"/>
                    <w:right w:val="single" w:color="000000" w:sz="4" w:space="0"/>
                  </w:tcBorders>
                  <w:noWrap w:val="0"/>
                  <w:tcMar>
                    <w:top w:w="60" w:type="dxa"/>
                    <w:left w:w="120" w:type="dxa"/>
                    <w:bottom w:w="30" w:type="dxa"/>
                    <w:right w:w="120" w:type="dxa"/>
                  </w:tcMar>
                  <w:vAlign w:val="center"/>
                </w:tcPr>
                <w:p w14:paraId="3A7EE174">
                  <w:pPr>
                    <w:spacing w:line="440" w:lineRule="exact"/>
                    <w:jc w:val="center"/>
                    <w:rPr>
                      <w:rFonts w:hint="eastAsia" w:ascii="宋体" w:hAnsi="宋体" w:eastAsia="宋体" w:cs="宋体"/>
                      <w:szCs w:val="21"/>
                      <w:highlight w:val="none"/>
                    </w:rPr>
                  </w:pPr>
                  <w:r>
                    <w:rPr>
                      <w:rFonts w:hint="eastAsia" w:ascii="宋体" w:hAnsi="宋体" w:eastAsia="宋体" w:cs="宋体"/>
                      <w:szCs w:val="21"/>
                      <w:highlight w:val="none"/>
                    </w:rPr>
                    <w:t>报告管理</w:t>
                  </w:r>
                </w:p>
              </w:tc>
              <w:tc>
                <w:tcPr>
                  <w:tcW w:w="1495" w:type="dxa"/>
                  <w:tcBorders>
                    <w:top w:val="single" w:color="000000" w:sz="4" w:space="0"/>
                    <w:left w:val="single" w:color="000000" w:sz="4" w:space="0"/>
                    <w:bottom w:val="single" w:color="000000" w:sz="4" w:space="0"/>
                    <w:right w:val="single" w:color="000000" w:sz="4" w:space="0"/>
                  </w:tcBorders>
                  <w:noWrap w:val="0"/>
                  <w:tcMar>
                    <w:top w:w="60" w:type="dxa"/>
                    <w:left w:w="120" w:type="dxa"/>
                    <w:bottom w:w="30" w:type="dxa"/>
                    <w:right w:w="120" w:type="dxa"/>
                  </w:tcMar>
                  <w:vAlign w:val="center"/>
                </w:tcPr>
                <w:p w14:paraId="140351C7">
                  <w:pPr>
                    <w:spacing w:line="440" w:lineRule="exact"/>
                    <w:jc w:val="center"/>
                    <w:rPr>
                      <w:rFonts w:hint="eastAsia" w:ascii="宋体" w:hAnsi="宋体" w:eastAsia="宋体" w:cs="宋体"/>
                      <w:szCs w:val="21"/>
                      <w:highlight w:val="none"/>
                    </w:rPr>
                  </w:pPr>
                  <w:r>
                    <w:rPr>
                      <w:rFonts w:hint="eastAsia" w:ascii="宋体" w:hAnsi="宋体" w:eastAsia="宋体" w:cs="宋体"/>
                      <w:szCs w:val="21"/>
                      <w:highlight w:val="none"/>
                    </w:rPr>
                    <w:t>报告历史列表</w:t>
                  </w:r>
                </w:p>
              </w:tc>
              <w:tc>
                <w:tcPr>
                  <w:tcW w:w="2249" w:type="dxa"/>
                  <w:tcBorders>
                    <w:top w:val="single" w:color="000000" w:sz="4" w:space="0"/>
                    <w:left w:val="single" w:color="000000" w:sz="4" w:space="0"/>
                    <w:bottom w:val="single" w:color="000000" w:sz="4" w:space="0"/>
                    <w:right w:val="single" w:color="000000" w:sz="4" w:space="0"/>
                  </w:tcBorders>
                  <w:noWrap w:val="0"/>
                  <w:tcMar>
                    <w:top w:w="60" w:type="dxa"/>
                    <w:left w:w="120" w:type="dxa"/>
                    <w:bottom w:w="30" w:type="dxa"/>
                    <w:right w:w="120" w:type="dxa"/>
                  </w:tcMar>
                  <w:vAlign w:val="center"/>
                </w:tcPr>
                <w:p w14:paraId="57180C94">
                  <w:pPr>
                    <w:spacing w:line="440" w:lineRule="exact"/>
                    <w:jc w:val="center"/>
                    <w:rPr>
                      <w:rFonts w:hint="eastAsia" w:ascii="宋体" w:hAnsi="宋体" w:eastAsia="宋体" w:cs="宋体"/>
                      <w:szCs w:val="21"/>
                      <w:highlight w:val="none"/>
                    </w:rPr>
                  </w:pPr>
                  <w:r>
                    <w:rPr>
                      <w:rFonts w:hint="eastAsia" w:ascii="宋体" w:hAnsi="宋体" w:eastAsia="宋体" w:cs="宋体"/>
                      <w:szCs w:val="21"/>
                      <w:highlight w:val="none"/>
                    </w:rPr>
                    <w:t>按时间倒序展示已生成报告，支持筛选</w:t>
                  </w:r>
                </w:p>
              </w:tc>
            </w:tr>
            <w:tr w14:paraId="7E0EF193">
              <w:tblPrEx>
                <w:tblCellMar>
                  <w:top w:w="0" w:type="dxa"/>
                  <w:left w:w="10" w:type="dxa"/>
                  <w:bottom w:w="0" w:type="dxa"/>
                  <w:right w:w="10" w:type="dxa"/>
                </w:tblCellMar>
              </w:tblPrEx>
              <w:tc>
                <w:tcPr>
                  <w:tcW w:w="744" w:type="dxa"/>
                  <w:vMerge w:val="continue"/>
                  <w:tcBorders>
                    <w:left w:val="single" w:color="000000" w:sz="4" w:space="0"/>
                    <w:right w:val="single" w:color="000000" w:sz="4" w:space="0"/>
                  </w:tcBorders>
                  <w:noWrap w:val="0"/>
                  <w:tcMar>
                    <w:top w:w="60" w:type="dxa"/>
                    <w:left w:w="120" w:type="dxa"/>
                    <w:bottom w:w="30" w:type="dxa"/>
                    <w:right w:w="120" w:type="dxa"/>
                  </w:tcMar>
                  <w:vAlign w:val="center"/>
                </w:tcPr>
                <w:p w14:paraId="58847F99">
                  <w:pPr>
                    <w:spacing w:line="440" w:lineRule="exact"/>
                    <w:jc w:val="center"/>
                    <w:rPr>
                      <w:rFonts w:hint="eastAsia" w:ascii="宋体" w:hAnsi="宋体" w:eastAsia="宋体" w:cs="宋体"/>
                      <w:szCs w:val="21"/>
                      <w:highlight w:val="none"/>
                    </w:rPr>
                  </w:pPr>
                </w:p>
              </w:tc>
              <w:tc>
                <w:tcPr>
                  <w:tcW w:w="1129" w:type="dxa"/>
                  <w:vMerge w:val="continue"/>
                  <w:tcBorders>
                    <w:left w:val="single" w:color="000000" w:sz="4" w:space="0"/>
                    <w:right w:val="single" w:color="000000" w:sz="4" w:space="0"/>
                  </w:tcBorders>
                  <w:noWrap w:val="0"/>
                  <w:tcMar>
                    <w:top w:w="60" w:type="dxa"/>
                    <w:left w:w="120" w:type="dxa"/>
                    <w:bottom w:w="30" w:type="dxa"/>
                    <w:right w:w="120" w:type="dxa"/>
                  </w:tcMar>
                  <w:vAlign w:val="center"/>
                </w:tcPr>
                <w:p w14:paraId="1588F532">
                  <w:pPr>
                    <w:spacing w:line="440" w:lineRule="exact"/>
                    <w:jc w:val="center"/>
                    <w:rPr>
                      <w:rFonts w:hint="eastAsia" w:ascii="宋体" w:hAnsi="宋体" w:eastAsia="宋体" w:cs="宋体"/>
                      <w:szCs w:val="21"/>
                      <w:highlight w:val="none"/>
                    </w:rPr>
                  </w:pPr>
                </w:p>
              </w:tc>
              <w:tc>
                <w:tcPr>
                  <w:tcW w:w="1495" w:type="dxa"/>
                  <w:tcBorders>
                    <w:top w:val="single" w:color="000000" w:sz="4" w:space="0"/>
                    <w:left w:val="single" w:color="000000" w:sz="4" w:space="0"/>
                    <w:bottom w:val="single" w:color="000000" w:sz="4" w:space="0"/>
                    <w:right w:val="single" w:color="000000" w:sz="4" w:space="0"/>
                  </w:tcBorders>
                  <w:noWrap w:val="0"/>
                  <w:tcMar>
                    <w:top w:w="60" w:type="dxa"/>
                    <w:left w:w="120" w:type="dxa"/>
                    <w:bottom w:w="30" w:type="dxa"/>
                    <w:right w:w="120" w:type="dxa"/>
                  </w:tcMar>
                  <w:vAlign w:val="center"/>
                </w:tcPr>
                <w:p w14:paraId="4D218759">
                  <w:pPr>
                    <w:spacing w:line="440" w:lineRule="exact"/>
                    <w:jc w:val="center"/>
                    <w:rPr>
                      <w:rFonts w:hint="eastAsia" w:ascii="宋体" w:hAnsi="宋体" w:eastAsia="宋体" w:cs="宋体"/>
                      <w:szCs w:val="21"/>
                      <w:highlight w:val="none"/>
                    </w:rPr>
                  </w:pPr>
                  <w:r>
                    <w:rPr>
                      <w:rFonts w:hint="eastAsia" w:ascii="宋体" w:hAnsi="宋体" w:eastAsia="宋体" w:cs="宋体"/>
                      <w:szCs w:val="21"/>
                      <w:highlight w:val="none"/>
                    </w:rPr>
                    <w:t>报告生成触发器</w:t>
                  </w:r>
                </w:p>
              </w:tc>
              <w:tc>
                <w:tcPr>
                  <w:tcW w:w="2249" w:type="dxa"/>
                  <w:tcBorders>
                    <w:top w:val="single" w:color="000000" w:sz="4" w:space="0"/>
                    <w:left w:val="single" w:color="000000" w:sz="4" w:space="0"/>
                    <w:bottom w:val="single" w:color="000000" w:sz="4" w:space="0"/>
                    <w:right w:val="single" w:color="000000" w:sz="4" w:space="0"/>
                  </w:tcBorders>
                  <w:noWrap w:val="0"/>
                  <w:tcMar>
                    <w:top w:w="60" w:type="dxa"/>
                    <w:left w:w="120" w:type="dxa"/>
                    <w:bottom w:w="30" w:type="dxa"/>
                    <w:right w:w="120" w:type="dxa"/>
                  </w:tcMar>
                  <w:vAlign w:val="center"/>
                </w:tcPr>
                <w:p w14:paraId="1E9C7840">
                  <w:pPr>
                    <w:spacing w:line="440" w:lineRule="exact"/>
                    <w:jc w:val="center"/>
                    <w:rPr>
                      <w:rFonts w:hint="eastAsia" w:ascii="宋体" w:hAnsi="宋体" w:eastAsia="宋体" w:cs="宋体"/>
                      <w:szCs w:val="21"/>
                      <w:highlight w:val="none"/>
                    </w:rPr>
                  </w:pPr>
                  <w:r>
                    <w:rPr>
                      <w:rFonts w:hint="eastAsia" w:ascii="宋体" w:hAnsi="宋体" w:eastAsia="宋体" w:cs="宋体"/>
                      <w:szCs w:val="21"/>
                      <w:highlight w:val="none"/>
                    </w:rPr>
                    <w:t>手动点击按钮触发单次临时生成任务</w:t>
                  </w:r>
                </w:p>
              </w:tc>
            </w:tr>
            <w:tr w14:paraId="7819C9A8">
              <w:tblPrEx>
                <w:tblCellMar>
                  <w:top w:w="0" w:type="dxa"/>
                  <w:left w:w="10" w:type="dxa"/>
                  <w:bottom w:w="0" w:type="dxa"/>
                  <w:right w:w="10" w:type="dxa"/>
                </w:tblCellMar>
              </w:tblPrEx>
              <w:tc>
                <w:tcPr>
                  <w:tcW w:w="744" w:type="dxa"/>
                  <w:vMerge w:val="continue"/>
                  <w:tcBorders>
                    <w:left w:val="single" w:color="000000" w:sz="4" w:space="0"/>
                    <w:right w:val="single" w:color="000000" w:sz="4" w:space="0"/>
                  </w:tcBorders>
                  <w:noWrap w:val="0"/>
                  <w:tcMar>
                    <w:top w:w="60" w:type="dxa"/>
                    <w:left w:w="120" w:type="dxa"/>
                    <w:bottom w:w="30" w:type="dxa"/>
                    <w:right w:w="120" w:type="dxa"/>
                  </w:tcMar>
                  <w:vAlign w:val="center"/>
                </w:tcPr>
                <w:p w14:paraId="6B04E208">
                  <w:pPr>
                    <w:spacing w:line="440" w:lineRule="exact"/>
                    <w:jc w:val="center"/>
                    <w:rPr>
                      <w:rFonts w:hint="eastAsia" w:ascii="宋体" w:hAnsi="宋体" w:eastAsia="宋体" w:cs="宋体"/>
                      <w:szCs w:val="21"/>
                      <w:highlight w:val="none"/>
                    </w:rPr>
                  </w:pPr>
                </w:p>
              </w:tc>
              <w:tc>
                <w:tcPr>
                  <w:tcW w:w="1129" w:type="dxa"/>
                  <w:vMerge w:val="continue"/>
                  <w:tcBorders>
                    <w:left w:val="single" w:color="000000" w:sz="4" w:space="0"/>
                    <w:right w:val="single" w:color="000000" w:sz="4" w:space="0"/>
                  </w:tcBorders>
                  <w:noWrap w:val="0"/>
                  <w:tcMar>
                    <w:top w:w="60" w:type="dxa"/>
                    <w:left w:w="120" w:type="dxa"/>
                    <w:bottom w:w="30" w:type="dxa"/>
                    <w:right w:w="120" w:type="dxa"/>
                  </w:tcMar>
                  <w:vAlign w:val="center"/>
                </w:tcPr>
                <w:p w14:paraId="04421BD4">
                  <w:pPr>
                    <w:spacing w:line="440" w:lineRule="exact"/>
                    <w:jc w:val="center"/>
                    <w:rPr>
                      <w:rFonts w:hint="eastAsia" w:ascii="宋体" w:hAnsi="宋体" w:eastAsia="宋体" w:cs="宋体"/>
                      <w:szCs w:val="21"/>
                      <w:highlight w:val="none"/>
                    </w:rPr>
                  </w:pPr>
                </w:p>
              </w:tc>
              <w:tc>
                <w:tcPr>
                  <w:tcW w:w="1495" w:type="dxa"/>
                  <w:tcBorders>
                    <w:top w:val="single" w:color="000000" w:sz="4" w:space="0"/>
                    <w:left w:val="single" w:color="000000" w:sz="4" w:space="0"/>
                    <w:bottom w:val="single" w:color="000000" w:sz="4" w:space="0"/>
                    <w:right w:val="single" w:color="000000" w:sz="4" w:space="0"/>
                  </w:tcBorders>
                  <w:noWrap w:val="0"/>
                  <w:tcMar>
                    <w:top w:w="60" w:type="dxa"/>
                    <w:left w:w="120" w:type="dxa"/>
                    <w:bottom w:w="30" w:type="dxa"/>
                    <w:right w:w="120" w:type="dxa"/>
                  </w:tcMar>
                  <w:vAlign w:val="center"/>
                </w:tcPr>
                <w:p w14:paraId="5DCD49FC">
                  <w:pPr>
                    <w:spacing w:line="440" w:lineRule="exact"/>
                    <w:jc w:val="center"/>
                    <w:rPr>
                      <w:rFonts w:hint="eastAsia" w:ascii="宋体" w:hAnsi="宋体" w:eastAsia="宋体" w:cs="宋体"/>
                      <w:szCs w:val="21"/>
                      <w:highlight w:val="none"/>
                    </w:rPr>
                  </w:pPr>
                  <w:r>
                    <w:rPr>
                      <w:rFonts w:hint="eastAsia" w:ascii="宋体" w:hAnsi="宋体" w:eastAsia="宋体" w:cs="宋体"/>
                      <w:szCs w:val="21"/>
                      <w:highlight w:val="none"/>
                    </w:rPr>
                    <w:t>报告预览与交互</w:t>
                  </w:r>
                </w:p>
              </w:tc>
              <w:tc>
                <w:tcPr>
                  <w:tcW w:w="2249" w:type="dxa"/>
                  <w:tcBorders>
                    <w:top w:val="single" w:color="000000" w:sz="4" w:space="0"/>
                    <w:left w:val="single" w:color="000000" w:sz="4" w:space="0"/>
                    <w:bottom w:val="single" w:color="000000" w:sz="4" w:space="0"/>
                    <w:right w:val="single" w:color="000000" w:sz="4" w:space="0"/>
                  </w:tcBorders>
                  <w:noWrap w:val="0"/>
                  <w:tcMar>
                    <w:top w:w="60" w:type="dxa"/>
                    <w:left w:w="120" w:type="dxa"/>
                    <w:bottom w:w="30" w:type="dxa"/>
                    <w:right w:w="120" w:type="dxa"/>
                  </w:tcMar>
                  <w:vAlign w:val="center"/>
                </w:tcPr>
                <w:p w14:paraId="48E18DA4">
                  <w:pPr>
                    <w:spacing w:line="440" w:lineRule="exact"/>
                    <w:jc w:val="center"/>
                    <w:rPr>
                      <w:rFonts w:hint="eastAsia" w:ascii="宋体" w:hAnsi="宋体" w:eastAsia="宋体" w:cs="宋体"/>
                      <w:szCs w:val="21"/>
                      <w:highlight w:val="none"/>
                    </w:rPr>
                  </w:pPr>
                  <w:r>
                    <w:rPr>
                      <w:rFonts w:hint="eastAsia" w:ascii="宋体" w:hAnsi="宋体" w:eastAsia="宋体" w:cs="宋体"/>
                      <w:szCs w:val="21"/>
                      <w:highlight w:val="none"/>
                    </w:rPr>
                    <w:t>支持大纲拖拽调整、Markdown/预览双向同步编辑</w:t>
                  </w:r>
                </w:p>
              </w:tc>
            </w:tr>
            <w:tr w14:paraId="39DE58C7">
              <w:tblPrEx>
                <w:tblCellMar>
                  <w:top w:w="0" w:type="dxa"/>
                  <w:left w:w="10" w:type="dxa"/>
                  <w:bottom w:w="0" w:type="dxa"/>
                  <w:right w:w="10" w:type="dxa"/>
                </w:tblCellMar>
              </w:tblPrEx>
              <w:tc>
                <w:tcPr>
                  <w:tcW w:w="744" w:type="dxa"/>
                  <w:vMerge w:val="continue"/>
                  <w:tcBorders>
                    <w:left w:val="single" w:color="000000" w:sz="4" w:space="0"/>
                    <w:bottom w:val="single" w:color="000000" w:sz="4" w:space="0"/>
                    <w:right w:val="single" w:color="000000" w:sz="4" w:space="0"/>
                  </w:tcBorders>
                  <w:noWrap w:val="0"/>
                  <w:tcMar>
                    <w:top w:w="60" w:type="dxa"/>
                    <w:left w:w="120" w:type="dxa"/>
                    <w:bottom w:w="30" w:type="dxa"/>
                    <w:right w:w="120" w:type="dxa"/>
                  </w:tcMar>
                  <w:vAlign w:val="center"/>
                </w:tcPr>
                <w:p w14:paraId="1414A86B">
                  <w:pPr>
                    <w:spacing w:line="440" w:lineRule="exact"/>
                    <w:jc w:val="center"/>
                    <w:rPr>
                      <w:rFonts w:hint="eastAsia" w:ascii="宋体" w:hAnsi="宋体" w:eastAsia="宋体" w:cs="宋体"/>
                      <w:szCs w:val="21"/>
                      <w:highlight w:val="none"/>
                    </w:rPr>
                  </w:pPr>
                </w:p>
              </w:tc>
              <w:tc>
                <w:tcPr>
                  <w:tcW w:w="1129" w:type="dxa"/>
                  <w:vMerge w:val="continue"/>
                  <w:tcBorders>
                    <w:left w:val="single" w:color="000000" w:sz="4" w:space="0"/>
                    <w:bottom w:val="single" w:color="000000" w:sz="4" w:space="0"/>
                    <w:right w:val="single" w:color="000000" w:sz="4" w:space="0"/>
                  </w:tcBorders>
                  <w:noWrap w:val="0"/>
                  <w:tcMar>
                    <w:top w:w="60" w:type="dxa"/>
                    <w:left w:w="120" w:type="dxa"/>
                    <w:bottom w:w="30" w:type="dxa"/>
                    <w:right w:w="120" w:type="dxa"/>
                  </w:tcMar>
                  <w:vAlign w:val="center"/>
                </w:tcPr>
                <w:p w14:paraId="0EC12295">
                  <w:pPr>
                    <w:spacing w:line="440" w:lineRule="exact"/>
                    <w:jc w:val="center"/>
                    <w:rPr>
                      <w:rFonts w:hint="eastAsia" w:ascii="宋体" w:hAnsi="宋体" w:eastAsia="宋体" w:cs="宋体"/>
                      <w:szCs w:val="21"/>
                      <w:highlight w:val="none"/>
                    </w:rPr>
                  </w:pPr>
                </w:p>
              </w:tc>
              <w:tc>
                <w:tcPr>
                  <w:tcW w:w="1495" w:type="dxa"/>
                  <w:tcBorders>
                    <w:top w:val="single" w:color="000000" w:sz="4" w:space="0"/>
                    <w:left w:val="single" w:color="000000" w:sz="4" w:space="0"/>
                    <w:bottom w:val="single" w:color="000000" w:sz="4" w:space="0"/>
                    <w:right w:val="single" w:color="000000" w:sz="4" w:space="0"/>
                  </w:tcBorders>
                  <w:noWrap w:val="0"/>
                  <w:tcMar>
                    <w:top w:w="60" w:type="dxa"/>
                    <w:left w:w="120" w:type="dxa"/>
                    <w:bottom w:w="30" w:type="dxa"/>
                    <w:right w:w="120" w:type="dxa"/>
                  </w:tcMar>
                  <w:vAlign w:val="center"/>
                </w:tcPr>
                <w:p w14:paraId="11E2FFBB">
                  <w:pPr>
                    <w:spacing w:line="440" w:lineRule="exact"/>
                    <w:jc w:val="center"/>
                    <w:rPr>
                      <w:rFonts w:hint="eastAsia" w:ascii="宋体" w:hAnsi="宋体" w:eastAsia="宋体" w:cs="宋体"/>
                      <w:szCs w:val="21"/>
                      <w:highlight w:val="none"/>
                    </w:rPr>
                  </w:pPr>
                  <w:r>
                    <w:rPr>
                      <w:rFonts w:hint="eastAsia" w:ascii="宋体" w:hAnsi="宋体" w:eastAsia="宋体" w:cs="宋体"/>
                      <w:szCs w:val="21"/>
                      <w:highlight w:val="none"/>
                    </w:rPr>
                    <w:t>报告下载按钮</w:t>
                  </w:r>
                </w:p>
              </w:tc>
              <w:tc>
                <w:tcPr>
                  <w:tcW w:w="2249" w:type="dxa"/>
                  <w:tcBorders>
                    <w:top w:val="single" w:color="000000" w:sz="4" w:space="0"/>
                    <w:left w:val="single" w:color="000000" w:sz="4" w:space="0"/>
                    <w:bottom w:val="single" w:color="000000" w:sz="4" w:space="0"/>
                    <w:right w:val="single" w:color="000000" w:sz="4" w:space="0"/>
                  </w:tcBorders>
                  <w:noWrap w:val="0"/>
                  <w:tcMar>
                    <w:top w:w="60" w:type="dxa"/>
                    <w:left w:w="120" w:type="dxa"/>
                    <w:bottom w:w="30" w:type="dxa"/>
                    <w:right w:w="120" w:type="dxa"/>
                  </w:tcMar>
                  <w:vAlign w:val="center"/>
                </w:tcPr>
                <w:p w14:paraId="68F93386">
                  <w:pPr>
                    <w:spacing w:line="440" w:lineRule="exact"/>
                    <w:jc w:val="center"/>
                    <w:rPr>
                      <w:rFonts w:hint="eastAsia" w:ascii="宋体" w:hAnsi="宋体" w:eastAsia="宋体" w:cs="宋体"/>
                      <w:szCs w:val="21"/>
                      <w:highlight w:val="none"/>
                    </w:rPr>
                  </w:pPr>
                  <w:r>
                    <w:rPr>
                      <w:rFonts w:hint="eastAsia" w:ascii="宋体" w:hAnsi="宋体" w:eastAsia="宋体" w:cs="宋体"/>
                      <w:szCs w:val="21"/>
                      <w:highlight w:val="none"/>
                    </w:rPr>
                    <w:t>点击下载生成的 Word/PDF 格式报告</w:t>
                  </w:r>
                </w:p>
              </w:tc>
            </w:tr>
            <w:tr w14:paraId="540C0712">
              <w:tblPrEx>
                <w:tblCellMar>
                  <w:top w:w="0" w:type="dxa"/>
                  <w:left w:w="10" w:type="dxa"/>
                  <w:bottom w:w="0" w:type="dxa"/>
                  <w:right w:w="10" w:type="dxa"/>
                </w:tblCellMar>
              </w:tblPrEx>
              <w:tc>
                <w:tcPr>
                  <w:tcW w:w="744" w:type="dxa"/>
                  <w:vMerge w:val="restart"/>
                  <w:tcBorders>
                    <w:top w:val="single" w:color="000000" w:sz="4" w:space="0"/>
                    <w:left w:val="single" w:color="000000" w:sz="4" w:space="0"/>
                    <w:right w:val="single" w:color="000000" w:sz="4" w:space="0"/>
                  </w:tcBorders>
                  <w:noWrap w:val="0"/>
                  <w:tcMar>
                    <w:top w:w="60" w:type="dxa"/>
                    <w:left w:w="120" w:type="dxa"/>
                    <w:bottom w:w="30" w:type="dxa"/>
                    <w:right w:w="120" w:type="dxa"/>
                  </w:tcMar>
                  <w:vAlign w:val="center"/>
                </w:tcPr>
                <w:p w14:paraId="6373040C">
                  <w:pPr>
                    <w:spacing w:line="440" w:lineRule="exact"/>
                    <w:jc w:val="center"/>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5</w:t>
                  </w:r>
                </w:p>
              </w:tc>
              <w:tc>
                <w:tcPr>
                  <w:tcW w:w="1129" w:type="dxa"/>
                  <w:vMerge w:val="restart"/>
                  <w:tcBorders>
                    <w:top w:val="single" w:color="000000" w:sz="4" w:space="0"/>
                    <w:left w:val="single" w:color="000000" w:sz="4" w:space="0"/>
                    <w:right w:val="single" w:color="000000" w:sz="4" w:space="0"/>
                  </w:tcBorders>
                  <w:noWrap w:val="0"/>
                  <w:tcMar>
                    <w:top w:w="60" w:type="dxa"/>
                    <w:left w:w="120" w:type="dxa"/>
                    <w:bottom w:w="30" w:type="dxa"/>
                    <w:right w:w="120" w:type="dxa"/>
                  </w:tcMar>
                  <w:vAlign w:val="center"/>
                </w:tcPr>
                <w:p w14:paraId="12EFF297">
                  <w:pPr>
                    <w:spacing w:line="440" w:lineRule="exact"/>
                    <w:jc w:val="center"/>
                    <w:rPr>
                      <w:rFonts w:hint="eastAsia" w:ascii="宋体" w:hAnsi="宋体" w:eastAsia="宋体" w:cs="宋体"/>
                      <w:szCs w:val="21"/>
                      <w:highlight w:val="none"/>
                    </w:rPr>
                  </w:pPr>
                  <w:r>
                    <w:rPr>
                      <w:rFonts w:hint="eastAsia" w:ascii="宋体" w:hAnsi="宋体" w:eastAsia="宋体" w:cs="宋体"/>
                      <w:szCs w:val="21"/>
                      <w:highlight w:val="none"/>
                    </w:rPr>
                    <w:t>系统设置</w:t>
                  </w:r>
                </w:p>
              </w:tc>
              <w:tc>
                <w:tcPr>
                  <w:tcW w:w="1495" w:type="dxa"/>
                  <w:tcBorders>
                    <w:top w:val="single" w:color="000000" w:sz="4" w:space="0"/>
                    <w:left w:val="single" w:color="000000" w:sz="4" w:space="0"/>
                    <w:bottom w:val="single" w:color="000000" w:sz="4" w:space="0"/>
                    <w:right w:val="single" w:color="000000" w:sz="4" w:space="0"/>
                  </w:tcBorders>
                  <w:noWrap w:val="0"/>
                  <w:tcMar>
                    <w:top w:w="60" w:type="dxa"/>
                    <w:left w:w="120" w:type="dxa"/>
                    <w:bottom w:w="30" w:type="dxa"/>
                    <w:right w:w="120" w:type="dxa"/>
                  </w:tcMar>
                  <w:vAlign w:val="center"/>
                </w:tcPr>
                <w:p w14:paraId="5311B51B">
                  <w:pPr>
                    <w:spacing w:line="440" w:lineRule="exact"/>
                    <w:jc w:val="center"/>
                    <w:rPr>
                      <w:rFonts w:hint="eastAsia" w:ascii="宋体" w:hAnsi="宋体" w:eastAsia="宋体" w:cs="宋体"/>
                      <w:szCs w:val="21"/>
                      <w:highlight w:val="none"/>
                    </w:rPr>
                  </w:pPr>
                  <w:r>
                    <w:rPr>
                      <w:rFonts w:hint="eastAsia" w:ascii="宋体" w:hAnsi="宋体" w:eastAsia="宋体" w:cs="宋体"/>
                      <w:szCs w:val="21"/>
                      <w:highlight w:val="none"/>
                    </w:rPr>
                    <w:t>大模型参数配置</w:t>
                  </w:r>
                </w:p>
              </w:tc>
              <w:tc>
                <w:tcPr>
                  <w:tcW w:w="2249" w:type="dxa"/>
                  <w:tcBorders>
                    <w:top w:val="single" w:color="000000" w:sz="4" w:space="0"/>
                    <w:left w:val="single" w:color="000000" w:sz="4" w:space="0"/>
                    <w:bottom w:val="single" w:color="000000" w:sz="4" w:space="0"/>
                    <w:right w:val="single" w:color="000000" w:sz="4" w:space="0"/>
                  </w:tcBorders>
                  <w:noWrap w:val="0"/>
                  <w:tcMar>
                    <w:top w:w="60" w:type="dxa"/>
                    <w:left w:w="120" w:type="dxa"/>
                    <w:bottom w:w="30" w:type="dxa"/>
                    <w:right w:w="120" w:type="dxa"/>
                  </w:tcMar>
                  <w:vAlign w:val="center"/>
                </w:tcPr>
                <w:p w14:paraId="67B9ED38">
                  <w:pPr>
                    <w:spacing w:line="440" w:lineRule="exact"/>
                    <w:jc w:val="center"/>
                    <w:rPr>
                      <w:rFonts w:hint="eastAsia" w:ascii="宋体" w:hAnsi="宋体" w:eastAsia="宋体" w:cs="宋体"/>
                      <w:szCs w:val="21"/>
                      <w:highlight w:val="none"/>
                    </w:rPr>
                  </w:pPr>
                  <w:r>
                    <w:rPr>
                      <w:rFonts w:hint="eastAsia" w:ascii="宋体" w:hAnsi="宋体" w:eastAsia="宋体" w:cs="宋体"/>
                      <w:szCs w:val="21"/>
                      <w:highlight w:val="none"/>
                    </w:rPr>
                    <w:t>配置 LLM 的 API Key、Temperature 等参数</w:t>
                  </w:r>
                </w:p>
              </w:tc>
            </w:tr>
            <w:tr w14:paraId="3B1B1691">
              <w:tblPrEx>
                <w:tblCellMar>
                  <w:top w:w="0" w:type="dxa"/>
                  <w:left w:w="10" w:type="dxa"/>
                  <w:bottom w:w="0" w:type="dxa"/>
                  <w:right w:w="10" w:type="dxa"/>
                </w:tblCellMar>
              </w:tblPrEx>
              <w:tc>
                <w:tcPr>
                  <w:tcW w:w="744" w:type="dxa"/>
                  <w:vMerge w:val="continue"/>
                  <w:tcBorders>
                    <w:left w:val="single" w:color="000000" w:sz="4" w:space="0"/>
                    <w:bottom w:val="single" w:color="000000" w:sz="4" w:space="0"/>
                    <w:right w:val="single" w:color="000000" w:sz="4" w:space="0"/>
                  </w:tcBorders>
                  <w:noWrap w:val="0"/>
                  <w:tcMar>
                    <w:top w:w="60" w:type="dxa"/>
                    <w:left w:w="120" w:type="dxa"/>
                    <w:bottom w:w="30" w:type="dxa"/>
                    <w:right w:w="120" w:type="dxa"/>
                  </w:tcMar>
                  <w:vAlign w:val="center"/>
                </w:tcPr>
                <w:p w14:paraId="503BEBDB">
                  <w:pPr>
                    <w:spacing w:line="440" w:lineRule="exact"/>
                    <w:jc w:val="center"/>
                    <w:rPr>
                      <w:rFonts w:hint="eastAsia" w:ascii="宋体" w:hAnsi="宋体" w:eastAsia="宋体" w:cs="宋体"/>
                      <w:szCs w:val="21"/>
                      <w:highlight w:val="none"/>
                    </w:rPr>
                  </w:pPr>
                </w:p>
              </w:tc>
              <w:tc>
                <w:tcPr>
                  <w:tcW w:w="1129" w:type="dxa"/>
                  <w:vMerge w:val="continue"/>
                  <w:tcBorders>
                    <w:left w:val="single" w:color="000000" w:sz="4" w:space="0"/>
                    <w:bottom w:val="single" w:color="000000" w:sz="4" w:space="0"/>
                    <w:right w:val="single" w:color="000000" w:sz="4" w:space="0"/>
                  </w:tcBorders>
                  <w:noWrap w:val="0"/>
                  <w:tcMar>
                    <w:top w:w="60" w:type="dxa"/>
                    <w:left w:w="120" w:type="dxa"/>
                    <w:bottom w:w="30" w:type="dxa"/>
                    <w:right w:w="120" w:type="dxa"/>
                  </w:tcMar>
                  <w:vAlign w:val="center"/>
                </w:tcPr>
                <w:p w14:paraId="67936692">
                  <w:pPr>
                    <w:spacing w:line="440" w:lineRule="exact"/>
                    <w:jc w:val="center"/>
                    <w:rPr>
                      <w:rFonts w:hint="eastAsia" w:ascii="宋体" w:hAnsi="宋体" w:eastAsia="宋体" w:cs="宋体"/>
                      <w:szCs w:val="21"/>
                      <w:highlight w:val="none"/>
                    </w:rPr>
                  </w:pPr>
                </w:p>
              </w:tc>
              <w:tc>
                <w:tcPr>
                  <w:tcW w:w="1495" w:type="dxa"/>
                  <w:tcBorders>
                    <w:top w:val="single" w:color="000000" w:sz="4" w:space="0"/>
                    <w:left w:val="single" w:color="000000" w:sz="4" w:space="0"/>
                    <w:bottom w:val="single" w:color="000000" w:sz="4" w:space="0"/>
                    <w:right w:val="single" w:color="000000" w:sz="4" w:space="0"/>
                  </w:tcBorders>
                  <w:noWrap w:val="0"/>
                  <w:tcMar>
                    <w:top w:w="60" w:type="dxa"/>
                    <w:left w:w="120" w:type="dxa"/>
                    <w:bottom w:w="30" w:type="dxa"/>
                    <w:right w:w="120" w:type="dxa"/>
                  </w:tcMar>
                  <w:vAlign w:val="center"/>
                </w:tcPr>
                <w:p w14:paraId="1599EAAB">
                  <w:pPr>
                    <w:spacing w:line="440" w:lineRule="exact"/>
                    <w:jc w:val="center"/>
                    <w:rPr>
                      <w:rFonts w:hint="eastAsia" w:ascii="宋体" w:hAnsi="宋体" w:eastAsia="宋体" w:cs="宋体"/>
                      <w:szCs w:val="21"/>
                      <w:highlight w:val="none"/>
                    </w:rPr>
                  </w:pPr>
                  <w:r>
                    <w:rPr>
                      <w:rFonts w:hint="eastAsia" w:ascii="宋体" w:hAnsi="宋体" w:eastAsia="宋体" w:cs="宋体"/>
                      <w:szCs w:val="21"/>
                      <w:highlight w:val="none"/>
                    </w:rPr>
                    <w:t>提示词(Prompt)管理</w:t>
                  </w:r>
                </w:p>
              </w:tc>
              <w:tc>
                <w:tcPr>
                  <w:tcW w:w="2249" w:type="dxa"/>
                  <w:tcBorders>
                    <w:top w:val="single" w:color="000000" w:sz="4" w:space="0"/>
                    <w:left w:val="single" w:color="000000" w:sz="4" w:space="0"/>
                    <w:bottom w:val="single" w:color="000000" w:sz="4" w:space="0"/>
                    <w:right w:val="single" w:color="000000" w:sz="4" w:space="0"/>
                  </w:tcBorders>
                  <w:noWrap w:val="0"/>
                  <w:tcMar>
                    <w:top w:w="60" w:type="dxa"/>
                    <w:left w:w="120" w:type="dxa"/>
                    <w:bottom w:w="30" w:type="dxa"/>
                    <w:right w:w="120" w:type="dxa"/>
                  </w:tcMar>
                  <w:vAlign w:val="center"/>
                </w:tcPr>
                <w:p w14:paraId="47343736">
                  <w:pPr>
                    <w:spacing w:line="440" w:lineRule="exact"/>
                    <w:jc w:val="center"/>
                    <w:rPr>
                      <w:rFonts w:hint="eastAsia" w:ascii="宋体" w:hAnsi="宋体" w:eastAsia="宋体" w:cs="宋体"/>
                      <w:szCs w:val="21"/>
                      <w:highlight w:val="none"/>
                    </w:rPr>
                  </w:pPr>
                  <w:r>
                    <w:rPr>
                      <w:rFonts w:hint="eastAsia" w:ascii="宋体" w:hAnsi="宋体" w:eastAsia="宋体" w:cs="宋体"/>
                      <w:szCs w:val="21"/>
                      <w:highlight w:val="none"/>
                    </w:rPr>
                    <w:t>编辑用于生成报告的 System Prompt 模板</w:t>
                  </w:r>
                </w:p>
              </w:tc>
            </w:tr>
          </w:tbl>
          <w:p w14:paraId="4A862314">
            <w:pPr>
              <w:spacing w:line="440" w:lineRule="exact"/>
              <w:jc w:val="left"/>
              <w:rPr>
                <w:rFonts w:hint="eastAsia" w:ascii="宋体" w:hAnsi="宋体" w:eastAsia="宋体" w:cs="宋体"/>
                <w:szCs w:val="21"/>
                <w:highlight w:val="none"/>
              </w:rPr>
            </w:pPr>
          </w:p>
          <w:p w14:paraId="5B40CEC7">
            <w:pPr>
              <w:spacing w:line="440" w:lineRule="exact"/>
              <w:jc w:val="left"/>
              <w:rPr>
                <w:rFonts w:hint="eastAsia" w:ascii="宋体" w:hAnsi="宋体" w:eastAsia="宋体" w:cs="宋体"/>
                <w:szCs w:val="21"/>
                <w:highlight w:val="none"/>
              </w:rPr>
            </w:pPr>
            <w:r>
              <w:rPr>
                <w:rFonts w:hint="eastAsia" w:ascii="宋体" w:hAnsi="宋体" w:eastAsia="宋体" w:cs="宋体"/>
                <w:szCs w:val="21"/>
                <w:highlight w:val="none"/>
              </w:rPr>
              <w:t>2. 核心模块与数据处理</w:t>
            </w:r>
          </w:p>
          <w:p w14:paraId="5AA056CE">
            <w:pPr>
              <w:spacing w:line="440" w:lineRule="exact"/>
              <w:jc w:val="left"/>
              <w:rPr>
                <w:rFonts w:hint="eastAsia" w:ascii="宋体" w:hAnsi="宋体" w:eastAsia="宋体" w:cs="宋体"/>
                <w:szCs w:val="21"/>
                <w:highlight w:val="none"/>
              </w:rPr>
            </w:pPr>
          </w:p>
          <w:tbl>
            <w:tblPr>
              <w:tblStyle w:val="11"/>
              <w:tblW w:w="0" w:type="auto"/>
              <w:tblInd w:w="0" w:type="dxa"/>
              <w:tblLayout w:type="autofit"/>
              <w:tblCellMar>
                <w:top w:w="0" w:type="dxa"/>
                <w:left w:w="10" w:type="dxa"/>
                <w:bottom w:w="0" w:type="dxa"/>
                <w:right w:w="10" w:type="dxa"/>
              </w:tblCellMar>
            </w:tblPr>
            <w:tblGrid>
              <w:gridCol w:w="1129"/>
              <w:gridCol w:w="1129"/>
              <w:gridCol w:w="1129"/>
              <w:gridCol w:w="1617"/>
            </w:tblGrid>
            <w:tr w14:paraId="08E1C853">
              <w:tblPrEx>
                <w:tblCellMar>
                  <w:top w:w="0" w:type="dxa"/>
                  <w:left w:w="10" w:type="dxa"/>
                  <w:bottom w:w="0" w:type="dxa"/>
                  <w:right w:w="10" w:type="dxa"/>
                </w:tblCellMar>
              </w:tblPrEx>
              <w:tc>
                <w:tcPr>
                  <w:tcW w:w="1129" w:type="dxa"/>
                  <w:tcBorders>
                    <w:top w:val="single" w:color="000000" w:sz="4" w:space="0"/>
                    <w:left w:val="single" w:color="000000" w:sz="4" w:space="0"/>
                    <w:bottom w:val="single" w:color="000000" w:sz="4" w:space="0"/>
                    <w:right w:val="single" w:color="000000" w:sz="4" w:space="0"/>
                    <w:tl2br w:val="nil"/>
                  </w:tcBorders>
                  <w:noWrap w:val="0"/>
                  <w:tcMar>
                    <w:top w:w="60" w:type="dxa"/>
                    <w:left w:w="120" w:type="dxa"/>
                    <w:bottom w:w="30" w:type="dxa"/>
                    <w:right w:w="120" w:type="dxa"/>
                  </w:tcMar>
                  <w:vAlign w:val="center"/>
                </w:tcPr>
                <w:p w14:paraId="632F390A">
                  <w:pPr>
                    <w:spacing w:line="440" w:lineRule="exact"/>
                    <w:jc w:val="center"/>
                    <w:rPr>
                      <w:rFonts w:hint="default" w:ascii="宋体" w:hAnsi="宋体" w:eastAsia="宋体" w:cs="宋体"/>
                      <w:szCs w:val="21"/>
                      <w:highlight w:val="none"/>
                      <w:lang w:val="en-US" w:eastAsia="zh-CN"/>
                    </w:rPr>
                  </w:pPr>
                  <w:r>
                    <w:rPr>
                      <w:rFonts w:hint="eastAsia" w:ascii="宋体" w:hAnsi="宋体" w:eastAsia="宋体" w:cs="宋体"/>
                      <w:szCs w:val="21"/>
                      <w:highlight w:val="none"/>
                      <w:lang w:val="en-US" w:eastAsia="zh-CN"/>
                    </w:rPr>
                    <w:t>序号</w:t>
                  </w:r>
                </w:p>
              </w:tc>
              <w:tc>
                <w:tcPr>
                  <w:tcW w:w="1129" w:type="dxa"/>
                  <w:tcBorders>
                    <w:top w:val="single" w:color="000000" w:sz="4" w:space="0"/>
                    <w:left w:val="single" w:color="000000" w:sz="4" w:space="0"/>
                    <w:bottom w:val="single" w:color="000000" w:sz="4" w:space="0"/>
                    <w:right w:val="single" w:color="000000" w:sz="4" w:space="0"/>
                    <w:tl2br w:val="nil"/>
                  </w:tcBorders>
                  <w:noWrap w:val="0"/>
                  <w:tcMar>
                    <w:top w:w="60" w:type="dxa"/>
                    <w:left w:w="120" w:type="dxa"/>
                    <w:bottom w:w="30" w:type="dxa"/>
                    <w:right w:w="120" w:type="dxa"/>
                  </w:tcMar>
                  <w:vAlign w:val="center"/>
                </w:tcPr>
                <w:p w14:paraId="7F5F6202">
                  <w:pPr>
                    <w:spacing w:line="440" w:lineRule="exact"/>
                    <w:jc w:val="center"/>
                    <w:rPr>
                      <w:rFonts w:hint="eastAsia" w:ascii="宋体" w:hAnsi="宋体" w:eastAsia="宋体" w:cs="宋体"/>
                      <w:szCs w:val="21"/>
                      <w:highlight w:val="none"/>
                    </w:rPr>
                  </w:pPr>
                  <w:r>
                    <w:rPr>
                      <w:rFonts w:hint="eastAsia" w:ascii="宋体" w:hAnsi="宋体" w:eastAsia="宋体" w:cs="宋体"/>
                      <w:szCs w:val="21"/>
                      <w:highlight w:val="none"/>
                      <w:lang w:val="en-US" w:eastAsia="zh-CN"/>
                    </w:rPr>
                    <w:t>模块</w:t>
                  </w:r>
                </w:p>
              </w:tc>
              <w:tc>
                <w:tcPr>
                  <w:tcW w:w="1129" w:type="dxa"/>
                  <w:tcBorders>
                    <w:top w:val="single" w:color="000000" w:sz="4" w:space="0"/>
                    <w:left w:val="single" w:color="000000" w:sz="4" w:space="0"/>
                    <w:bottom w:val="single" w:color="000000" w:sz="4" w:space="0"/>
                    <w:right w:val="single" w:color="000000" w:sz="4" w:space="0"/>
                  </w:tcBorders>
                  <w:noWrap w:val="0"/>
                  <w:tcMar>
                    <w:top w:w="60" w:type="dxa"/>
                    <w:left w:w="120" w:type="dxa"/>
                    <w:bottom w:w="30" w:type="dxa"/>
                    <w:right w:w="120" w:type="dxa"/>
                  </w:tcMar>
                  <w:vAlign w:val="center"/>
                </w:tcPr>
                <w:p w14:paraId="17A777AF">
                  <w:pPr>
                    <w:spacing w:line="440" w:lineRule="exact"/>
                    <w:jc w:val="center"/>
                    <w:rPr>
                      <w:rFonts w:hint="eastAsia" w:ascii="宋体" w:hAnsi="宋体" w:eastAsia="宋体" w:cs="宋体"/>
                      <w:szCs w:val="21"/>
                      <w:highlight w:val="none"/>
                    </w:rPr>
                  </w:pPr>
                  <w:r>
                    <w:rPr>
                      <w:rFonts w:hint="eastAsia" w:ascii="宋体" w:hAnsi="宋体" w:eastAsia="宋体" w:cs="宋体"/>
                      <w:szCs w:val="21"/>
                      <w:highlight w:val="none"/>
                    </w:rPr>
                    <w:t>功能</w:t>
                  </w:r>
                </w:p>
              </w:tc>
              <w:tc>
                <w:tcPr>
                  <w:tcW w:w="1617" w:type="dxa"/>
                  <w:tcBorders>
                    <w:top w:val="single" w:color="000000" w:sz="4" w:space="0"/>
                    <w:left w:val="single" w:color="000000" w:sz="4" w:space="0"/>
                    <w:bottom w:val="single" w:color="000000" w:sz="4" w:space="0"/>
                    <w:right w:val="single" w:color="000000" w:sz="4" w:space="0"/>
                  </w:tcBorders>
                  <w:noWrap w:val="0"/>
                  <w:tcMar>
                    <w:top w:w="60" w:type="dxa"/>
                    <w:left w:w="120" w:type="dxa"/>
                    <w:bottom w:w="30" w:type="dxa"/>
                    <w:right w:w="120" w:type="dxa"/>
                  </w:tcMar>
                  <w:vAlign w:val="center"/>
                </w:tcPr>
                <w:p w14:paraId="478D9D84">
                  <w:pPr>
                    <w:spacing w:line="440" w:lineRule="exact"/>
                    <w:jc w:val="center"/>
                    <w:rPr>
                      <w:rFonts w:hint="eastAsia" w:ascii="宋体" w:hAnsi="宋体" w:eastAsia="宋体" w:cs="宋体"/>
                      <w:szCs w:val="21"/>
                      <w:highlight w:val="none"/>
                    </w:rPr>
                  </w:pPr>
                  <w:r>
                    <w:rPr>
                      <w:rFonts w:hint="eastAsia" w:ascii="宋体" w:hAnsi="宋体" w:eastAsia="宋体" w:cs="宋体"/>
                      <w:szCs w:val="21"/>
                      <w:highlight w:val="none"/>
                      <w:lang w:val="en-US" w:eastAsia="zh-CN"/>
                    </w:rPr>
                    <w:t>具体要求</w:t>
                  </w:r>
                </w:p>
              </w:tc>
            </w:tr>
            <w:tr w14:paraId="58E87871">
              <w:tblPrEx>
                <w:tblCellMar>
                  <w:top w:w="0" w:type="dxa"/>
                  <w:left w:w="10" w:type="dxa"/>
                  <w:bottom w:w="0" w:type="dxa"/>
                  <w:right w:w="10" w:type="dxa"/>
                </w:tblCellMar>
              </w:tblPrEx>
              <w:tc>
                <w:tcPr>
                  <w:tcW w:w="1129" w:type="dxa"/>
                  <w:vMerge w:val="restart"/>
                  <w:tcBorders>
                    <w:top w:val="single" w:color="000000" w:sz="4" w:space="0"/>
                    <w:left w:val="single" w:color="000000" w:sz="4" w:space="0"/>
                    <w:right w:val="single" w:color="000000" w:sz="4" w:space="0"/>
                  </w:tcBorders>
                  <w:noWrap w:val="0"/>
                  <w:tcMar>
                    <w:top w:w="60" w:type="dxa"/>
                    <w:left w:w="120" w:type="dxa"/>
                    <w:bottom w:w="30" w:type="dxa"/>
                    <w:right w:w="120" w:type="dxa"/>
                  </w:tcMar>
                  <w:vAlign w:val="center"/>
                </w:tcPr>
                <w:p w14:paraId="0D1819F5">
                  <w:pPr>
                    <w:spacing w:line="440" w:lineRule="exact"/>
                    <w:jc w:val="center"/>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1</w:t>
                  </w:r>
                </w:p>
              </w:tc>
              <w:tc>
                <w:tcPr>
                  <w:tcW w:w="1129" w:type="dxa"/>
                  <w:vMerge w:val="restart"/>
                  <w:tcBorders>
                    <w:top w:val="single" w:color="000000" w:sz="4" w:space="0"/>
                    <w:left w:val="single" w:color="000000" w:sz="4" w:space="0"/>
                    <w:right w:val="single" w:color="000000" w:sz="4" w:space="0"/>
                  </w:tcBorders>
                  <w:noWrap w:val="0"/>
                  <w:tcMar>
                    <w:top w:w="60" w:type="dxa"/>
                    <w:left w:w="120" w:type="dxa"/>
                    <w:bottom w:w="30" w:type="dxa"/>
                    <w:right w:w="120" w:type="dxa"/>
                  </w:tcMar>
                  <w:vAlign w:val="center"/>
                </w:tcPr>
                <w:p w14:paraId="28AB772C">
                  <w:pPr>
                    <w:spacing w:line="440" w:lineRule="exact"/>
                    <w:jc w:val="center"/>
                    <w:rPr>
                      <w:rFonts w:hint="eastAsia" w:ascii="宋体" w:hAnsi="宋体" w:eastAsia="宋体" w:cs="宋体"/>
                      <w:szCs w:val="21"/>
                      <w:highlight w:val="none"/>
                    </w:rPr>
                  </w:pPr>
                  <w:r>
                    <w:rPr>
                      <w:rFonts w:hint="eastAsia" w:ascii="宋体" w:hAnsi="宋体" w:eastAsia="宋体" w:cs="宋体"/>
                      <w:szCs w:val="21"/>
                      <w:highlight w:val="none"/>
                    </w:rPr>
                    <w:t>爬虫引擎</w:t>
                  </w:r>
                </w:p>
              </w:tc>
              <w:tc>
                <w:tcPr>
                  <w:tcW w:w="1129" w:type="dxa"/>
                  <w:tcBorders>
                    <w:top w:val="single" w:color="000000" w:sz="4" w:space="0"/>
                    <w:left w:val="single" w:color="000000" w:sz="4" w:space="0"/>
                    <w:bottom w:val="single" w:color="000000" w:sz="4" w:space="0"/>
                    <w:right w:val="single" w:color="000000" w:sz="4" w:space="0"/>
                  </w:tcBorders>
                  <w:noWrap w:val="0"/>
                  <w:tcMar>
                    <w:top w:w="60" w:type="dxa"/>
                    <w:left w:w="120" w:type="dxa"/>
                    <w:bottom w:w="30" w:type="dxa"/>
                    <w:right w:w="120" w:type="dxa"/>
                  </w:tcMar>
                  <w:vAlign w:val="center"/>
                </w:tcPr>
                <w:p w14:paraId="093469D6">
                  <w:pPr>
                    <w:spacing w:line="440" w:lineRule="exact"/>
                    <w:jc w:val="center"/>
                    <w:rPr>
                      <w:rFonts w:hint="eastAsia" w:ascii="宋体" w:hAnsi="宋体" w:eastAsia="宋体" w:cs="宋体"/>
                      <w:szCs w:val="21"/>
                      <w:highlight w:val="none"/>
                    </w:rPr>
                  </w:pPr>
                  <w:r>
                    <w:rPr>
                      <w:rFonts w:hint="eastAsia" w:ascii="宋体" w:hAnsi="宋体" w:eastAsia="宋体" w:cs="宋体"/>
                      <w:szCs w:val="21"/>
                      <w:highlight w:val="none"/>
                    </w:rPr>
                    <w:t>定时任务调度器</w:t>
                  </w:r>
                </w:p>
              </w:tc>
              <w:tc>
                <w:tcPr>
                  <w:tcW w:w="1617" w:type="dxa"/>
                  <w:tcBorders>
                    <w:top w:val="single" w:color="000000" w:sz="4" w:space="0"/>
                    <w:left w:val="single" w:color="000000" w:sz="4" w:space="0"/>
                    <w:bottom w:val="single" w:color="000000" w:sz="4" w:space="0"/>
                    <w:right w:val="single" w:color="000000" w:sz="4" w:space="0"/>
                  </w:tcBorders>
                  <w:noWrap w:val="0"/>
                  <w:tcMar>
                    <w:top w:w="60" w:type="dxa"/>
                    <w:left w:w="120" w:type="dxa"/>
                    <w:bottom w:w="30" w:type="dxa"/>
                    <w:right w:w="120" w:type="dxa"/>
                  </w:tcMar>
                  <w:vAlign w:val="center"/>
                </w:tcPr>
                <w:p w14:paraId="320DCB11">
                  <w:pPr>
                    <w:spacing w:line="440" w:lineRule="exact"/>
                    <w:jc w:val="center"/>
                    <w:rPr>
                      <w:rFonts w:hint="eastAsia" w:ascii="宋体" w:hAnsi="宋体" w:eastAsia="宋体" w:cs="宋体"/>
                      <w:szCs w:val="21"/>
                      <w:highlight w:val="none"/>
                    </w:rPr>
                  </w:pPr>
                  <w:r>
                    <w:rPr>
                      <w:rFonts w:hint="eastAsia" w:ascii="宋体" w:hAnsi="宋体" w:eastAsia="宋体" w:cs="宋体"/>
                      <w:szCs w:val="21"/>
                      <w:highlight w:val="none"/>
                    </w:rPr>
                    <w:t>根据时区配置触发爬取动作</w:t>
                  </w:r>
                </w:p>
              </w:tc>
            </w:tr>
            <w:tr w14:paraId="4207D496">
              <w:tblPrEx>
                <w:tblCellMar>
                  <w:top w:w="0" w:type="dxa"/>
                  <w:left w:w="10" w:type="dxa"/>
                  <w:bottom w:w="0" w:type="dxa"/>
                  <w:right w:w="10" w:type="dxa"/>
                </w:tblCellMar>
              </w:tblPrEx>
              <w:tc>
                <w:tcPr>
                  <w:tcW w:w="1129" w:type="dxa"/>
                  <w:vMerge w:val="continue"/>
                  <w:tcBorders>
                    <w:left w:val="single" w:color="000000" w:sz="4" w:space="0"/>
                    <w:right w:val="single" w:color="000000" w:sz="4" w:space="0"/>
                  </w:tcBorders>
                  <w:noWrap w:val="0"/>
                  <w:tcMar>
                    <w:top w:w="60" w:type="dxa"/>
                    <w:left w:w="120" w:type="dxa"/>
                    <w:bottom w:w="30" w:type="dxa"/>
                    <w:right w:w="120" w:type="dxa"/>
                  </w:tcMar>
                  <w:vAlign w:val="center"/>
                </w:tcPr>
                <w:p w14:paraId="165E746D">
                  <w:pPr>
                    <w:spacing w:line="440" w:lineRule="exact"/>
                    <w:jc w:val="center"/>
                    <w:rPr>
                      <w:rFonts w:hint="eastAsia" w:ascii="宋体" w:hAnsi="宋体" w:eastAsia="宋体" w:cs="宋体"/>
                      <w:szCs w:val="21"/>
                      <w:highlight w:val="none"/>
                    </w:rPr>
                  </w:pPr>
                </w:p>
              </w:tc>
              <w:tc>
                <w:tcPr>
                  <w:tcW w:w="1129" w:type="dxa"/>
                  <w:vMerge w:val="continue"/>
                  <w:tcBorders>
                    <w:left w:val="single" w:color="000000" w:sz="4" w:space="0"/>
                    <w:right w:val="single" w:color="000000" w:sz="4" w:space="0"/>
                  </w:tcBorders>
                  <w:noWrap w:val="0"/>
                  <w:tcMar>
                    <w:top w:w="60" w:type="dxa"/>
                    <w:left w:w="120" w:type="dxa"/>
                    <w:bottom w:w="30" w:type="dxa"/>
                    <w:right w:w="120" w:type="dxa"/>
                  </w:tcMar>
                  <w:vAlign w:val="center"/>
                </w:tcPr>
                <w:p w14:paraId="2B62617D">
                  <w:pPr>
                    <w:spacing w:line="440" w:lineRule="exact"/>
                    <w:jc w:val="center"/>
                    <w:rPr>
                      <w:rFonts w:hint="eastAsia" w:ascii="宋体" w:hAnsi="宋体" w:eastAsia="宋体" w:cs="宋体"/>
                      <w:szCs w:val="21"/>
                      <w:highlight w:val="none"/>
                    </w:rPr>
                  </w:pPr>
                </w:p>
              </w:tc>
              <w:tc>
                <w:tcPr>
                  <w:tcW w:w="1129" w:type="dxa"/>
                  <w:tcBorders>
                    <w:top w:val="single" w:color="000000" w:sz="4" w:space="0"/>
                    <w:left w:val="single" w:color="000000" w:sz="4" w:space="0"/>
                    <w:bottom w:val="single" w:color="000000" w:sz="4" w:space="0"/>
                    <w:right w:val="single" w:color="000000" w:sz="4" w:space="0"/>
                  </w:tcBorders>
                  <w:noWrap w:val="0"/>
                  <w:tcMar>
                    <w:top w:w="60" w:type="dxa"/>
                    <w:left w:w="120" w:type="dxa"/>
                    <w:bottom w:w="30" w:type="dxa"/>
                    <w:right w:w="120" w:type="dxa"/>
                  </w:tcMar>
                  <w:vAlign w:val="center"/>
                </w:tcPr>
                <w:p w14:paraId="639F94CB">
                  <w:pPr>
                    <w:spacing w:line="440" w:lineRule="exact"/>
                    <w:jc w:val="center"/>
                    <w:rPr>
                      <w:rFonts w:hint="eastAsia" w:ascii="宋体" w:hAnsi="宋体" w:eastAsia="宋体" w:cs="宋体"/>
                      <w:szCs w:val="21"/>
                      <w:highlight w:val="none"/>
                    </w:rPr>
                  </w:pPr>
                  <w:r>
                    <w:rPr>
                      <w:rFonts w:hint="eastAsia" w:ascii="宋体" w:hAnsi="宋体" w:eastAsia="宋体" w:cs="宋体"/>
                      <w:szCs w:val="21"/>
                      <w:highlight w:val="none"/>
                    </w:rPr>
                    <w:t>分布式采集器</w:t>
                  </w:r>
                </w:p>
              </w:tc>
              <w:tc>
                <w:tcPr>
                  <w:tcW w:w="1617" w:type="dxa"/>
                  <w:tcBorders>
                    <w:top w:val="single" w:color="000000" w:sz="4" w:space="0"/>
                    <w:left w:val="single" w:color="000000" w:sz="4" w:space="0"/>
                    <w:bottom w:val="single" w:color="000000" w:sz="4" w:space="0"/>
                    <w:right w:val="single" w:color="000000" w:sz="4" w:space="0"/>
                  </w:tcBorders>
                  <w:noWrap w:val="0"/>
                  <w:tcMar>
                    <w:top w:w="60" w:type="dxa"/>
                    <w:left w:w="120" w:type="dxa"/>
                    <w:bottom w:w="30" w:type="dxa"/>
                    <w:right w:w="120" w:type="dxa"/>
                  </w:tcMar>
                  <w:vAlign w:val="center"/>
                </w:tcPr>
                <w:p w14:paraId="124FC5B4">
                  <w:pPr>
                    <w:spacing w:line="440" w:lineRule="exact"/>
                    <w:jc w:val="center"/>
                    <w:rPr>
                      <w:rFonts w:hint="eastAsia" w:ascii="宋体" w:hAnsi="宋体" w:eastAsia="宋体" w:cs="宋体"/>
                      <w:szCs w:val="21"/>
                      <w:highlight w:val="none"/>
                    </w:rPr>
                  </w:pPr>
                  <w:r>
                    <w:rPr>
                      <w:rFonts w:hint="eastAsia" w:ascii="宋体" w:hAnsi="宋体" w:eastAsia="宋体" w:cs="宋体"/>
                      <w:szCs w:val="21"/>
                      <w:highlight w:val="none"/>
                    </w:rPr>
                    <w:t>访问目标 URL(100+站点)获取 HTML 源码</w:t>
                  </w:r>
                </w:p>
              </w:tc>
            </w:tr>
            <w:tr w14:paraId="6E60DE55">
              <w:tblPrEx>
                <w:tblCellMar>
                  <w:top w:w="0" w:type="dxa"/>
                  <w:left w:w="10" w:type="dxa"/>
                  <w:bottom w:w="0" w:type="dxa"/>
                  <w:right w:w="10" w:type="dxa"/>
                </w:tblCellMar>
              </w:tblPrEx>
              <w:tc>
                <w:tcPr>
                  <w:tcW w:w="1129" w:type="dxa"/>
                  <w:vMerge w:val="continue"/>
                  <w:tcBorders>
                    <w:left w:val="single" w:color="000000" w:sz="4" w:space="0"/>
                    <w:right w:val="single" w:color="000000" w:sz="4" w:space="0"/>
                  </w:tcBorders>
                  <w:noWrap w:val="0"/>
                  <w:tcMar>
                    <w:top w:w="60" w:type="dxa"/>
                    <w:left w:w="120" w:type="dxa"/>
                    <w:bottom w:w="30" w:type="dxa"/>
                    <w:right w:w="120" w:type="dxa"/>
                  </w:tcMar>
                  <w:vAlign w:val="center"/>
                </w:tcPr>
                <w:p w14:paraId="209D1284">
                  <w:pPr>
                    <w:spacing w:line="440" w:lineRule="exact"/>
                    <w:jc w:val="center"/>
                    <w:rPr>
                      <w:rFonts w:hint="eastAsia" w:ascii="宋体" w:hAnsi="宋体" w:eastAsia="宋体" w:cs="宋体"/>
                      <w:szCs w:val="21"/>
                      <w:highlight w:val="none"/>
                    </w:rPr>
                  </w:pPr>
                </w:p>
              </w:tc>
              <w:tc>
                <w:tcPr>
                  <w:tcW w:w="1129" w:type="dxa"/>
                  <w:vMerge w:val="continue"/>
                  <w:tcBorders>
                    <w:left w:val="single" w:color="000000" w:sz="4" w:space="0"/>
                    <w:right w:val="single" w:color="000000" w:sz="4" w:space="0"/>
                  </w:tcBorders>
                  <w:noWrap w:val="0"/>
                  <w:tcMar>
                    <w:top w:w="60" w:type="dxa"/>
                    <w:left w:w="120" w:type="dxa"/>
                    <w:bottom w:w="30" w:type="dxa"/>
                    <w:right w:w="120" w:type="dxa"/>
                  </w:tcMar>
                  <w:vAlign w:val="center"/>
                </w:tcPr>
                <w:p w14:paraId="68443FC1">
                  <w:pPr>
                    <w:spacing w:line="440" w:lineRule="exact"/>
                    <w:jc w:val="center"/>
                    <w:rPr>
                      <w:rFonts w:hint="eastAsia" w:ascii="宋体" w:hAnsi="宋体" w:eastAsia="宋体" w:cs="宋体"/>
                      <w:szCs w:val="21"/>
                      <w:highlight w:val="none"/>
                    </w:rPr>
                  </w:pPr>
                </w:p>
              </w:tc>
              <w:tc>
                <w:tcPr>
                  <w:tcW w:w="1129" w:type="dxa"/>
                  <w:tcBorders>
                    <w:top w:val="single" w:color="000000" w:sz="4" w:space="0"/>
                    <w:left w:val="single" w:color="000000" w:sz="4" w:space="0"/>
                    <w:bottom w:val="single" w:color="000000" w:sz="4" w:space="0"/>
                    <w:right w:val="single" w:color="000000" w:sz="4" w:space="0"/>
                  </w:tcBorders>
                  <w:noWrap w:val="0"/>
                  <w:tcMar>
                    <w:top w:w="60" w:type="dxa"/>
                    <w:left w:w="120" w:type="dxa"/>
                    <w:bottom w:w="30" w:type="dxa"/>
                    <w:right w:w="120" w:type="dxa"/>
                  </w:tcMar>
                  <w:vAlign w:val="center"/>
                </w:tcPr>
                <w:p w14:paraId="0F44EEC3">
                  <w:pPr>
                    <w:spacing w:line="440" w:lineRule="exact"/>
                    <w:jc w:val="center"/>
                    <w:rPr>
                      <w:rFonts w:hint="eastAsia" w:ascii="宋体" w:hAnsi="宋体" w:eastAsia="宋体" w:cs="宋体"/>
                      <w:szCs w:val="21"/>
                      <w:highlight w:val="none"/>
                    </w:rPr>
                  </w:pPr>
                  <w:r>
                    <w:rPr>
                      <w:rFonts w:hint="eastAsia" w:ascii="宋体" w:hAnsi="宋体" w:eastAsia="宋体" w:cs="宋体"/>
                      <w:szCs w:val="21"/>
                      <w:highlight w:val="none"/>
                    </w:rPr>
                    <w:t>防封控代理中间件</w:t>
                  </w:r>
                </w:p>
              </w:tc>
              <w:tc>
                <w:tcPr>
                  <w:tcW w:w="1617" w:type="dxa"/>
                  <w:tcBorders>
                    <w:top w:val="single" w:color="000000" w:sz="4" w:space="0"/>
                    <w:left w:val="single" w:color="000000" w:sz="4" w:space="0"/>
                    <w:bottom w:val="single" w:color="000000" w:sz="4" w:space="0"/>
                    <w:right w:val="single" w:color="000000" w:sz="4" w:space="0"/>
                  </w:tcBorders>
                  <w:noWrap w:val="0"/>
                  <w:tcMar>
                    <w:top w:w="60" w:type="dxa"/>
                    <w:left w:w="120" w:type="dxa"/>
                    <w:bottom w:w="30" w:type="dxa"/>
                    <w:right w:w="120" w:type="dxa"/>
                  </w:tcMar>
                  <w:vAlign w:val="center"/>
                </w:tcPr>
                <w:p w14:paraId="116823B4">
                  <w:pPr>
                    <w:spacing w:line="440" w:lineRule="exact"/>
                    <w:jc w:val="center"/>
                    <w:rPr>
                      <w:rFonts w:hint="eastAsia" w:ascii="宋体" w:hAnsi="宋体" w:eastAsia="宋体" w:cs="宋体"/>
                      <w:szCs w:val="21"/>
                      <w:highlight w:val="none"/>
                    </w:rPr>
                  </w:pPr>
                  <w:r>
                    <w:rPr>
                      <w:rFonts w:hint="eastAsia" w:ascii="宋体" w:hAnsi="宋体" w:eastAsia="宋体" w:cs="宋体"/>
                      <w:szCs w:val="21"/>
                      <w:highlight w:val="none"/>
                    </w:rPr>
                    <w:t>轮询 IP 代理池以规避反爬策略</w:t>
                  </w:r>
                </w:p>
              </w:tc>
            </w:tr>
            <w:tr w14:paraId="27A34C21">
              <w:tblPrEx>
                <w:tblCellMar>
                  <w:top w:w="0" w:type="dxa"/>
                  <w:left w:w="10" w:type="dxa"/>
                  <w:bottom w:w="0" w:type="dxa"/>
                  <w:right w:w="10" w:type="dxa"/>
                </w:tblCellMar>
              </w:tblPrEx>
              <w:tc>
                <w:tcPr>
                  <w:tcW w:w="1129" w:type="dxa"/>
                  <w:vMerge w:val="continue"/>
                  <w:tcBorders>
                    <w:left w:val="single" w:color="000000" w:sz="4" w:space="0"/>
                    <w:right w:val="single" w:color="000000" w:sz="4" w:space="0"/>
                  </w:tcBorders>
                  <w:noWrap w:val="0"/>
                  <w:tcMar>
                    <w:top w:w="60" w:type="dxa"/>
                    <w:left w:w="120" w:type="dxa"/>
                    <w:bottom w:w="30" w:type="dxa"/>
                    <w:right w:w="120" w:type="dxa"/>
                  </w:tcMar>
                  <w:vAlign w:val="center"/>
                </w:tcPr>
                <w:p w14:paraId="093BA406">
                  <w:pPr>
                    <w:spacing w:line="440" w:lineRule="exact"/>
                    <w:jc w:val="center"/>
                    <w:rPr>
                      <w:rFonts w:hint="eastAsia" w:ascii="宋体" w:hAnsi="宋体" w:eastAsia="宋体" w:cs="宋体"/>
                      <w:szCs w:val="21"/>
                      <w:highlight w:val="none"/>
                    </w:rPr>
                  </w:pPr>
                </w:p>
              </w:tc>
              <w:tc>
                <w:tcPr>
                  <w:tcW w:w="1129" w:type="dxa"/>
                  <w:vMerge w:val="continue"/>
                  <w:tcBorders>
                    <w:left w:val="single" w:color="000000" w:sz="4" w:space="0"/>
                    <w:right w:val="single" w:color="000000" w:sz="4" w:space="0"/>
                  </w:tcBorders>
                  <w:noWrap w:val="0"/>
                  <w:tcMar>
                    <w:top w:w="60" w:type="dxa"/>
                    <w:left w:w="120" w:type="dxa"/>
                    <w:bottom w:w="30" w:type="dxa"/>
                    <w:right w:w="120" w:type="dxa"/>
                  </w:tcMar>
                  <w:vAlign w:val="center"/>
                </w:tcPr>
                <w:p w14:paraId="05E27571">
                  <w:pPr>
                    <w:spacing w:line="440" w:lineRule="exact"/>
                    <w:jc w:val="center"/>
                    <w:rPr>
                      <w:rFonts w:hint="eastAsia" w:ascii="宋体" w:hAnsi="宋体" w:eastAsia="宋体" w:cs="宋体"/>
                      <w:szCs w:val="21"/>
                      <w:highlight w:val="none"/>
                    </w:rPr>
                  </w:pPr>
                </w:p>
              </w:tc>
              <w:tc>
                <w:tcPr>
                  <w:tcW w:w="1129" w:type="dxa"/>
                  <w:tcBorders>
                    <w:top w:val="single" w:color="000000" w:sz="4" w:space="0"/>
                    <w:left w:val="single" w:color="000000" w:sz="4" w:space="0"/>
                    <w:bottom w:val="single" w:color="000000" w:sz="4" w:space="0"/>
                    <w:right w:val="single" w:color="000000" w:sz="4" w:space="0"/>
                  </w:tcBorders>
                  <w:noWrap w:val="0"/>
                  <w:tcMar>
                    <w:top w:w="60" w:type="dxa"/>
                    <w:left w:w="120" w:type="dxa"/>
                    <w:bottom w:w="30" w:type="dxa"/>
                    <w:right w:w="120" w:type="dxa"/>
                  </w:tcMar>
                  <w:vAlign w:val="center"/>
                </w:tcPr>
                <w:p w14:paraId="19FAF4A5">
                  <w:pPr>
                    <w:spacing w:line="440" w:lineRule="exact"/>
                    <w:jc w:val="center"/>
                    <w:rPr>
                      <w:rFonts w:hint="eastAsia" w:ascii="宋体" w:hAnsi="宋体" w:eastAsia="宋体" w:cs="宋体"/>
                      <w:szCs w:val="21"/>
                      <w:highlight w:val="none"/>
                    </w:rPr>
                  </w:pPr>
                  <w:r>
                    <w:rPr>
                      <w:rFonts w:hint="eastAsia" w:ascii="宋体" w:hAnsi="宋体" w:eastAsia="宋体" w:cs="宋体"/>
                      <w:szCs w:val="21"/>
                      <w:highlight w:val="none"/>
                    </w:rPr>
                    <w:t>智能清洗模块</w:t>
                  </w:r>
                </w:p>
              </w:tc>
              <w:tc>
                <w:tcPr>
                  <w:tcW w:w="1617" w:type="dxa"/>
                  <w:tcBorders>
                    <w:top w:val="single" w:color="000000" w:sz="4" w:space="0"/>
                    <w:left w:val="single" w:color="000000" w:sz="4" w:space="0"/>
                    <w:bottom w:val="single" w:color="000000" w:sz="4" w:space="0"/>
                    <w:right w:val="single" w:color="000000" w:sz="4" w:space="0"/>
                  </w:tcBorders>
                  <w:noWrap w:val="0"/>
                  <w:tcMar>
                    <w:top w:w="60" w:type="dxa"/>
                    <w:left w:w="120" w:type="dxa"/>
                    <w:bottom w:w="30" w:type="dxa"/>
                    <w:right w:w="120" w:type="dxa"/>
                  </w:tcMar>
                  <w:vAlign w:val="center"/>
                </w:tcPr>
                <w:p w14:paraId="05098CB2">
                  <w:pPr>
                    <w:spacing w:line="440" w:lineRule="exact"/>
                    <w:jc w:val="center"/>
                    <w:rPr>
                      <w:rFonts w:hint="eastAsia" w:ascii="宋体" w:hAnsi="宋体" w:eastAsia="宋体" w:cs="宋体"/>
                      <w:szCs w:val="21"/>
                      <w:highlight w:val="none"/>
                    </w:rPr>
                  </w:pPr>
                  <w:r>
                    <w:rPr>
                      <w:rFonts w:hint="eastAsia" w:ascii="宋体" w:hAnsi="宋体" w:eastAsia="宋体" w:cs="宋体"/>
                      <w:szCs w:val="21"/>
                      <w:highlight w:val="none"/>
                    </w:rPr>
                    <w:t>去除广告、导航，提取正文与发布时间</w:t>
                  </w:r>
                </w:p>
              </w:tc>
            </w:tr>
            <w:tr w14:paraId="0A481C93">
              <w:tblPrEx>
                <w:tblCellMar>
                  <w:top w:w="0" w:type="dxa"/>
                  <w:left w:w="10" w:type="dxa"/>
                  <w:bottom w:w="0" w:type="dxa"/>
                  <w:right w:w="10" w:type="dxa"/>
                </w:tblCellMar>
              </w:tblPrEx>
              <w:tc>
                <w:tcPr>
                  <w:tcW w:w="1129" w:type="dxa"/>
                  <w:vMerge w:val="continue"/>
                  <w:tcBorders>
                    <w:left w:val="single" w:color="000000" w:sz="4" w:space="0"/>
                    <w:bottom w:val="single" w:color="000000" w:sz="4" w:space="0"/>
                    <w:right w:val="single" w:color="000000" w:sz="4" w:space="0"/>
                  </w:tcBorders>
                  <w:noWrap w:val="0"/>
                  <w:tcMar>
                    <w:top w:w="60" w:type="dxa"/>
                    <w:left w:w="120" w:type="dxa"/>
                    <w:bottom w:w="30" w:type="dxa"/>
                    <w:right w:w="120" w:type="dxa"/>
                  </w:tcMar>
                  <w:vAlign w:val="center"/>
                </w:tcPr>
                <w:p w14:paraId="6C1C5F0A">
                  <w:pPr>
                    <w:spacing w:line="440" w:lineRule="exact"/>
                    <w:jc w:val="center"/>
                    <w:rPr>
                      <w:rFonts w:hint="eastAsia" w:ascii="宋体" w:hAnsi="宋体" w:eastAsia="宋体" w:cs="宋体"/>
                      <w:szCs w:val="21"/>
                      <w:highlight w:val="none"/>
                    </w:rPr>
                  </w:pPr>
                </w:p>
              </w:tc>
              <w:tc>
                <w:tcPr>
                  <w:tcW w:w="1129" w:type="dxa"/>
                  <w:vMerge w:val="continue"/>
                  <w:tcBorders>
                    <w:left w:val="single" w:color="000000" w:sz="4" w:space="0"/>
                    <w:bottom w:val="single" w:color="000000" w:sz="4" w:space="0"/>
                    <w:right w:val="single" w:color="000000" w:sz="4" w:space="0"/>
                  </w:tcBorders>
                  <w:noWrap w:val="0"/>
                  <w:tcMar>
                    <w:top w:w="60" w:type="dxa"/>
                    <w:left w:w="120" w:type="dxa"/>
                    <w:bottom w:w="30" w:type="dxa"/>
                    <w:right w:w="120" w:type="dxa"/>
                  </w:tcMar>
                  <w:vAlign w:val="center"/>
                </w:tcPr>
                <w:p w14:paraId="6763D359">
                  <w:pPr>
                    <w:spacing w:line="440" w:lineRule="exact"/>
                    <w:jc w:val="center"/>
                    <w:rPr>
                      <w:rFonts w:hint="eastAsia" w:ascii="宋体" w:hAnsi="宋体" w:eastAsia="宋体" w:cs="宋体"/>
                      <w:szCs w:val="21"/>
                      <w:highlight w:val="none"/>
                    </w:rPr>
                  </w:pPr>
                </w:p>
              </w:tc>
              <w:tc>
                <w:tcPr>
                  <w:tcW w:w="1129" w:type="dxa"/>
                  <w:tcBorders>
                    <w:top w:val="single" w:color="000000" w:sz="4" w:space="0"/>
                    <w:left w:val="single" w:color="000000" w:sz="4" w:space="0"/>
                    <w:bottom w:val="single" w:color="000000" w:sz="4" w:space="0"/>
                    <w:right w:val="single" w:color="000000" w:sz="4" w:space="0"/>
                  </w:tcBorders>
                  <w:noWrap w:val="0"/>
                  <w:tcMar>
                    <w:top w:w="60" w:type="dxa"/>
                    <w:left w:w="120" w:type="dxa"/>
                    <w:bottom w:w="30" w:type="dxa"/>
                    <w:right w:w="120" w:type="dxa"/>
                  </w:tcMar>
                  <w:vAlign w:val="center"/>
                </w:tcPr>
                <w:p w14:paraId="09DC0978">
                  <w:pPr>
                    <w:spacing w:line="440" w:lineRule="exact"/>
                    <w:jc w:val="center"/>
                    <w:rPr>
                      <w:rFonts w:hint="eastAsia" w:ascii="宋体" w:hAnsi="宋体" w:eastAsia="宋体" w:cs="宋体"/>
                      <w:szCs w:val="21"/>
                      <w:highlight w:val="none"/>
                    </w:rPr>
                  </w:pPr>
                  <w:r>
                    <w:rPr>
                      <w:rFonts w:hint="eastAsia" w:ascii="宋体" w:hAnsi="宋体" w:eastAsia="宋体" w:cs="宋体"/>
                      <w:szCs w:val="21"/>
                      <w:highlight w:val="none"/>
                    </w:rPr>
                    <w:t>非结构化解析器</w:t>
                  </w:r>
                </w:p>
              </w:tc>
              <w:tc>
                <w:tcPr>
                  <w:tcW w:w="1617" w:type="dxa"/>
                  <w:tcBorders>
                    <w:top w:val="single" w:color="000000" w:sz="4" w:space="0"/>
                    <w:left w:val="single" w:color="000000" w:sz="4" w:space="0"/>
                    <w:bottom w:val="single" w:color="000000" w:sz="4" w:space="0"/>
                    <w:right w:val="single" w:color="000000" w:sz="4" w:space="0"/>
                  </w:tcBorders>
                  <w:noWrap w:val="0"/>
                  <w:tcMar>
                    <w:top w:w="60" w:type="dxa"/>
                    <w:left w:w="120" w:type="dxa"/>
                    <w:bottom w:w="30" w:type="dxa"/>
                    <w:right w:w="120" w:type="dxa"/>
                  </w:tcMar>
                  <w:vAlign w:val="center"/>
                </w:tcPr>
                <w:p w14:paraId="0617CAF9">
                  <w:pPr>
                    <w:spacing w:line="440" w:lineRule="exact"/>
                    <w:jc w:val="center"/>
                    <w:rPr>
                      <w:rFonts w:hint="eastAsia" w:ascii="宋体" w:hAnsi="宋体" w:eastAsia="宋体" w:cs="宋体"/>
                      <w:szCs w:val="21"/>
                      <w:highlight w:val="none"/>
                    </w:rPr>
                  </w:pPr>
                  <w:r>
                    <w:rPr>
                      <w:rFonts w:hint="eastAsia" w:ascii="宋体" w:hAnsi="宋体" w:eastAsia="宋体" w:cs="宋体"/>
                      <w:szCs w:val="21"/>
                      <w:highlight w:val="none"/>
                    </w:rPr>
                    <w:t>对附件文档进行 OCR 识别与元数据提取</w:t>
                  </w:r>
                </w:p>
              </w:tc>
            </w:tr>
            <w:tr w14:paraId="2C9763D7">
              <w:tblPrEx>
                <w:tblCellMar>
                  <w:top w:w="0" w:type="dxa"/>
                  <w:left w:w="10" w:type="dxa"/>
                  <w:bottom w:w="0" w:type="dxa"/>
                  <w:right w:w="10" w:type="dxa"/>
                </w:tblCellMar>
              </w:tblPrEx>
              <w:tc>
                <w:tcPr>
                  <w:tcW w:w="1129" w:type="dxa"/>
                  <w:vMerge w:val="restart"/>
                  <w:tcBorders>
                    <w:top w:val="single" w:color="000000" w:sz="4" w:space="0"/>
                    <w:left w:val="single" w:color="000000" w:sz="4" w:space="0"/>
                    <w:right w:val="single" w:color="000000" w:sz="4" w:space="0"/>
                  </w:tcBorders>
                  <w:noWrap w:val="0"/>
                  <w:tcMar>
                    <w:top w:w="60" w:type="dxa"/>
                    <w:left w:w="120" w:type="dxa"/>
                    <w:bottom w:w="30" w:type="dxa"/>
                    <w:right w:w="120" w:type="dxa"/>
                  </w:tcMar>
                  <w:vAlign w:val="center"/>
                </w:tcPr>
                <w:p w14:paraId="1B6468FF">
                  <w:pPr>
                    <w:spacing w:line="440" w:lineRule="exact"/>
                    <w:jc w:val="center"/>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2</w:t>
                  </w:r>
                </w:p>
              </w:tc>
              <w:tc>
                <w:tcPr>
                  <w:tcW w:w="1129" w:type="dxa"/>
                  <w:vMerge w:val="restart"/>
                  <w:tcBorders>
                    <w:top w:val="single" w:color="000000" w:sz="4" w:space="0"/>
                    <w:left w:val="single" w:color="000000" w:sz="4" w:space="0"/>
                    <w:right w:val="single" w:color="000000" w:sz="4" w:space="0"/>
                  </w:tcBorders>
                  <w:noWrap w:val="0"/>
                  <w:tcMar>
                    <w:top w:w="60" w:type="dxa"/>
                    <w:left w:w="120" w:type="dxa"/>
                    <w:bottom w:w="30" w:type="dxa"/>
                    <w:right w:w="120" w:type="dxa"/>
                  </w:tcMar>
                  <w:vAlign w:val="center"/>
                </w:tcPr>
                <w:p w14:paraId="427C7CF4">
                  <w:pPr>
                    <w:spacing w:line="440" w:lineRule="exact"/>
                    <w:jc w:val="center"/>
                    <w:rPr>
                      <w:rFonts w:hint="eastAsia" w:ascii="宋体" w:hAnsi="宋体" w:eastAsia="宋体" w:cs="宋体"/>
                      <w:szCs w:val="21"/>
                      <w:highlight w:val="none"/>
                    </w:rPr>
                  </w:pPr>
                  <w:r>
                    <w:rPr>
                      <w:rFonts w:hint="eastAsia" w:ascii="宋体" w:hAnsi="宋体" w:eastAsia="宋体" w:cs="宋体"/>
                      <w:szCs w:val="21"/>
                      <w:highlight w:val="none"/>
                    </w:rPr>
                    <w:t>数据中台</w:t>
                  </w:r>
                </w:p>
              </w:tc>
              <w:tc>
                <w:tcPr>
                  <w:tcW w:w="1129" w:type="dxa"/>
                  <w:tcBorders>
                    <w:top w:val="single" w:color="000000" w:sz="4" w:space="0"/>
                    <w:left w:val="single" w:color="000000" w:sz="4" w:space="0"/>
                    <w:bottom w:val="single" w:color="000000" w:sz="4" w:space="0"/>
                    <w:right w:val="single" w:color="000000" w:sz="4" w:space="0"/>
                  </w:tcBorders>
                  <w:noWrap w:val="0"/>
                  <w:tcMar>
                    <w:top w:w="60" w:type="dxa"/>
                    <w:left w:w="120" w:type="dxa"/>
                    <w:bottom w:w="30" w:type="dxa"/>
                    <w:right w:w="120" w:type="dxa"/>
                  </w:tcMar>
                  <w:vAlign w:val="center"/>
                </w:tcPr>
                <w:p w14:paraId="498B9844">
                  <w:pPr>
                    <w:spacing w:line="440" w:lineRule="exact"/>
                    <w:jc w:val="center"/>
                    <w:rPr>
                      <w:rFonts w:hint="eastAsia" w:ascii="宋体" w:hAnsi="宋体" w:eastAsia="宋体" w:cs="宋体"/>
                      <w:szCs w:val="21"/>
                      <w:highlight w:val="none"/>
                    </w:rPr>
                  </w:pPr>
                  <w:r>
                    <w:rPr>
                      <w:rFonts w:hint="eastAsia" w:ascii="宋体" w:hAnsi="宋体" w:eastAsia="宋体" w:cs="宋体"/>
                      <w:szCs w:val="21"/>
                      <w:highlight w:val="none"/>
                    </w:rPr>
                    <w:t>文本向量化处理</w:t>
                  </w:r>
                </w:p>
              </w:tc>
              <w:tc>
                <w:tcPr>
                  <w:tcW w:w="1617" w:type="dxa"/>
                  <w:tcBorders>
                    <w:top w:val="single" w:color="000000" w:sz="4" w:space="0"/>
                    <w:left w:val="single" w:color="000000" w:sz="4" w:space="0"/>
                    <w:bottom w:val="single" w:color="000000" w:sz="4" w:space="0"/>
                    <w:right w:val="single" w:color="000000" w:sz="4" w:space="0"/>
                  </w:tcBorders>
                  <w:noWrap w:val="0"/>
                  <w:tcMar>
                    <w:top w:w="60" w:type="dxa"/>
                    <w:left w:w="120" w:type="dxa"/>
                    <w:bottom w:w="30" w:type="dxa"/>
                    <w:right w:w="120" w:type="dxa"/>
                  </w:tcMar>
                  <w:vAlign w:val="center"/>
                </w:tcPr>
                <w:p w14:paraId="518A8F28">
                  <w:pPr>
                    <w:spacing w:line="440" w:lineRule="exact"/>
                    <w:jc w:val="center"/>
                    <w:rPr>
                      <w:rFonts w:hint="eastAsia" w:ascii="宋体" w:hAnsi="宋体" w:eastAsia="宋体" w:cs="宋体"/>
                      <w:szCs w:val="21"/>
                      <w:highlight w:val="none"/>
                    </w:rPr>
                  </w:pPr>
                  <w:r>
                    <w:rPr>
                      <w:rFonts w:hint="eastAsia" w:ascii="宋体" w:hAnsi="宋体" w:eastAsia="宋体" w:cs="宋体"/>
                      <w:szCs w:val="21"/>
                      <w:highlight w:val="none"/>
                    </w:rPr>
                    <w:t>调用 Embedding 接口将文本转为向量</w:t>
                  </w:r>
                </w:p>
              </w:tc>
            </w:tr>
            <w:tr w14:paraId="6C0F48F2">
              <w:tblPrEx>
                <w:tblCellMar>
                  <w:top w:w="0" w:type="dxa"/>
                  <w:left w:w="10" w:type="dxa"/>
                  <w:bottom w:w="0" w:type="dxa"/>
                  <w:right w:w="10" w:type="dxa"/>
                </w:tblCellMar>
              </w:tblPrEx>
              <w:tc>
                <w:tcPr>
                  <w:tcW w:w="1129" w:type="dxa"/>
                  <w:vMerge w:val="continue"/>
                  <w:tcBorders>
                    <w:left w:val="single" w:color="000000" w:sz="4" w:space="0"/>
                    <w:right w:val="single" w:color="000000" w:sz="4" w:space="0"/>
                  </w:tcBorders>
                  <w:noWrap w:val="0"/>
                  <w:tcMar>
                    <w:top w:w="60" w:type="dxa"/>
                    <w:left w:w="120" w:type="dxa"/>
                    <w:bottom w:w="30" w:type="dxa"/>
                    <w:right w:w="120" w:type="dxa"/>
                  </w:tcMar>
                  <w:vAlign w:val="center"/>
                </w:tcPr>
                <w:p w14:paraId="4848292C">
                  <w:pPr>
                    <w:spacing w:line="440" w:lineRule="exact"/>
                    <w:jc w:val="center"/>
                    <w:rPr>
                      <w:rFonts w:hint="eastAsia" w:ascii="宋体" w:hAnsi="宋体" w:eastAsia="宋体" w:cs="宋体"/>
                      <w:szCs w:val="21"/>
                      <w:highlight w:val="none"/>
                    </w:rPr>
                  </w:pPr>
                </w:p>
              </w:tc>
              <w:tc>
                <w:tcPr>
                  <w:tcW w:w="1129" w:type="dxa"/>
                  <w:vMerge w:val="continue"/>
                  <w:tcBorders>
                    <w:left w:val="single" w:color="000000" w:sz="4" w:space="0"/>
                    <w:right w:val="single" w:color="000000" w:sz="4" w:space="0"/>
                  </w:tcBorders>
                  <w:noWrap w:val="0"/>
                  <w:tcMar>
                    <w:top w:w="60" w:type="dxa"/>
                    <w:left w:w="120" w:type="dxa"/>
                    <w:bottom w:w="30" w:type="dxa"/>
                    <w:right w:w="120" w:type="dxa"/>
                  </w:tcMar>
                  <w:vAlign w:val="center"/>
                </w:tcPr>
                <w:p w14:paraId="1D50197D">
                  <w:pPr>
                    <w:spacing w:line="440" w:lineRule="exact"/>
                    <w:jc w:val="center"/>
                    <w:rPr>
                      <w:rFonts w:hint="eastAsia" w:ascii="宋体" w:hAnsi="宋体" w:eastAsia="宋体" w:cs="宋体"/>
                      <w:szCs w:val="21"/>
                      <w:highlight w:val="none"/>
                    </w:rPr>
                  </w:pPr>
                </w:p>
              </w:tc>
              <w:tc>
                <w:tcPr>
                  <w:tcW w:w="1129" w:type="dxa"/>
                  <w:tcBorders>
                    <w:top w:val="single" w:color="000000" w:sz="4" w:space="0"/>
                    <w:left w:val="single" w:color="000000" w:sz="4" w:space="0"/>
                    <w:bottom w:val="single" w:color="000000" w:sz="4" w:space="0"/>
                    <w:right w:val="single" w:color="000000" w:sz="4" w:space="0"/>
                  </w:tcBorders>
                  <w:noWrap w:val="0"/>
                  <w:tcMar>
                    <w:top w:w="60" w:type="dxa"/>
                    <w:left w:w="120" w:type="dxa"/>
                    <w:bottom w:w="30" w:type="dxa"/>
                    <w:right w:w="120" w:type="dxa"/>
                  </w:tcMar>
                  <w:vAlign w:val="center"/>
                </w:tcPr>
                <w:p w14:paraId="1C1D6B64">
                  <w:pPr>
                    <w:spacing w:line="440" w:lineRule="exact"/>
                    <w:jc w:val="center"/>
                    <w:rPr>
                      <w:rFonts w:hint="eastAsia" w:ascii="宋体" w:hAnsi="宋体" w:eastAsia="宋体" w:cs="宋体"/>
                      <w:szCs w:val="21"/>
                      <w:highlight w:val="none"/>
                    </w:rPr>
                  </w:pPr>
                  <w:r>
                    <w:rPr>
                      <w:rFonts w:hint="eastAsia" w:ascii="宋体" w:hAnsi="宋体" w:eastAsia="宋体" w:cs="宋体"/>
                      <w:szCs w:val="21"/>
                      <w:highlight w:val="none"/>
                    </w:rPr>
                    <w:t>向量/图谱数据存取</w:t>
                  </w:r>
                </w:p>
              </w:tc>
              <w:tc>
                <w:tcPr>
                  <w:tcW w:w="1617" w:type="dxa"/>
                  <w:tcBorders>
                    <w:top w:val="single" w:color="000000" w:sz="4" w:space="0"/>
                    <w:left w:val="single" w:color="000000" w:sz="4" w:space="0"/>
                    <w:bottom w:val="single" w:color="000000" w:sz="4" w:space="0"/>
                    <w:right w:val="single" w:color="000000" w:sz="4" w:space="0"/>
                  </w:tcBorders>
                  <w:noWrap w:val="0"/>
                  <w:tcMar>
                    <w:top w:w="60" w:type="dxa"/>
                    <w:left w:w="120" w:type="dxa"/>
                    <w:bottom w:w="30" w:type="dxa"/>
                    <w:right w:w="120" w:type="dxa"/>
                  </w:tcMar>
                  <w:vAlign w:val="center"/>
                </w:tcPr>
                <w:p w14:paraId="740D598C">
                  <w:pPr>
                    <w:spacing w:line="440" w:lineRule="exact"/>
                    <w:jc w:val="center"/>
                    <w:rPr>
                      <w:rFonts w:hint="eastAsia" w:ascii="宋体" w:hAnsi="宋体" w:eastAsia="宋体" w:cs="宋体"/>
                      <w:szCs w:val="21"/>
                      <w:highlight w:val="none"/>
                    </w:rPr>
                  </w:pPr>
                  <w:r>
                    <w:rPr>
                      <w:rFonts w:hint="eastAsia" w:ascii="宋体" w:hAnsi="宋体" w:eastAsia="宋体" w:cs="宋体"/>
                      <w:szCs w:val="21"/>
                      <w:highlight w:val="none"/>
                    </w:rPr>
                    <w:t>存储向量数据以支持语义检索(RAG)，存储图谱实体关系</w:t>
                  </w:r>
                </w:p>
              </w:tc>
            </w:tr>
            <w:tr w14:paraId="6A21454A">
              <w:tblPrEx>
                <w:tblCellMar>
                  <w:top w:w="0" w:type="dxa"/>
                  <w:left w:w="10" w:type="dxa"/>
                  <w:bottom w:w="0" w:type="dxa"/>
                  <w:right w:w="10" w:type="dxa"/>
                </w:tblCellMar>
              </w:tblPrEx>
              <w:tc>
                <w:tcPr>
                  <w:tcW w:w="1129" w:type="dxa"/>
                  <w:vMerge w:val="continue"/>
                  <w:tcBorders>
                    <w:left w:val="single" w:color="000000" w:sz="4" w:space="0"/>
                    <w:bottom w:val="single" w:color="000000" w:sz="4" w:space="0"/>
                    <w:right w:val="single" w:color="000000" w:sz="4" w:space="0"/>
                  </w:tcBorders>
                  <w:noWrap w:val="0"/>
                  <w:tcMar>
                    <w:top w:w="60" w:type="dxa"/>
                    <w:left w:w="120" w:type="dxa"/>
                    <w:bottom w:w="30" w:type="dxa"/>
                    <w:right w:w="120" w:type="dxa"/>
                  </w:tcMar>
                  <w:vAlign w:val="center"/>
                </w:tcPr>
                <w:p w14:paraId="047B5B72">
                  <w:pPr>
                    <w:spacing w:line="440" w:lineRule="exact"/>
                    <w:jc w:val="center"/>
                    <w:rPr>
                      <w:rFonts w:hint="eastAsia" w:ascii="宋体" w:hAnsi="宋体" w:eastAsia="宋体" w:cs="宋体"/>
                      <w:szCs w:val="21"/>
                      <w:highlight w:val="none"/>
                    </w:rPr>
                  </w:pPr>
                </w:p>
              </w:tc>
              <w:tc>
                <w:tcPr>
                  <w:tcW w:w="1129" w:type="dxa"/>
                  <w:vMerge w:val="continue"/>
                  <w:tcBorders>
                    <w:left w:val="single" w:color="000000" w:sz="4" w:space="0"/>
                    <w:bottom w:val="single" w:color="000000" w:sz="4" w:space="0"/>
                    <w:right w:val="single" w:color="000000" w:sz="4" w:space="0"/>
                  </w:tcBorders>
                  <w:noWrap w:val="0"/>
                  <w:tcMar>
                    <w:top w:w="60" w:type="dxa"/>
                    <w:left w:w="120" w:type="dxa"/>
                    <w:bottom w:w="30" w:type="dxa"/>
                    <w:right w:w="120" w:type="dxa"/>
                  </w:tcMar>
                  <w:vAlign w:val="center"/>
                </w:tcPr>
                <w:p w14:paraId="11FE55C8">
                  <w:pPr>
                    <w:spacing w:line="440" w:lineRule="exact"/>
                    <w:jc w:val="center"/>
                    <w:rPr>
                      <w:rFonts w:hint="eastAsia" w:ascii="宋体" w:hAnsi="宋体" w:eastAsia="宋体" w:cs="宋体"/>
                      <w:szCs w:val="21"/>
                      <w:highlight w:val="none"/>
                    </w:rPr>
                  </w:pPr>
                </w:p>
              </w:tc>
              <w:tc>
                <w:tcPr>
                  <w:tcW w:w="1129" w:type="dxa"/>
                  <w:tcBorders>
                    <w:top w:val="single" w:color="000000" w:sz="4" w:space="0"/>
                    <w:left w:val="single" w:color="000000" w:sz="4" w:space="0"/>
                    <w:bottom w:val="single" w:color="000000" w:sz="4" w:space="0"/>
                    <w:right w:val="single" w:color="000000" w:sz="4" w:space="0"/>
                  </w:tcBorders>
                  <w:noWrap w:val="0"/>
                  <w:tcMar>
                    <w:top w:w="60" w:type="dxa"/>
                    <w:left w:w="120" w:type="dxa"/>
                    <w:bottom w:w="30" w:type="dxa"/>
                    <w:right w:w="120" w:type="dxa"/>
                  </w:tcMar>
                  <w:vAlign w:val="center"/>
                </w:tcPr>
                <w:p w14:paraId="75E09AFD">
                  <w:pPr>
                    <w:spacing w:line="440" w:lineRule="exact"/>
                    <w:jc w:val="center"/>
                    <w:rPr>
                      <w:rFonts w:hint="eastAsia" w:ascii="宋体" w:hAnsi="宋体" w:eastAsia="宋体" w:cs="宋体"/>
                      <w:szCs w:val="21"/>
                      <w:highlight w:val="none"/>
                    </w:rPr>
                  </w:pPr>
                  <w:r>
                    <w:rPr>
                      <w:rFonts w:hint="eastAsia" w:ascii="宋体" w:hAnsi="宋体" w:eastAsia="宋体" w:cs="宋体"/>
                      <w:szCs w:val="21"/>
                      <w:highlight w:val="none"/>
                    </w:rPr>
                    <w:t>原始数据归档</w:t>
                  </w:r>
                </w:p>
              </w:tc>
              <w:tc>
                <w:tcPr>
                  <w:tcW w:w="1617" w:type="dxa"/>
                  <w:tcBorders>
                    <w:top w:val="single" w:color="000000" w:sz="4" w:space="0"/>
                    <w:left w:val="single" w:color="000000" w:sz="4" w:space="0"/>
                    <w:bottom w:val="single" w:color="000000" w:sz="4" w:space="0"/>
                    <w:right w:val="single" w:color="000000" w:sz="4" w:space="0"/>
                  </w:tcBorders>
                  <w:noWrap w:val="0"/>
                  <w:tcMar>
                    <w:top w:w="60" w:type="dxa"/>
                    <w:left w:w="120" w:type="dxa"/>
                    <w:bottom w:w="30" w:type="dxa"/>
                    <w:right w:w="120" w:type="dxa"/>
                  </w:tcMar>
                  <w:vAlign w:val="center"/>
                </w:tcPr>
                <w:p w14:paraId="760EA1BA">
                  <w:pPr>
                    <w:spacing w:line="440" w:lineRule="exact"/>
                    <w:jc w:val="center"/>
                    <w:rPr>
                      <w:rFonts w:hint="eastAsia" w:ascii="宋体" w:hAnsi="宋体" w:eastAsia="宋体" w:cs="宋体"/>
                      <w:szCs w:val="21"/>
                      <w:highlight w:val="none"/>
                    </w:rPr>
                  </w:pPr>
                  <w:r>
                    <w:rPr>
                      <w:rFonts w:hint="eastAsia" w:ascii="宋体" w:hAnsi="宋体" w:eastAsia="宋体" w:cs="宋体"/>
                      <w:szCs w:val="21"/>
                      <w:highlight w:val="none"/>
                    </w:rPr>
                    <w:t>将清洗后的文本存入本地数据库做备份</w:t>
                  </w:r>
                </w:p>
              </w:tc>
            </w:tr>
            <w:tr w14:paraId="3F950D53">
              <w:tblPrEx>
                <w:tblCellMar>
                  <w:top w:w="0" w:type="dxa"/>
                  <w:left w:w="10" w:type="dxa"/>
                  <w:bottom w:w="0" w:type="dxa"/>
                  <w:right w:w="10" w:type="dxa"/>
                </w:tblCellMar>
              </w:tblPrEx>
              <w:tc>
                <w:tcPr>
                  <w:tcW w:w="1129" w:type="dxa"/>
                  <w:vMerge w:val="restart"/>
                  <w:tcBorders>
                    <w:top w:val="single" w:color="000000" w:sz="4" w:space="0"/>
                    <w:left w:val="single" w:color="000000" w:sz="4" w:space="0"/>
                    <w:right w:val="single" w:color="000000" w:sz="4" w:space="0"/>
                  </w:tcBorders>
                  <w:noWrap w:val="0"/>
                  <w:tcMar>
                    <w:top w:w="60" w:type="dxa"/>
                    <w:left w:w="120" w:type="dxa"/>
                    <w:bottom w:w="30" w:type="dxa"/>
                    <w:right w:w="120" w:type="dxa"/>
                  </w:tcMar>
                  <w:vAlign w:val="center"/>
                </w:tcPr>
                <w:p w14:paraId="074D1E22">
                  <w:pPr>
                    <w:spacing w:line="440" w:lineRule="exact"/>
                    <w:jc w:val="center"/>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3</w:t>
                  </w:r>
                </w:p>
              </w:tc>
              <w:tc>
                <w:tcPr>
                  <w:tcW w:w="1129" w:type="dxa"/>
                  <w:vMerge w:val="restart"/>
                  <w:tcBorders>
                    <w:top w:val="single" w:color="000000" w:sz="4" w:space="0"/>
                    <w:left w:val="single" w:color="000000" w:sz="4" w:space="0"/>
                    <w:right w:val="single" w:color="000000" w:sz="4" w:space="0"/>
                  </w:tcBorders>
                  <w:noWrap w:val="0"/>
                  <w:tcMar>
                    <w:top w:w="60" w:type="dxa"/>
                    <w:left w:w="120" w:type="dxa"/>
                    <w:bottom w:w="30" w:type="dxa"/>
                    <w:right w:w="120" w:type="dxa"/>
                  </w:tcMar>
                  <w:vAlign w:val="center"/>
                </w:tcPr>
                <w:p w14:paraId="0821C9AC">
                  <w:pPr>
                    <w:spacing w:line="440" w:lineRule="exact"/>
                    <w:jc w:val="center"/>
                    <w:rPr>
                      <w:rFonts w:hint="eastAsia" w:ascii="宋体" w:hAnsi="宋体" w:eastAsia="宋体" w:cs="宋体"/>
                      <w:szCs w:val="21"/>
                      <w:highlight w:val="none"/>
                    </w:rPr>
                  </w:pPr>
                  <w:r>
                    <w:rPr>
                      <w:rFonts w:hint="eastAsia" w:ascii="宋体" w:hAnsi="宋体" w:eastAsia="宋体" w:cs="宋体"/>
                      <w:szCs w:val="21"/>
                      <w:highlight w:val="none"/>
                    </w:rPr>
                    <w:t>AI 生成</w:t>
                  </w:r>
                </w:p>
              </w:tc>
              <w:tc>
                <w:tcPr>
                  <w:tcW w:w="1129" w:type="dxa"/>
                  <w:tcBorders>
                    <w:top w:val="single" w:color="000000" w:sz="4" w:space="0"/>
                    <w:left w:val="single" w:color="000000" w:sz="4" w:space="0"/>
                    <w:bottom w:val="single" w:color="000000" w:sz="4" w:space="0"/>
                    <w:right w:val="single" w:color="000000" w:sz="4" w:space="0"/>
                  </w:tcBorders>
                  <w:noWrap w:val="0"/>
                  <w:tcMar>
                    <w:top w:w="60" w:type="dxa"/>
                    <w:left w:w="120" w:type="dxa"/>
                    <w:bottom w:w="30" w:type="dxa"/>
                    <w:right w:w="120" w:type="dxa"/>
                  </w:tcMar>
                  <w:vAlign w:val="center"/>
                </w:tcPr>
                <w:p w14:paraId="54D36CC2">
                  <w:pPr>
                    <w:spacing w:line="440" w:lineRule="exact"/>
                    <w:jc w:val="center"/>
                    <w:rPr>
                      <w:rFonts w:hint="eastAsia" w:ascii="宋体" w:hAnsi="宋体" w:eastAsia="宋体" w:cs="宋体"/>
                      <w:szCs w:val="21"/>
                      <w:highlight w:val="none"/>
                    </w:rPr>
                  </w:pPr>
                  <w:r>
                    <w:rPr>
                      <w:rFonts w:hint="eastAsia" w:ascii="宋体" w:hAnsi="宋体" w:eastAsia="宋体" w:cs="宋体"/>
                      <w:szCs w:val="21"/>
                      <w:highlight w:val="none"/>
                    </w:rPr>
                    <w:t>知识库检索模块</w:t>
                  </w:r>
                </w:p>
              </w:tc>
              <w:tc>
                <w:tcPr>
                  <w:tcW w:w="1617" w:type="dxa"/>
                  <w:tcBorders>
                    <w:top w:val="single" w:color="000000" w:sz="4" w:space="0"/>
                    <w:left w:val="single" w:color="000000" w:sz="4" w:space="0"/>
                    <w:bottom w:val="single" w:color="000000" w:sz="4" w:space="0"/>
                    <w:right w:val="single" w:color="000000" w:sz="4" w:space="0"/>
                  </w:tcBorders>
                  <w:noWrap w:val="0"/>
                  <w:tcMar>
                    <w:top w:w="60" w:type="dxa"/>
                    <w:left w:w="120" w:type="dxa"/>
                    <w:bottom w:w="30" w:type="dxa"/>
                    <w:right w:w="120" w:type="dxa"/>
                  </w:tcMar>
                  <w:vAlign w:val="center"/>
                </w:tcPr>
                <w:p w14:paraId="5BA7719D">
                  <w:pPr>
                    <w:spacing w:line="440" w:lineRule="exact"/>
                    <w:jc w:val="center"/>
                    <w:rPr>
                      <w:rFonts w:hint="eastAsia" w:ascii="宋体" w:hAnsi="宋体" w:eastAsia="宋体" w:cs="宋体"/>
                      <w:szCs w:val="21"/>
                      <w:highlight w:val="none"/>
                    </w:rPr>
                  </w:pPr>
                  <w:r>
                    <w:rPr>
                      <w:rFonts w:hint="eastAsia" w:ascii="宋体" w:hAnsi="宋体" w:eastAsia="宋体" w:cs="宋体"/>
                      <w:szCs w:val="21"/>
                      <w:highlight w:val="none"/>
                    </w:rPr>
                    <w:t>根据报告主题检索相关向量切片</w:t>
                  </w:r>
                </w:p>
              </w:tc>
            </w:tr>
            <w:tr w14:paraId="230D1F76">
              <w:tblPrEx>
                <w:tblCellMar>
                  <w:top w:w="0" w:type="dxa"/>
                  <w:left w:w="10" w:type="dxa"/>
                  <w:bottom w:w="0" w:type="dxa"/>
                  <w:right w:w="10" w:type="dxa"/>
                </w:tblCellMar>
              </w:tblPrEx>
              <w:tc>
                <w:tcPr>
                  <w:tcW w:w="1129" w:type="dxa"/>
                  <w:vMerge w:val="continue"/>
                  <w:tcBorders>
                    <w:left w:val="single" w:color="000000" w:sz="4" w:space="0"/>
                    <w:right w:val="single" w:color="000000" w:sz="4" w:space="0"/>
                  </w:tcBorders>
                  <w:noWrap w:val="0"/>
                  <w:tcMar>
                    <w:top w:w="60" w:type="dxa"/>
                    <w:left w:w="120" w:type="dxa"/>
                    <w:bottom w:w="30" w:type="dxa"/>
                    <w:right w:w="120" w:type="dxa"/>
                  </w:tcMar>
                  <w:vAlign w:val="center"/>
                </w:tcPr>
                <w:p w14:paraId="75E00F14">
                  <w:pPr>
                    <w:spacing w:line="440" w:lineRule="exact"/>
                    <w:jc w:val="center"/>
                    <w:rPr>
                      <w:rFonts w:hint="eastAsia" w:ascii="宋体" w:hAnsi="宋体" w:eastAsia="宋体" w:cs="宋体"/>
                      <w:szCs w:val="21"/>
                      <w:highlight w:val="none"/>
                    </w:rPr>
                  </w:pPr>
                </w:p>
              </w:tc>
              <w:tc>
                <w:tcPr>
                  <w:tcW w:w="1129" w:type="dxa"/>
                  <w:vMerge w:val="continue"/>
                  <w:tcBorders>
                    <w:left w:val="single" w:color="000000" w:sz="4" w:space="0"/>
                    <w:right w:val="single" w:color="000000" w:sz="4" w:space="0"/>
                  </w:tcBorders>
                  <w:noWrap w:val="0"/>
                  <w:tcMar>
                    <w:top w:w="60" w:type="dxa"/>
                    <w:left w:w="120" w:type="dxa"/>
                    <w:bottom w:w="30" w:type="dxa"/>
                    <w:right w:w="120" w:type="dxa"/>
                  </w:tcMar>
                  <w:vAlign w:val="center"/>
                </w:tcPr>
                <w:p w14:paraId="5393ABF4">
                  <w:pPr>
                    <w:spacing w:line="440" w:lineRule="exact"/>
                    <w:jc w:val="center"/>
                    <w:rPr>
                      <w:rFonts w:hint="eastAsia" w:ascii="宋体" w:hAnsi="宋体" w:eastAsia="宋体" w:cs="宋体"/>
                      <w:szCs w:val="21"/>
                      <w:highlight w:val="none"/>
                    </w:rPr>
                  </w:pPr>
                </w:p>
              </w:tc>
              <w:tc>
                <w:tcPr>
                  <w:tcW w:w="1129" w:type="dxa"/>
                  <w:tcBorders>
                    <w:top w:val="single" w:color="000000" w:sz="4" w:space="0"/>
                    <w:left w:val="single" w:color="000000" w:sz="4" w:space="0"/>
                    <w:bottom w:val="single" w:color="000000" w:sz="4" w:space="0"/>
                    <w:right w:val="single" w:color="000000" w:sz="4" w:space="0"/>
                  </w:tcBorders>
                  <w:noWrap w:val="0"/>
                  <w:tcMar>
                    <w:top w:w="60" w:type="dxa"/>
                    <w:left w:w="120" w:type="dxa"/>
                    <w:bottom w:w="30" w:type="dxa"/>
                    <w:right w:w="120" w:type="dxa"/>
                  </w:tcMar>
                  <w:vAlign w:val="center"/>
                </w:tcPr>
                <w:p w14:paraId="27C593FB">
                  <w:pPr>
                    <w:spacing w:line="440" w:lineRule="exact"/>
                    <w:jc w:val="center"/>
                    <w:rPr>
                      <w:rFonts w:hint="eastAsia" w:ascii="宋体" w:hAnsi="宋体" w:eastAsia="宋体" w:cs="宋体"/>
                      <w:szCs w:val="21"/>
                      <w:highlight w:val="none"/>
                    </w:rPr>
                  </w:pPr>
                  <w:r>
                    <w:rPr>
                      <w:rFonts w:hint="eastAsia" w:ascii="宋体" w:hAnsi="宋体" w:eastAsia="宋体" w:cs="宋体"/>
                      <w:szCs w:val="21"/>
                      <w:highlight w:val="none"/>
                    </w:rPr>
                    <w:t>上下文组装模块</w:t>
                  </w:r>
                </w:p>
              </w:tc>
              <w:tc>
                <w:tcPr>
                  <w:tcW w:w="1617" w:type="dxa"/>
                  <w:tcBorders>
                    <w:top w:val="single" w:color="000000" w:sz="4" w:space="0"/>
                    <w:left w:val="single" w:color="000000" w:sz="4" w:space="0"/>
                    <w:bottom w:val="single" w:color="000000" w:sz="4" w:space="0"/>
                    <w:right w:val="single" w:color="000000" w:sz="4" w:space="0"/>
                  </w:tcBorders>
                  <w:noWrap w:val="0"/>
                  <w:tcMar>
                    <w:top w:w="60" w:type="dxa"/>
                    <w:left w:w="120" w:type="dxa"/>
                    <w:bottom w:w="30" w:type="dxa"/>
                    <w:right w:w="120" w:type="dxa"/>
                  </w:tcMar>
                  <w:vAlign w:val="center"/>
                </w:tcPr>
                <w:p w14:paraId="680578D0">
                  <w:pPr>
                    <w:spacing w:line="440" w:lineRule="exact"/>
                    <w:jc w:val="center"/>
                    <w:rPr>
                      <w:rFonts w:hint="eastAsia" w:ascii="宋体" w:hAnsi="宋体" w:eastAsia="宋体" w:cs="宋体"/>
                      <w:szCs w:val="21"/>
                      <w:highlight w:val="none"/>
                    </w:rPr>
                  </w:pPr>
                  <w:r>
                    <w:rPr>
                      <w:rFonts w:hint="eastAsia" w:ascii="宋体" w:hAnsi="宋体" w:eastAsia="宋体" w:cs="宋体"/>
                      <w:szCs w:val="21"/>
                      <w:highlight w:val="none"/>
                    </w:rPr>
                    <w:t>将检索内容与 Prompt 组装为 LLM 输入，含图谱路径</w:t>
                  </w:r>
                </w:p>
              </w:tc>
            </w:tr>
            <w:tr w14:paraId="1BA6B47F">
              <w:tblPrEx>
                <w:tblCellMar>
                  <w:top w:w="0" w:type="dxa"/>
                  <w:left w:w="10" w:type="dxa"/>
                  <w:bottom w:w="0" w:type="dxa"/>
                  <w:right w:w="10" w:type="dxa"/>
                </w:tblCellMar>
              </w:tblPrEx>
              <w:tc>
                <w:tcPr>
                  <w:tcW w:w="1129" w:type="dxa"/>
                  <w:vMerge w:val="continue"/>
                  <w:tcBorders>
                    <w:left w:val="single" w:color="000000" w:sz="4" w:space="0"/>
                    <w:right w:val="single" w:color="000000" w:sz="4" w:space="0"/>
                  </w:tcBorders>
                  <w:noWrap w:val="0"/>
                  <w:tcMar>
                    <w:top w:w="60" w:type="dxa"/>
                    <w:left w:w="120" w:type="dxa"/>
                    <w:bottom w:w="30" w:type="dxa"/>
                    <w:right w:w="120" w:type="dxa"/>
                  </w:tcMar>
                  <w:vAlign w:val="center"/>
                </w:tcPr>
                <w:p w14:paraId="2800E701">
                  <w:pPr>
                    <w:spacing w:line="440" w:lineRule="exact"/>
                    <w:jc w:val="center"/>
                    <w:rPr>
                      <w:rFonts w:hint="eastAsia" w:ascii="宋体" w:hAnsi="宋体" w:eastAsia="宋体" w:cs="宋体"/>
                      <w:szCs w:val="21"/>
                      <w:highlight w:val="none"/>
                    </w:rPr>
                  </w:pPr>
                </w:p>
              </w:tc>
              <w:tc>
                <w:tcPr>
                  <w:tcW w:w="1129" w:type="dxa"/>
                  <w:vMerge w:val="continue"/>
                  <w:tcBorders>
                    <w:left w:val="single" w:color="000000" w:sz="4" w:space="0"/>
                    <w:right w:val="single" w:color="000000" w:sz="4" w:space="0"/>
                  </w:tcBorders>
                  <w:noWrap w:val="0"/>
                  <w:tcMar>
                    <w:top w:w="60" w:type="dxa"/>
                    <w:left w:w="120" w:type="dxa"/>
                    <w:bottom w:w="30" w:type="dxa"/>
                    <w:right w:w="120" w:type="dxa"/>
                  </w:tcMar>
                  <w:vAlign w:val="center"/>
                </w:tcPr>
                <w:p w14:paraId="42024088">
                  <w:pPr>
                    <w:spacing w:line="440" w:lineRule="exact"/>
                    <w:jc w:val="center"/>
                    <w:rPr>
                      <w:rFonts w:hint="eastAsia" w:ascii="宋体" w:hAnsi="宋体" w:eastAsia="宋体" w:cs="宋体"/>
                      <w:szCs w:val="21"/>
                      <w:highlight w:val="none"/>
                    </w:rPr>
                  </w:pPr>
                </w:p>
              </w:tc>
              <w:tc>
                <w:tcPr>
                  <w:tcW w:w="1129" w:type="dxa"/>
                  <w:tcBorders>
                    <w:top w:val="single" w:color="000000" w:sz="4" w:space="0"/>
                    <w:left w:val="single" w:color="000000" w:sz="4" w:space="0"/>
                    <w:bottom w:val="single" w:color="000000" w:sz="4" w:space="0"/>
                    <w:right w:val="single" w:color="000000" w:sz="4" w:space="0"/>
                  </w:tcBorders>
                  <w:noWrap w:val="0"/>
                  <w:tcMar>
                    <w:top w:w="60" w:type="dxa"/>
                    <w:left w:w="120" w:type="dxa"/>
                    <w:bottom w:w="30" w:type="dxa"/>
                    <w:right w:w="120" w:type="dxa"/>
                  </w:tcMar>
                  <w:vAlign w:val="center"/>
                </w:tcPr>
                <w:p w14:paraId="7E2CADCB">
                  <w:pPr>
                    <w:spacing w:line="440" w:lineRule="exact"/>
                    <w:jc w:val="center"/>
                    <w:rPr>
                      <w:rFonts w:hint="eastAsia" w:ascii="宋体" w:hAnsi="宋体" w:eastAsia="宋体" w:cs="宋体"/>
                      <w:szCs w:val="21"/>
                      <w:highlight w:val="none"/>
                    </w:rPr>
                  </w:pPr>
                  <w:r>
                    <w:rPr>
                      <w:rFonts w:hint="eastAsia" w:ascii="宋体" w:hAnsi="宋体" w:eastAsia="宋体" w:cs="宋体"/>
                      <w:szCs w:val="21"/>
                      <w:highlight w:val="none"/>
                    </w:rPr>
                    <w:t>异构调度器</w:t>
                  </w:r>
                </w:p>
              </w:tc>
              <w:tc>
                <w:tcPr>
                  <w:tcW w:w="1617" w:type="dxa"/>
                  <w:tcBorders>
                    <w:top w:val="single" w:color="000000" w:sz="4" w:space="0"/>
                    <w:left w:val="single" w:color="000000" w:sz="4" w:space="0"/>
                    <w:bottom w:val="single" w:color="000000" w:sz="4" w:space="0"/>
                    <w:right w:val="single" w:color="000000" w:sz="4" w:space="0"/>
                  </w:tcBorders>
                  <w:noWrap w:val="0"/>
                  <w:tcMar>
                    <w:top w:w="60" w:type="dxa"/>
                    <w:left w:w="120" w:type="dxa"/>
                    <w:bottom w:w="30" w:type="dxa"/>
                    <w:right w:w="120" w:type="dxa"/>
                  </w:tcMar>
                  <w:vAlign w:val="center"/>
                </w:tcPr>
                <w:p w14:paraId="285EC3FB">
                  <w:pPr>
                    <w:spacing w:line="440" w:lineRule="exact"/>
                    <w:jc w:val="center"/>
                    <w:rPr>
                      <w:rFonts w:hint="eastAsia" w:ascii="宋体" w:hAnsi="宋体" w:eastAsia="宋体" w:cs="宋体"/>
                      <w:szCs w:val="21"/>
                      <w:highlight w:val="none"/>
                    </w:rPr>
                  </w:pPr>
                  <w:r>
                    <w:rPr>
                      <w:rFonts w:hint="eastAsia" w:ascii="宋体" w:hAnsi="宋体" w:eastAsia="宋体" w:cs="宋体"/>
                      <w:szCs w:val="21"/>
                      <w:highlight w:val="none"/>
                    </w:rPr>
                    <w:t>根据任务复杂度路由至 70B 或 7B 模型</w:t>
                  </w:r>
                </w:p>
              </w:tc>
            </w:tr>
            <w:tr w14:paraId="4024404D">
              <w:tblPrEx>
                <w:tblCellMar>
                  <w:top w:w="0" w:type="dxa"/>
                  <w:left w:w="10" w:type="dxa"/>
                  <w:bottom w:w="0" w:type="dxa"/>
                  <w:right w:w="10" w:type="dxa"/>
                </w:tblCellMar>
              </w:tblPrEx>
              <w:tc>
                <w:tcPr>
                  <w:tcW w:w="1129" w:type="dxa"/>
                  <w:vMerge w:val="continue"/>
                  <w:tcBorders>
                    <w:left w:val="single" w:color="000000" w:sz="4" w:space="0"/>
                    <w:bottom w:val="single" w:color="000000" w:sz="4" w:space="0"/>
                    <w:right w:val="single" w:color="000000" w:sz="4" w:space="0"/>
                  </w:tcBorders>
                  <w:noWrap w:val="0"/>
                  <w:tcMar>
                    <w:top w:w="60" w:type="dxa"/>
                    <w:left w:w="120" w:type="dxa"/>
                    <w:bottom w:w="30" w:type="dxa"/>
                    <w:right w:w="120" w:type="dxa"/>
                  </w:tcMar>
                  <w:vAlign w:val="center"/>
                </w:tcPr>
                <w:p w14:paraId="2ABC3274">
                  <w:pPr>
                    <w:spacing w:line="440" w:lineRule="exact"/>
                    <w:jc w:val="center"/>
                    <w:rPr>
                      <w:rFonts w:hint="eastAsia" w:ascii="宋体" w:hAnsi="宋体" w:eastAsia="宋体" w:cs="宋体"/>
                      <w:szCs w:val="21"/>
                      <w:highlight w:val="none"/>
                    </w:rPr>
                  </w:pPr>
                </w:p>
              </w:tc>
              <w:tc>
                <w:tcPr>
                  <w:tcW w:w="1129" w:type="dxa"/>
                  <w:vMerge w:val="continue"/>
                  <w:tcBorders>
                    <w:left w:val="single" w:color="000000" w:sz="4" w:space="0"/>
                    <w:bottom w:val="single" w:color="000000" w:sz="4" w:space="0"/>
                    <w:right w:val="single" w:color="000000" w:sz="4" w:space="0"/>
                  </w:tcBorders>
                  <w:noWrap w:val="0"/>
                  <w:tcMar>
                    <w:top w:w="60" w:type="dxa"/>
                    <w:left w:w="120" w:type="dxa"/>
                    <w:bottom w:w="30" w:type="dxa"/>
                    <w:right w:w="120" w:type="dxa"/>
                  </w:tcMar>
                  <w:vAlign w:val="center"/>
                </w:tcPr>
                <w:p w14:paraId="132D7F7F">
                  <w:pPr>
                    <w:spacing w:line="440" w:lineRule="exact"/>
                    <w:jc w:val="center"/>
                    <w:rPr>
                      <w:rFonts w:hint="eastAsia" w:ascii="宋体" w:hAnsi="宋体" w:eastAsia="宋体" w:cs="宋体"/>
                      <w:szCs w:val="21"/>
                      <w:highlight w:val="none"/>
                    </w:rPr>
                  </w:pPr>
                </w:p>
              </w:tc>
              <w:tc>
                <w:tcPr>
                  <w:tcW w:w="1129" w:type="dxa"/>
                  <w:tcBorders>
                    <w:top w:val="single" w:color="000000" w:sz="4" w:space="0"/>
                    <w:left w:val="single" w:color="000000" w:sz="4" w:space="0"/>
                    <w:bottom w:val="single" w:color="000000" w:sz="4" w:space="0"/>
                    <w:right w:val="single" w:color="000000" w:sz="4" w:space="0"/>
                  </w:tcBorders>
                  <w:noWrap w:val="0"/>
                  <w:tcMar>
                    <w:top w:w="60" w:type="dxa"/>
                    <w:left w:w="120" w:type="dxa"/>
                    <w:bottom w:w="30" w:type="dxa"/>
                    <w:right w:w="120" w:type="dxa"/>
                  </w:tcMar>
                  <w:vAlign w:val="center"/>
                </w:tcPr>
                <w:p w14:paraId="2E8968A1">
                  <w:pPr>
                    <w:spacing w:line="440" w:lineRule="exact"/>
                    <w:jc w:val="center"/>
                    <w:rPr>
                      <w:rFonts w:hint="eastAsia" w:ascii="宋体" w:hAnsi="宋体" w:eastAsia="宋体" w:cs="宋体"/>
                      <w:szCs w:val="21"/>
                      <w:highlight w:val="none"/>
                    </w:rPr>
                  </w:pPr>
                  <w:r>
                    <w:rPr>
                      <w:rFonts w:hint="eastAsia" w:ascii="宋体" w:hAnsi="宋体" w:eastAsia="宋体" w:cs="宋体"/>
                      <w:szCs w:val="21"/>
                      <w:highlight w:val="none"/>
                    </w:rPr>
                    <w:t>大模型调用接口</w:t>
                  </w:r>
                </w:p>
              </w:tc>
              <w:tc>
                <w:tcPr>
                  <w:tcW w:w="1617" w:type="dxa"/>
                  <w:tcBorders>
                    <w:top w:val="single" w:color="000000" w:sz="4" w:space="0"/>
                    <w:left w:val="single" w:color="000000" w:sz="4" w:space="0"/>
                    <w:bottom w:val="single" w:color="000000" w:sz="4" w:space="0"/>
                    <w:right w:val="single" w:color="000000" w:sz="4" w:space="0"/>
                  </w:tcBorders>
                  <w:noWrap w:val="0"/>
                  <w:tcMar>
                    <w:top w:w="60" w:type="dxa"/>
                    <w:left w:w="120" w:type="dxa"/>
                    <w:bottom w:w="30" w:type="dxa"/>
                    <w:right w:w="120" w:type="dxa"/>
                  </w:tcMar>
                  <w:vAlign w:val="center"/>
                </w:tcPr>
                <w:p w14:paraId="1A258912">
                  <w:pPr>
                    <w:spacing w:line="440" w:lineRule="exact"/>
                    <w:jc w:val="center"/>
                    <w:rPr>
                      <w:rFonts w:hint="eastAsia" w:ascii="宋体" w:hAnsi="宋体" w:eastAsia="宋体" w:cs="宋体"/>
                      <w:szCs w:val="21"/>
                      <w:highlight w:val="none"/>
                    </w:rPr>
                  </w:pPr>
                  <w:r>
                    <w:rPr>
                      <w:rFonts w:hint="eastAsia" w:ascii="宋体" w:hAnsi="宋体" w:eastAsia="宋体" w:cs="宋体"/>
                      <w:szCs w:val="21"/>
                      <w:highlight w:val="none"/>
                    </w:rPr>
                    <w:t>对接 GPT/国产大模型获取生成内容</w:t>
                  </w:r>
                </w:p>
              </w:tc>
            </w:tr>
            <w:tr w14:paraId="19F7DD6F">
              <w:tblPrEx>
                <w:tblCellMar>
                  <w:top w:w="0" w:type="dxa"/>
                  <w:left w:w="10" w:type="dxa"/>
                  <w:bottom w:w="0" w:type="dxa"/>
                  <w:right w:w="10" w:type="dxa"/>
                </w:tblCellMar>
              </w:tblPrEx>
              <w:tc>
                <w:tcPr>
                  <w:tcW w:w="1129" w:type="dxa"/>
                  <w:vMerge w:val="restart"/>
                  <w:tcBorders>
                    <w:top w:val="single" w:color="000000" w:sz="4" w:space="0"/>
                    <w:left w:val="single" w:color="000000" w:sz="4" w:space="0"/>
                    <w:right w:val="single" w:color="000000" w:sz="4" w:space="0"/>
                  </w:tcBorders>
                  <w:noWrap w:val="0"/>
                  <w:tcMar>
                    <w:top w:w="60" w:type="dxa"/>
                    <w:left w:w="120" w:type="dxa"/>
                    <w:bottom w:w="30" w:type="dxa"/>
                    <w:right w:w="120" w:type="dxa"/>
                  </w:tcMar>
                  <w:vAlign w:val="center"/>
                </w:tcPr>
                <w:p w14:paraId="157A51B9">
                  <w:pPr>
                    <w:spacing w:line="440" w:lineRule="exact"/>
                    <w:jc w:val="center"/>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4</w:t>
                  </w:r>
                </w:p>
              </w:tc>
              <w:tc>
                <w:tcPr>
                  <w:tcW w:w="1129" w:type="dxa"/>
                  <w:vMerge w:val="restart"/>
                  <w:tcBorders>
                    <w:top w:val="single" w:color="000000" w:sz="4" w:space="0"/>
                    <w:left w:val="single" w:color="000000" w:sz="4" w:space="0"/>
                    <w:right w:val="single" w:color="000000" w:sz="4" w:space="0"/>
                  </w:tcBorders>
                  <w:noWrap w:val="0"/>
                  <w:tcMar>
                    <w:top w:w="60" w:type="dxa"/>
                    <w:left w:w="120" w:type="dxa"/>
                    <w:bottom w:w="30" w:type="dxa"/>
                    <w:right w:w="120" w:type="dxa"/>
                  </w:tcMar>
                  <w:vAlign w:val="center"/>
                </w:tcPr>
                <w:p w14:paraId="4461DECB">
                  <w:pPr>
                    <w:spacing w:line="440" w:lineRule="exact"/>
                    <w:jc w:val="center"/>
                    <w:rPr>
                      <w:rFonts w:hint="eastAsia" w:ascii="宋体" w:hAnsi="宋体" w:eastAsia="宋体" w:cs="宋体"/>
                      <w:szCs w:val="21"/>
                      <w:highlight w:val="none"/>
                    </w:rPr>
                  </w:pPr>
                  <w:r>
                    <w:rPr>
                      <w:rFonts w:hint="eastAsia" w:ascii="宋体" w:hAnsi="宋体" w:eastAsia="宋体" w:cs="宋体"/>
                      <w:szCs w:val="21"/>
                      <w:highlight w:val="none"/>
                    </w:rPr>
                    <w:t>报告工厂</w:t>
                  </w:r>
                </w:p>
              </w:tc>
              <w:tc>
                <w:tcPr>
                  <w:tcW w:w="1129" w:type="dxa"/>
                  <w:tcBorders>
                    <w:top w:val="single" w:color="000000" w:sz="4" w:space="0"/>
                    <w:left w:val="single" w:color="000000" w:sz="4" w:space="0"/>
                    <w:bottom w:val="single" w:color="000000" w:sz="4" w:space="0"/>
                    <w:right w:val="single" w:color="000000" w:sz="4" w:space="0"/>
                  </w:tcBorders>
                  <w:noWrap w:val="0"/>
                  <w:tcMar>
                    <w:top w:w="60" w:type="dxa"/>
                    <w:left w:w="120" w:type="dxa"/>
                    <w:bottom w:w="30" w:type="dxa"/>
                    <w:right w:w="120" w:type="dxa"/>
                  </w:tcMar>
                  <w:vAlign w:val="center"/>
                </w:tcPr>
                <w:p w14:paraId="31A6B8AA">
                  <w:pPr>
                    <w:spacing w:line="440" w:lineRule="exact"/>
                    <w:jc w:val="center"/>
                    <w:rPr>
                      <w:rFonts w:hint="eastAsia" w:ascii="宋体" w:hAnsi="宋体" w:eastAsia="宋体" w:cs="宋体"/>
                      <w:szCs w:val="21"/>
                      <w:highlight w:val="none"/>
                    </w:rPr>
                  </w:pPr>
                  <w:r>
                    <w:rPr>
                      <w:rFonts w:hint="eastAsia" w:ascii="宋体" w:hAnsi="宋体" w:eastAsia="宋体" w:cs="宋体"/>
                      <w:szCs w:val="21"/>
                      <w:highlight w:val="none"/>
                    </w:rPr>
                    <w:t>格式渲染引擎</w:t>
                  </w:r>
                </w:p>
              </w:tc>
              <w:tc>
                <w:tcPr>
                  <w:tcW w:w="1617" w:type="dxa"/>
                  <w:tcBorders>
                    <w:top w:val="single" w:color="000000" w:sz="4" w:space="0"/>
                    <w:left w:val="single" w:color="000000" w:sz="4" w:space="0"/>
                    <w:bottom w:val="single" w:color="000000" w:sz="4" w:space="0"/>
                    <w:right w:val="single" w:color="000000" w:sz="4" w:space="0"/>
                  </w:tcBorders>
                  <w:noWrap w:val="0"/>
                  <w:tcMar>
                    <w:top w:w="60" w:type="dxa"/>
                    <w:left w:w="120" w:type="dxa"/>
                    <w:bottom w:w="30" w:type="dxa"/>
                    <w:right w:w="120" w:type="dxa"/>
                  </w:tcMar>
                  <w:vAlign w:val="center"/>
                </w:tcPr>
                <w:p w14:paraId="2FE28C60">
                  <w:pPr>
                    <w:spacing w:line="440" w:lineRule="exact"/>
                    <w:jc w:val="center"/>
                    <w:rPr>
                      <w:rFonts w:hint="eastAsia" w:ascii="宋体" w:hAnsi="宋体" w:eastAsia="宋体" w:cs="宋体"/>
                      <w:szCs w:val="21"/>
                      <w:highlight w:val="none"/>
                    </w:rPr>
                  </w:pPr>
                  <w:r>
                    <w:rPr>
                      <w:rFonts w:hint="eastAsia" w:ascii="宋体" w:hAnsi="宋体" w:eastAsia="宋体" w:cs="宋体"/>
                      <w:szCs w:val="21"/>
                      <w:highlight w:val="none"/>
                    </w:rPr>
                    <w:t>将 AI 生成的 Markdown 转为标准 Word/PDF，支持双向渲染</w:t>
                  </w:r>
                </w:p>
              </w:tc>
            </w:tr>
            <w:tr w14:paraId="7C1BE9FB">
              <w:tblPrEx>
                <w:tblCellMar>
                  <w:top w:w="0" w:type="dxa"/>
                  <w:left w:w="10" w:type="dxa"/>
                  <w:bottom w:w="0" w:type="dxa"/>
                  <w:right w:w="10" w:type="dxa"/>
                </w:tblCellMar>
              </w:tblPrEx>
              <w:tc>
                <w:tcPr>
                  <w:tcW w:w="1129" w:type="dxa"/>
                  <w:vMerge w:val="continue"/>
                  <w:tcBorders>
                    <w:left w:val="single" w:color="000000" w:sz="4" w:space="0"/>
                    <w:right w:val="single" w:color="000000" w:sz="4" w:space="0"/>
                  </w:tcBorders>
                  <w:noWrap w:val="0"/>
                  <w:tcMar>
                    <w:top w:w="60" w:type="dxa"/>
                    <w:left w:w="120" w:type="dxa"/>
                    <w:bottom w:w="30" w:type="dxa"/>
                    <w:right w:w="120" w:type="dxa"/>
                  </w:tcMar>
                  <w:vAlign w:val="center"/>
                </w:tcPr>
                <w:p w14:paraId="1498F389">
                  <w:pPr>
                    <w:spacing w:line="440" w:lineRule="exact"/>
                    <w:jc w:val="center"/>
                    <w:rPr>
                      <w:rFonts w:hint="eastAsia" w:ascii="宋体" w:hAnsi="宋体" w:eastAsia="宋体" w:cs="宋体"/>
                      <w:szCs w:val="21"/>
                      <w:highlight w:val="none"/>
                    </w:rPr>
                  </w:pPr>
                </w:p>
              </w:tc>
              <w:tc>
                <w:tcPr>
                  <w:tcW w:w="1129" w:type="dxa"/>
                  <w:vMerge w:val="continue"/>
                  <w:tcBorders>
                    <w:left w:val="single" w:color="000000" w:sz="4" w:space="0"/>
                    <w:right w:val="single" w:color="000000" w:sz="4" w:space="0"/>
                  </w:tcBorders>
                  <w:noWrap w:val="0"/>
                  <w:tcMar>
                    <w:top w:w="60" w:type="dxa"/>
                    <w:left w:w="120" w:type="dxa"/>
                    <w:bottom w:w="30" w:type="dxa"/>
                    <w:right w:w="120" w:type="dxa"/>
                  </w:tcMar>
                  <w:vAlign w:val="center"/>
                </w:tcPr>
                <w:p w14:paraId="3F62DD78">
                  <w:pPr>
                    <w:spacing w:line="440" w:lineRule="exact"/>
                    <w:jc w:val="center"/>
                    <w:rPr>
                      <w:rFonts w:hint="eastAsia" w:ascii="宋体" w:hAnsi="宋体" w:eastAsia="宋体" w:cs="宋体"/>
                      <w:szCs w:val="21"/>
                      <w:highlight w:val="none"/>
                    </w:rPr>
                  </w:pPr>
                </w:p>
              </w:tc>
              <w:tc>
                <w:tcPr>
                  <w:tcW w:w="1129" w:type="dxa"/>
                  <w:tcBorders>
                    <w:top w:val="single" w:color="000000" w:sz="4" w:space="0"/>
                    <w:left w:val="single" w:color="000000" w:sz="4" w:space="0"/>
                    <w:bottom w:val="single" w:color="000000" w:sz="4" w:space="0"/>
                    <w:right w:val="single" w:color="000000" w:sz="4" w:space="0"/>
                  </w:tcBorders>
                  <w:noWrap w:val="0"/>
                  <w:tcMar>
                    <w:top w:w="60" w:type="dxa"/>
                    <w:left w:w="120" w:type="dxa"/>
                    <w:bottom w:w="30" w:type="dxa"/>
                    <w:right w:w="120" w:type="dxa"/>
                  </w:tcMar>
                  <w:vAlign w:val="center"/>
                </w:tcPr>
                <w:p w14:paraId="60BCD86C">
                  <w:pPr>
                    <w:spacing w:line="440" w:lineRule="exact"/>
                    <w:jc w:val="center"/>
                    <w:rPr>
                      <w:rFonts w:hint="eastAsia" w:ascii="宋体" w:hAnsi="宋体" w:eastAsia="宋体" w:cs="宋体"/>
                      <w:szCs w:val="21"/>
                      <w:highlight w:val="none"/>
                    </w:rPr>
                  </w:pPr>
                  <w:r>
                    <w:rPr>
                      <w:rFonts w:hint="eastAsia" w:ascii="宋体" w:hAnsi="宋体" w:eastAsia="宋体" w:cs="宋体"/>
                      <w:szCs w:val="21"/>
                      <w:highlight w:val="none"/>
                    </w:rPr>
                    <w:t>历史版本管理</w:t>
                  </w:r>
                </w:p>
              </w:tc>
              <w:tc>
                <w:tcPr>
                  <w:tcW w:w="1617" w:type="dxa"/>
                  <w:tcBorders>
                    <w:top w:val="single" w:color="000000" w:sz="4" w:space="0"/>
                    <w:left w:val="single" w:color="000000" w:sz="4" w:space="0"/>
                    <w:bottom w:val="single" w:color="000000" w:sz="4" w:space="0"/>
                    <w:right w:val="single" w:color="000000" w:sz="4" w:space="0"/>
                  </w:tcBorders>
                  <w:noWrap w:val="0"/>
                  <w:tcMar>
                    <w:top w:w="60" w:type="dxa"/>
                    <w:left w:w="120" w:type="dxa"/>
                    <w:bottom w:w="30" w:type="dxa"/>
                    <w:right w:w="120" w:type="dxa"/>
                  </w:tcMar>
                  <w:vAlign w:val="center"/>
                </w:tcPr>
                <w:p w14:paraId="5C4E32C6">
                  <w:pPr>
                    <w:spacing w:line="440" w:lineRule="exact"/>
                    <w:jc w:val="center"/>
                    <w:rPr>
                      <w:rFonts w:hint="eastAsia" w:ascii="宋体" w:hAnsi="宋体" w:eastAsia="宋体" w:cs="宋体"/>
                      <w:szCs w:val="21"/>
                      <w:highlight w:val="none"/>
                    </w:rPr>
                  </w:pPr>
                  <w:r>
                    <w:rPr>
                      <w:rFonts w:hint="eastAsia" w:ascii="宋体" w:hAnsi="宋体" w:eastAsia="宋体" w:cs="宋体"/>
                      <w:szCs w:val="21"/>
                      <w:highlight w:val="none"/>
                    </w:rPr>
                    <w:t>存储报告文件的生成记录与路径</w:t>
                  </w:r>
                </w:p>
              </w:tc>
            </w:tr>
            <w:tr w14:paraId="21E68B1A">
              <w:tblPrEx>
                <w:tblCellMar>
                  <w:top w:w="0" w:type="dxa"/>
                  <w:left w:w="10" w:type="dxa"/>
                  <w:bottom w:w="0" w:type="dxa"/>
                  <w:right w:w="10" w:type="dxa"/>
                </w:tblCellMar>
              </w:tblPrEx>
              <w:tc>
                <w:tcPr>
                  <w:tcW w:w="1129" w:type="dxa"/>
                  <w:vMerge w:val="continue"/>
                  <w:tcBorders>
                    <w:left w:val="single" w:color="000000" w:sz="4" w:space="0"/>
                    <w:bottom w:val="single" w:color="000000" w:sz="4" w:space="0"/>
                    <w:right w:val="single" w:color="000000" w:sz="4" w:space="0"/>
                  </w:tcBorders>
                  <w:noWrap w:val="0"/>
                  <w:tcMar>
                    <w:top w:w="60" w:type="dxa"/>
                    <w:left w:w="120" w:type="dxa"/>
                    <w:bottom w:w="30" w:type="dxa"/>
                    <w:right w:w="120" w:type="dxa"/>
                  </w:tcMar>
                  <w:vAlign w:val="center"/>
                </w:tcPr>
                <w:p w14:paraId="6069B211">
                  <w:pPr>
                    <w:spacing w:line="440" w:lineRule="exact"/>
                    <w:jc w:val="center"/>
                    <w:rPr>
                      <w:rFonts w:hint="eastAsia" w:ascii="宋体" w:hAnsi="宋体" w:eastAsia="宋体" w:cs="宋体"/>
                      <w:szCs w:val="21"/>
                      <w:highlight w:val="none"/>
                    </w:rPr>
                  </w:pPr>
                </w:p>
              </w:tc>
              <w:tc>
                <w:tcPr>
                  <w:tcW w:w="1129" w:type="dxa"/>
                  <w:vMerge w:val="continue"/>
                  <w:tcBorders>
                    <w:left w:val="single" w:color="000000" w:sz="4" w:space="0"/>
                    <w:bottom w:val="single" w:color="000000" w:sz="4" w:space="0"/>
                    <w:right w:val="single" w:color="000000" w:sz="4" w:space="0"/>
                  </w:tcBorders>
                  <w:noWrap w:val="0"/>
                  <w:tcMar>
                    <w:top w:w="60" w:type="dxa"/>
                    <w:left w:w="120" w:type="dxa"/>
                    <w:bottom w:w="30" w:type="dxa"/>
                    <w:right w:w="120" w:type="dxa"/>
                  </w:tcMar>
                  <w:vAlign w:val="center"/>
                </w:tcPr>
                <w:p w14:paraId="320CCE36">
                  <w:pPr>
                    <w:spacing w:line="440" w:lineRule="exact"/>
                    <w:jc w:val="center"/>
                    <w:rPr>
                      <w:rFonts w:hint="eastAsia" w:ascii="宋体" w:hAnsi="宋体" w:eastAsia="宋体" w:cs="宋体"/>
                      <w:szCs w:val="21"/>
                      <w:highlight w:val="none"/>
                    </w:rPr>
                  </w:pPr>
                </w:p>
              </w:tc>
              <w:tc>
                <w:tcPr>
                  <w:tcW w:w="1129" w:type="dxa"/>
                  <w:tcBorders>
                    <w:top w:val="single" w:color="000000" w:sz="4" w:space="0"/>
                    <w:left w:val="single" w:color="000000" w:sz="4" w:space="0"/>
                    <w:bottom w:val="single" w:color="000000" w:sz="4" w:space="0"/>
                    <w:right w:val="single" w:color="000000" w:sz="4" w:space="0"/>
                  </w:tcBorders>
                  <w:noWrap w:val="0"/>
                  <w:tcMar>
                    <w:top w:w="60" w:type="dxa"/>
                    <w:left w:w="120" w:type="dxa"/>
                    <w:bottom w:w="30" w:type="dxa"/>
                    <w:right w:w="120" w:type="dxa"/>
                  </w:tcMar>
                  <w:vAlign w:val="center"/>
                </w:tcPr>
                <w:p w14:paraId="22ACB24C">
                  <w:pPr>
                    <w:spacing w:line="440" w:lineRule="exact"/>
                    <w:jc w:val="center"/>
                    <w:rPr>
                      <w:rFonts w:hint="eastAsia" w:ascii="宋体" w:hAnsi="宋体" w:eastAsia="宋体" w:cs="宋体"/>
                      <w:szCs w:val="21"/>
                      <w:highlight w:val="none"/>
                    </w:rPr>
                  </w:pPr>
                  <w:r>
                    <w:rPr>
                      <w:rFonts w:hint="eastAsia" w:ascii="宋体" w:hAnsi="宋体" w:eastAsia="宋体" w:cs="宋体"/>
                      <w:szCs w:val="21"/>
                      <w:highlight w:val="none"/>
                    </w:rPr>
                    <w:t>审计日志模块</w:t>
                  </w:r>
                </w:p>
              </w:tc>
              <w:tc>
                <w:tcPr>
                  <w:tcW w:w="1617" w:type="dxa"/>
                  <w:tcBorders>
                    <w:top w:val="single" w:color="000000" w:sz="4" w:space="0"/>
                    <w:left w:val="single" w:color="000000" w:sz="4" w:space="0"/>
                    <w:bottom w:val="single" w:color="000000" w:sz="4" w:space="0"/>
                    <w:right w:val="single" w:color="000000" w:sz="4" w:space="0"/>
                  </w:tcBorders>
                  <w:noWrap w:val="0"/>
                  <w:tcMar>
                    <w:top w:w="60" w:type="dxa"/>
                    <w:left w:w="120" w:type="dxa"/>
                    <w:bottom w:w="30" w:type="dxa"/>
                    <w:right w:w="120" w:type="dxa"/>
                  </w:tcMar>
                  <w:vAlign w:val="center"/>
                </w:tcPr>
                <w:p w14:paraId="49AF7DF0">
                  <w:pPr>
                    <w:spacing w:line="440" w:lineRule="exact"/>
                    <w:jc w:val="center"/>
                    <w:rPr>
                      <w:rFonts w:hint="eastAsia" w:ascii="宋体" w:hAnsi="宋体" w:eastAsia="宋体" w:cs="宋体"/>
                      <w:szCs w:val="21"/>
                      <w:highlight w:val="none"/>
                    </w:rPr>
                  </w:pPr>
                  <w:r>
                    <w:rPr>
                      <w:rFonts w:hint="eastAsia" w:ascii="宋体" w:hAnsi="宋体" w:eastAsia="宋体" w:cs="宋体"/>
                      <w:szCs w:val="21"/>
                      <w:highlight w:val="none"/>
                    </w:rPr>
                    <w:t>记录完整的 Chain of Thought 推理过程与 Token 消耗</w:t>
                  </w:r>
                </w:p>
              </w:tc>
            </w:tr>
          </w:tbl>
          <w:p w14:paraId="34CA408A">
            <w:pPr>
              <w:spacing w:line="440" w:lineRule="exact"/>
              <w:jc w:val="left"/>
              <w:rPr>
                <w:rFonts w:hint="eastAsia" w:ascii="宋体" w:hAnsi="宋体" w:eastAsia="宋体" w:cs="宋体"/>
                <w:szCs w:val="21"/>
                <w:highlight w:val="none"/>
              </w:rPr>
            </w:pPr>
          </w:p>
        </w:tc>
        <w:tc>
          <w:tcPr>
            <w:tcW w:w="585" w:type="dxa"/>
            <w:tcBorders>
              <w:top w:val="single" w:color="auto" w:sz="4" w:space="0"/>
              <w:left w:val="single" w:color="auto" w:sz="4" w:space="0"/>
              <w:bottom w:val="single" w:color="auto" w:sz="4" w:space="0"/>
              <w:right w:val="single" w:color="auto" w:sz="4" w:space="0"/>
            </w:tcBorders>
            <w:noWrap w:val="0"/>
            <w:vAlign w:val="center"/>
          </w:tcPr>
          <w:p w14:paraId="084B78B5">
            <w:pPr>
              <w:spacing w:line="440" w:lineRule="exact"/>
              <w:jc w:val="center"/>
              <w:rPr>
                <w:rFonts w:hint="default" w:ascii="宋体" w:hAnsi="宋体" w:eastAsia="宋体" w:cs="宋体"/>
                <w:szCs w:val="21"/>
                <w:highlight w:val="none"/>
                <w:lang w:val="en-US" w:eastAsia="zh-CN"/>
              </w:rPr>
            </w:pPr>
            <w:r>
              <w:rPr>
                <w:rFonts w:hint="eastAsia" w:ascii="宋体" w:hAnsi="宋体" w:eastAsia="宋体" w:cs="宋体"/>
                <w:szCs w:val="21"/>
                <w:highlight w:val="none"/>
                <w:lang w:val="en-US" w:eastAsia="zh-CN"/>
              </w:rPr>
              <w:t>2台</w:t>
            </w:r>
          </w:p>
        </w:tc>
        <w:tc>
          <w:tcPr>
            <w:tcW w:w="1104" w:type="dxa"/>
            <w:tcBorders>
              <w:top w:val="single" w:color="auto" w:sz="4" w:space="0"/>
              <w:left w:val="single" w:color="auto" w:sz="4" w:space="0"/>
              <w:bottom w:val="single" w:color="auto" w:sz="4" w:space="0"/>
              <w:right w:val="single" w:color="auto" w:sz="4" w:space="0"/>
            </w:tcBorders>
            <w:noWrap w:val="0"/>
            <w:vAlign w:val="center"/>
          </w:tcPr>
          <w:p w14:paraId="4261824B">
            <w:pPr>
              <w:spacing w:line="440" w:lineRule="exact"/>
              <w:jc w:val="center"/>
              <w:rPr>
                <w:rFonts w:hint="eastAsia" w:ascii="宋体" w:hAnsi="宋体" w:eastAsia="宋体" w:cs="宋体"/>
                <w:szCs w:val="21"/>
                <w:highlight w:val="none"/>
              </w:rPr>
            </w:pPr>
            <w:r>
              <w:rPr>
                <w:rFonts w:hint="eastAsia" w:ascii="宋体" w:hAnsi="宋体" w:eastAsia="宋体" w:cs="宋体"/>
                <w:szCs w:val="21"/>
                <w:highlight w:val="none"/>
              </w:rPr>
              <w:t>说明：供应商可依据软件技术方案运行需求、硬件兼容性及性能优化目标，自行调整组合上述硬件配置，但需符合服务器主板芯片组兼容标准，确保项目总体硬件资源（如CPU、内存、存储、GPU或NPU）配置不低于以上最低要求，以保障系统稳定高效运行</w:t>
            </w:r>
          </w:p>
        </w:tc>
        <w:tc>
          <w:tcPr>
            <w:tcW w:w="896" w:type="dxa"/>
            <w:tcBorders>
              <w:top w:val="single" w:color="auto" w:sz="4" w:space="0"/>
              <w:left w:val="single" w:color="auto" w:sz="4" w:space="0"/>
              <w:bottom w:val="single" w:color="auto" w:sz="4" w:space="0"/>
              <w:right w:val="single" w:color="auto" w:sz="4" w:space="0"/>
            </w:tcBorders>
            <w:noWrap w:val="0"/>
            <w:vAlign w:val="center"/>
          </w:tcPr>
          <w:p w14:paraId="3E4C999E">
            <w:pPr>
              <w:spacing w:line="440" w:lineRule="exact"/>
              <w:jc w:val="center"/>
              <w:rPr>
                <w:rFonts w:hint="eastAsia" w:ascii="宋体" w:hAnsi="宋体" w:eastAsia="宋体" w:cs="宋体"/>
                <w:szCs w:val="21"/>
                <w:highlight w:val="none"/>
              </w:rPr>
            </w:pPr>
          </w:p>
        </w:tc>
        <w:tc>
          <w:tcPr>
            <w:tcW w:w="1385" w:type="dxa"/>
            <w:tcBorders>
              <w:top w:val="single" w:color="auto" w:sz="4" w:space="0"/>
              <w:left w:val="single" w:color="auto" w:sz="4" w:space="0"/>
              <w:bottom w:val="single" w:color="auto" w:sz="4" w:space="0"/>
              <w:right w:val="single" w:color="auto" w:sz="4" w:space="0"/>
            </w:tcBorders>
            <w:noWrap w:val="0"/>
            <w:vAlign w:val="center"/>
          </w:tcPr>
          <w:p w14:paraId="4B2F3525">
            <w:pPr>
              <w:spacing w:line="440" w:lineRule="exact"/>
              <w:jc w:val="center"/>
              <w:rPr>
                <w:rFonts w:hint="eastAsia" w:ascii="宋体" w:hAnsi="宋体" w:eastAsia="宋体" w:cs="宋体"/>
                <w:szCs w:val="21"/>
                <w:highlight w:val="none"/>
              </w:rPr>
            </w:pPr>
          </w:p>
        </w:tc>
        <w:tc>
          <w:tcPr>
            <w:tcW w:w="1330" w:type="dxa"/>
            <w:tcBorders>
              <w:top w:val="single" w:color="auto" w:sz="4" w:space="0"/>
              <w:left w:val="single" w:color="auto" w:sz="4" w:space="0"/>
              <w:bottom w:val="single" w:color="auto" w:sz="4" w:space="0"/>
              <w:right w:val="single" w:color="auto" w:sz="4" w:space="0"/>
            </w:tcBorders>
            <w:noWrap w:val="0"/>
            <w:vAlign w:val="center"/>
          </w:tcPr>
          <w:p w14:paraId="62F35C2B">
            <w:pPr>
              <w:spacing w:line="440" w:lineRule="exact"/>
              <w:jc w:val="center"/>
              <w:rPr>
                <w:rFonts w:hint="eastAsia" w:ascii="宋体" w:hAnsi="宋体" w:eastAsia="宋体" w:cs="宋体"/>
                <w:szCs w:val="21"/>
                <w:highlight w:val="none"/>
              </w:rPr>
            </w:pPr>
          </w:p>
        </w:tc>
        <w:tc>
          <w:tcPr>
            <w:tcW w:w="783" w:type="dxa"/>
            <w:tcBorders>
              <w:top w:val="single" w:color="auto" w:sz="4" w:space="0"/>
              <w:left w:val="single" w:color="auto" w:sz="4" w:space="0"/>
              <w:bottom w:val="single" w:color="auto" w:sz="4" w:space="0"/>
              <w:right w:val="single" w:color="auto" w:sz="4" w:space="0"/>
            </w:tcBorders>
            <w:noWrap w:val="0"/>
            <w:vAlign w:val="center"/>
          </w:tcPr>
          <w:p w14:paraId="4776E6E3">
            <w:pPr>
              <w:spacing w:line="440" w:lineRule="exact"/>
              <w:jc w:val="center"/>
              <w:rPr>
                <w:rFonts w:hint="eastAsia" w:ascii="宋体" w:hAnsi="宋体" w:eastAsia="宋体" w:cs="宋体"/>
                <w:szCs w:val="21"/>
                <w:highlight w:val="none"/>
              </w:rPr>
            </w:pPr>
          </w:p>
        </w:tc>
      </w:tr>
    </w:tbl>
    <w:p w14:paraId="47407B1E">
      <w:r>
        <w:rPr>
          <w:rFonts w:hint="eastAsia" w:ascii="Times New Roman" w:hAnsi="Times New Roman" w:eastAsia="宋体" w:cs="Times New Roman"/>
          <w:b/>
          <w:bCs/>
          <w:highlight w:val="none"/>
        </w:rPr>
        <w:t>注：（</w:t>
      </w:r>
      <w:r>
        <w:rPr>
          <w:rFonts w:hint="eastAsia" w:ascii="Times New Roman" w:hAnsi="Times New Roman" w:eastAsia="宋体" w:cs="Times New Roman"/>
          <w:b/>
          <w:bCs/>
          <w:highlight w:val="none"/>
          <w:lang w:val="en-US" w:eastAsia="zh-CN"/>
        </w:rPr>
        <w:t>1</w:t>
      </w:r>
      <w:r>
        <w:rPr>
          <w:rFonts w:hint="eastAsia" w:ascii="Times New Roman" w:hAnsi="Times New Roman" w:eastAsia="宋体" w:cs="Times New Roman"/>
          <w:b/>
          <w:bCs/>
          <w:highlight w:val="none"/>
        </w:rPr>
        <w:t>）供应商根据所投设备编制</w:t>
      </w:r>
      <w:r>
        <w:rPr>
          <w:rFonts w:hint="eastAsia" w:ascii="Times New Roman" w:hAnsi="Times New Roman" w:eastAsia="宋体" w:cs="Times New Roman"/>
          <w:b/>
          <w:bCs/>
          <w:highlight w:val="none"/>
          <w:lang w:val="en-US" w:eastAsia="zh-CN"/>
        </w:rPr>
        <w:t>供货</w:t>
      </w:r>
      <w:r>
        <w:rPr>
          <w:rFonts w:hint="eastAsia" w:ascii="Times New Roman" w:hAnsi="Times New Roman" w:eastAsia="宋体" w:cs="Times New Roman"/>
          <w:b/>
          <w:bCs/>
          <w:highlight w:val="none"/>
        </w:rPr>
        <w:t>方案、</w:t>
      </w:r>
      <w:r>
        <w:rPr>
          <w:rFonts w:hint="eastAsia" w:ascii="Times New Roman" w:hAnsi="Times New Roman" w:eastAsia="宋体" w:cs="Times New Roman"/>
          <w:b/>
          <w:bCs/>
          <w:highlight w:val="none"/>
          <w:lang w:val="en-US" w:eastAsia="zh-CN"/>
        </w:rPr>
        <w:t>重点、难点及解决方案</w:t>
      </w:r>
      <w:r>
        <w:rPr>
          <w:rFonts w:hint="eastAsia" w:ascii="Times New Roman" w:hAnsi="Times New Roman" w:eastAsia="宋体" w:cs="Times New Roman"/>
          <w:b/>
          <w:bCs/>
          <w:highlight w:val="none"/>
          <w:lang w:eastAsia="zh-CN"/>
        </w:rPr>
        <w:t>、</w:t>
      </w:r>
      <w:r>
        <w:rPr>
          <w:rFonts w:hint="eastAsia" w:ascii="Times New Roman" w:hAnsi="Times New Roman" w:eastAsia="宋体" w:cs="Times New Roman"/>
          <w:b/>
          <w:bCs/>
          <w:highlight w:val="none"/>
        </w:rPr>
        <w:t>培训方案、售后服务等内容。（</w:t>
      </w:r>
      <w:r>
        <w:rPr>
          <w:rFonts w:hint="eastAsia" w:ascii="Times New Roman" w:hAnsi="Times New Roman" w:eastAsia="宋体" w:cs="Times New Roman"/>
          <w:b/>
          <w:bCs/>
          <w:highlight w:val="none"/>
          <w:lang w:val="en-US" w:eastAsia="zh-CN"/>
        </w:rPr>
        <w:t>2</w:t>
      </w:r>
      <w:r>
        <w:rPr>
          <w:rFonts w:hint="eastAsia" w:ascii="Times New Roman" w:hAnsi="Times New Roman" w:eastAsia="宋体" w:cs="Times New Roman"/>
          <w:b/>
          <w:bCs/>
          <w:highlight w:val="none"/>
        </w:rPr>
        <w:t>）本项目产品功能要求中的所有名词（除国家标准、行业标准已规定的之外），仅代表采购人对功能的需求，不代表该功能的名称被指定。（</w:t>
      </w:r>
      <w:r>
        <w:rPr>
          <w:rFonts w:hint="eastAsia" w:ascii="Times New Roman" w:hAnsi="Times New Roman" w:eastAsia="宋体" w:cs="Times New Roman"/>
          <w:b/>
          <w:bCs/>
          <w:highlight w:val="none"/>
          <w:lang w:val="en-US" w:eastAsia="zh-CN"/>
        </w:rPr>
        <w:t>3</w:t>
      </w:r>
      <w:r>
        <w:rPr>
          <w:rFonts w:hint="eastAsia" w:ascii="Times New Roman" w:hAnsi="Times New Roman" w:eastAsia="宋体" w:cs="Times New Roman"/>
          <w:b/>
          <w:bCs/>
          <w:highlight w:val="none"/>
        </w:rPr>
        <w:t>）招标</w:t>
      </w:r>
      <w:r>
        <w:rPr>
          <w:rFonts w:hint="eastAsia" w:ascii="Times New Roman" w:hAnsi="Times New Roman" w:eastAsia="宋体" w:cs="Times New Roman"/>
          <w:b/>
          <w:bCs/>
          <w:highlight w:val="none"/>
          <w:lang w:val="en-US" w:eastAsia="zh-CN"/>
        </w:rPr>
        <w:t>软件</w:t>
      </w:r>
      <w:r>
        <w:rPr>
          <w:rFonts w:hint="eastAsia" w:ascii="Times New Roman" w:hAnsi="Times New Roman" w:eastAsia="宋体" w:cs="Times New Roman"/>
          <w:b/>
          <w:bCs/>
          <w:highlight w:val="none"/>
        </w:rPr>
        <w:t>的各功能模块划分，仅代表系统架构和系统实现的一种合理组合，投标人可提供覆盖本项目技术需求的其他架构软件或模块组合后的产品进行报价，并逐条列明参数响应情况。</w:t>
      </w:r>
      <w:r>
        <w:rPr>
          <w:rFonts w:hint="eastAsia" w:ascii="Times New Roman" w:hAnsi="Times New Roman" w:eastAsia="宋体" w:cs="Times New Roman"/>
          <w:b/>
          <w:bCs/>
          <w:highlight w:val="none"/>
          <w:lang w:eastAsia="zh-CN"/>
        </w:rPr>
        <w:t>（</w:t>
      </w:r>
      <w:r>
        <w:rPr>
          <w:rFonts w:hint="eastAsia" w:ascii="Times New Roman" w:hAnsi="Times New Roman" w:eastAsia="宋体" w:cs="Times New Roman"/>
          <w:b/>
          <w:bCs/>
          <w:highlight w:val="none"/>
          <w:lang w:val="en-US" w:eastAsia="zh-CN"/>
        </w:rPr>
        <w:t>4</w:t>
      </w:r>
      <w:r>
        <w:rPr>
          <w:rFonts w:hint="eastAsia" w:ascii="Times New Roman" w:hAnsi="Times New Roman" w:eastAsia="宋体" w:cs="Times New Roman"/>
          <w:b/>
          <w:bCs/>
          <w:highlight w:val="none"/>
          <w:lang w:eastAsia="zh-CN"/>
        </w:rPr>
        <w:t>）</w:t>
      </w:r>
      <w:r>
        <w:rPr>
          <w:rFonts w:hint="eastAsia" w:ascii="Times New Roman" w:hAnsi="Times New Roman" w:eastAsia="宋体" w:cs="Times New Roman"/>
          <w:b/>
          <w:bCs/>
          <w:highlight w:val="none"/>
        </w:rPr>
        <w:t>招标文件中涉及的所有标准、规范、规定如有更新或未详尽载明，均以最新颁布的标准、规范、规定为准。</w:t>
      </w:r>
      <w:bookmarkStart w:id="0" w:name="_GoBack"/>
      <w:bookmarkEnd w:id="0"/>
    </w:p>
    <w:sectPr>
      <w:pgSz w:w="16838" w:h="11906" w:orient="landscape"/>
      <w:pgMar w:top="1800" w:right="1440" w:bottom="1800"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23B0A6E"/>
    <w:rsid w:val="00631353"/>
    <w:rsid w:val="01E272A3"/>
    <w:rsid w:val="02FB75A0"/>
    <w:rsid w:val="0646713D"/>
    <w:rsid w:val="0B536F5B"/>
    <w:rsid w:val="0C827F53"/>
    <w:rsid w:val="0E812604"/>
    <w:rsid w:val="1038759B"/>
    <w:rsid w:val="12560F32"/>
    <w:rsid w:val="143A23E4"/>
    <w:rsid w:val="16453930"/>
    <w:rsid w:val="1D3C196C"/>
    <w:rsid w:val="20F563FE"/>
    <w:rsid w:val="223B0A6E"/>
    <w:rsid w:val="25071F18"/>
    <w:rsid w:val="26342943"/>
    <w:rsid w:val="265C1CFC"/>
    <w:rsid w:val="2C5C51D5"/>
    <w:rsid w:val="328C11EE"/>
    <w:rsid w:val="3AB85F64"/>
    <w:rsid w:val="3B9814E3"/>
    <w:rsid w:val="3BB83D9A"/>
    <w:rsid w:val="40834252"/>
    <w:rsid w:val="43491507"/>
    <w:rsid w:val="45180407"/>
    <w:rsid w:val="452B4861"/>
    <w:rsid w:val="4649335D"/>
    <w:rsid w:val="4A2A2D74"/>
    <w:rsid w:val="4ABF7E6A"/>
    <w:rsid w:val="4B7A48F9"/>
    <w:rsid w:val="50F525E8"/>
    <w:rsid w:val="55867476"/>
    <w:rsid w:val="58D5360D"/>
    <w:rsid w:val="618810C7"/>
    <w:rsid w:val="65DF6447"/>
    <w:rsid w:val="679B0868"/>
    <w:rsid w:val="6F9F6052"/>
    <w:rsid w:val="70B346A9"/>
    <w:rsid w:val="71A82547"/>
    <w:rsid w:val="7CCF3A6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qFormat="1" w:unhideWhenUsed="0" w:uiPriority="0" w:semiHidden="0" w:name="toc 3"/>
    <w:lsdException w:qFormat="1"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13"/>
    <w:qFormat/>
    <w:uiPriority w:val="0"/>
    <w:pPr>
      <w:keepNext/>
      <w:keepLines/>
      <w:spacing w:before="340" w:after="330" w:line="578" w:lineRule="auto"/>
      <w:outlineLvl w:val="0"/>
    </w:pPr>
    <w:rPr>
      <w:rFonts w:ascii="Times New Roman" w:hAnsi="Times New Roman" w:eastAsia="宋体"/>
      <w:b/>
      <w:bCs/>
      <w:kern w:val="44"/>
      <w:sz w:val="44"/>
      <w:szCs w:val="44"/>
    </w:rPr>
  </w:style>
  <w:style w:type="paragraph" w:styleId="3">
    <w:name w:val="heading 2"/>
    <w:basedOn w:val="1"/>
    <w:next w:val="1"/>
    <w:link w:val="15"/>
    <w:semiHidden/>
    <w:unhideWhenUsed/>
    <w:qFormat/>
    <w:uiPriority w:val="0"/>
    <w:pPr>
      <w:keepNext/>
      <w:keepLines/>
      <w:spacing w:before="260" w:after="260" w:line="416" w:lineRule="auto"/>
      <w:outlineLvl w:val="1"/>
    </w:pPr>
    <w:rPr>
      <w:rFonts w:ascii="Cambria" w:hAnsi="Cambria" w:eastAsia="宋体"/>
      <w:b/>
      <w:bCs/>
      <w:kern w:val="0"/>
      <w:sz w:val="24"/>
      <w:szCs w:val="32"/>
    </w:rPr>
  </w:style>
  <w:style w:type="paragraph" w:styleId="4">
    <w:name w:val="heading 3"/>
    <w:basedOn w:val="1"/>
    <w:next w:val="1"/>
    <w:link w:val="14"/>
    <w:semiHidden/>
    <w:unhideWhenUsed/>
    <w:qFormat/>
    <w:uiPriority w:val="0"/>
    <w:pPr>
      <w:keepNext/>
      <w:keepLines/>
      <w:spacing w:before="260" w:after="260" w:line="416" w:lineRule="auto"/>
      <w:outlineLvl w:val="2"/>
    </w:pPr>
    <w:rPr>
      <w:rFonts w:ascii="Times New Roman" w:hAnsi="Times New Roman" w:eastAsia="宋体"/>
      <w:b/>
      <w:bCs/>
      <w:kern w:val="0"/>
      <w:sz w:val="24"/>
      <w:szCs w:val="32"/>
    </w:rPr>
  </w:style>
  <w:style w:type="paragraph" w:styleId="5">
    <w:name w:val="heading 5"/>
    <w:basedOn w:val="1"/>
    <w:next w:val="1"/>
    <w:link w:val="16"/>
    <w:semiHidden/>
    <w:unhideWhenUsed/>
    <w:qFormat/>
    <w:uiPriority w:val="0"/>
    <w:pPr>
      <w:keepNext/>
      <w:keepLines/>
      <w:spacing w:before="280" w:after="290" w:line="376" w:lineRule="auto"/>
      <w:jc w:val="center"/>
      <w:outlineLvl w:val="4"/>
    </w:pPr>
    <w:rPr>
      <w:rFonts w:ascii="Times New Roman" w:hAnsi="Times New Roman" w:eastAsia="宋体"/>
      <w:b/>
      <w:bCs/>
      <w:sz w:val="32"/>
      <w:szCs w:val="28"/>
    </w:rPr>
  </w:style>
  <w:style w:type="character" w:default="1" w:styleId="12">
    <w:name w:val="Default Paragraph Font"/>
    <w:autoRedefine/>
    <w:semiHidden/>
    <w:qFormat/>
    <w:uiPriority w:val="0"/>
  </w:style>
  <w:style w:type="table" w:default="1" w:styleId="11">
    <w:name w:val="Normal Table"/>
    <w:semiHidden/>
    <w:qFormat/>
    <w:uiPriority w:val="0"/>
    <w:tblPr>
      <w:tblCellMar>
        <w:top w:w="0" w:type="dxa"/>
        <w:left w:w="108" w:type="dxa"/>
        <w:bottom w:w="0" w:type="dxa"/>
        <w:right w:w="108" w:type="dxa"/>
      </w:tblCellMar>
    </w:tblPr>
  </w:style>
  <w:style w:type="paragraph" w:styleId="6">
    <w:name w:val="Body Text"/>
    <w:qFormat/>
    <w:uiPriority w:val="99"/>
    <w:pPr>
      <w:widowControl w:val="0"/>
      <w:spacing w:after="120"/>
      <w:jc w:val="both"/>
    </w:pPr>
    <w:rPr>
      <w:rFonts w:ascii="Times New Roman" w:hAnsi="Times New Roman" w:eastAsia="宋体" w:cs="Times New Roman"/>
      <w:kern w:val="0"/>
      <w:sz w:val="20"/>
      <w:szCs w:val="24"/>
      <w:lang w:val="en-US" w:eastAsia="zh-CN" w:bidi="ar-SA"/>
    </w:rPr>
  </w:style>
  <w:style w:type="paragraph" w:styleId="7">
    <w:name w:val="toc 3"/>
    <w:basedOn w:val="1"/>
    <w:next w:val="1"/>
    <w:qFormat/>
    <w:uiPriority w:val="0"/>
    <w:pPr>
      <w:tabs>
        <w:tab w:val="right" w:leader="dot" w:pos="9359"/>
      </w:tabs>
      <w:spacing w:line="276" w:lineRule="auto"/>
      <w:ind w:left="420"/>
      <w:jc w:val="left"/>
    </w:pPr>
    <w:rPr>
      <w:rFonts w:ascii="Calibri" w:hAnsi="Calibri" w:eastAsia="宋体"/>
      <w:iCs/>
      <w:sz w:val="24"/>
      <w:szCs w:val="20"/>
    </w:rPr>
  </w:style>
  <w:style w:type="paragraph" w:styleId="8">
    <w:name w:val="toc 1"/>
    <w:basedOn w:val="9"/>
    <w:next w:val="1"/>
    <w:uiPriority w:val="0"/>
    <w:pPr>
      <w:tabs>
        <w:tab w:val="right" w:leader="dot" w:pos="9359"/>
      </w:tabs>
    </w:pPr>
    <w:rPr>
      <w:rFonts w:ascii="Calibri" w:hAnsi="Calibri" w:eastAsia="宋体"/>
      <w:sz w:val="30"/>
      <w:szCs w:val="20"/>
    </w:rPr>
  </w:style>
  <w:style w:type="paragraph" w:styleId="9">
    <w:name w:val="toc 2"/>
    <w:basedOn w:val="7"/>
    <w:next w:val="1"/>
    <w:uiPriority w:val="0"/>
    <w:rPr>
      <w:rFonts w:ascii="Calibri" w:hAnsi="Calibri" w:eastAsia="宋体"/>
      <w:sz w:val="28"/>
      <w:szCs w:val="20"/>
    </w:rPr>
  </w:style>
  <w:style w:type="paragraph" w:styleId="10">
    <w:name w:val="toc 4"/>
    <w:basedOn w:val="7"/>
    <w:next w:val="1"/>
    <w:qFormat/>
    <w:uiPriority w:val="0"/>
    <w:rPr>
      <w:sz w:val="21"/>
    </w:rPr>
  </w:style>
  <w:style w:type="character" w:customStyle="1" w:styleId="13">
    <w:name w:val="标题 1 Char"/>
    <w:link w:val="2"/>
    <w:qFormat/>
    <w:uiPriority w:val="0"/>
    <w:rPr>
      <w:rFonts w:ascii="Times New Roman" w:hAnsi="Times New Roman" w:eastAsia="宋体" w:cs="Times New Roman"/>
      <w:b/>
      <w:bCs/>
      <w:kern w:val="44"/>
      <w:sz w:val="44"/>
      <w:szCs w:val="44"/>
    </w:rPr>
  </w:style>
  <w:style w:type="character" w:customStyle="1" w:styleId="14">
    <w:name w:val="标题 3 Char"/>
    <w:link w:val="4"/>
    <w:qFormat/>
    <w:uiPriority w:val="0"/>
    <w:rPr>
      <w:rFonts w:ascii="Times New Roman" w:hAnsi="Times New Roman" w:eastAsia="宋体" w:cs="Times New Roman"/>
      <w:b/>
      <w:bCs/>
      <w:sz w:val="24"/>
      <w:szCs w:val="32"/>
    </w:rPr>
  </w:style>
  <w:style w:type="character" w:customStyle="1" w:styleId="15">
    <w:name w:val="标题 2 Char"/>
    <w:link w:val="3"/>
    <w:qFormat/>
    <w:uiPriority w:val="0"/>
    <w:rPr>
      <w:rFonts w:ascii="Cambria" w:hAnsi="Cambria" w:eastAsia="宋体" w:cs="Times New Roman"/>
      <w:b/>
      <w:bCs/>
      <w:sz w:val="24"/>
      <w:szCs w:val="32"/>
    </w:rPr>
  </w:style>
  <w:style w:type="character" w:customStyle="1" w:styleId="16">
    <w:name w:val="标题 5 Char"/>
    <w:link w:val="5"/>
    <w:uiPriority w:val="0"/>
    <w:rPr>
      <w:rFonts w:ascii="Times New Roman" w:hAnsi="Times New Roman" w:eastAsia="宋体"/>
      <w:b/>
      <w:bCs/>
      <w:kern w:val="2"/>
      <w:sz w:val="32"/>
      <w:szCs w:val="28"/>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21</Pages>
  <Words>0</Words>
  <Characters>0</Characters>
  <Lines>0</Lines>
  <Paragraphs>0</Paragraphs>
  <TotalTime>0</TotalTime>
  <ScaleCrop>false</ScaleCrop>
  <LinksUpToDate>false</LinksUpToDate>
  <CharactersWithSpaces>0</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2026-08-14T00:53:00Z</dcterms:created>
  <dc:creator>刘</dc:creator>
  <cp:lastModifiedBy>刘</cp:lastModifiedBy>
  <dcterms:modified xsi:type="dcterms:W3CDTF">2026-08-14T00:53:51Z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4FDE151DD0E7445A888E8F5F9275522D_11</vt:lpwstr>
  </property>
  <property fmtid="{D5CDD505-2E9C-101B-9397-08002B2CF9AE}" pid="4" name="KSOTemplateDocerSaveRecord">
    <vt:lpwstr>eyJoZGlkIjoiOTc3M2Y5NzIzMDFlZjAyY2Q4Njk5ODkyYjFjNzBiNTQiLCJ1c2VySWQiOiI0Mjc3NzIzNjAifQ==</vt:lpwstr>
  </property>
</Properties>
</file>