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2828B3">
      <w:pPr>
        <w:autoSpaceDE w:val="0"/>
        <w:autoSpaceDN w:val="0"/>
        <w:snapToGrid w:val="0"/>
        <w:spacing w:line="540" w:lineRule="exact"/>
        <w:jc w:val="center"/>
        <w:outlineLvl w:val="1"/>
        <w:rPr>
          <w:rFonts w:ascii="方正小标宋_GBK" w:hAnsi="仿宋" w:eastAsia="方正小标宋_GBK" w:cs="方正小标宋_GBK"/>
          <w:b/>
          <w:bCs/>
          <w:sz w:val="30"/>
          <w:szCs w:val="30"/>
        </w:rPr>
      </w:pPr>
      <w:r>
        <w:rPr>
          <w:rFonts w:hint="eastAsia" w:ascii="方正小标宋_GBK" w:hAnsi="仿宋" w:eastAsia="方正小标宋_GBK" w:cs="方正小标宋_GBK"/>
          <w:b/>
          <w:bCs/>
          <w:sz w:val="30"/>
          <w:szCs w:val="30"/>
        </w:rPr>
        <w:t>山东大学</w:t>
      </w:r>
      <w:r>
        <w:rPr>
          <w:rFonts w:hint="eastAsia" w:ascii="方正小标宋_GBK" w:hAnsi="仿宋" w:eastAsia="方正小标宋_GBK" w:cs="方正小标宋_GBK"/>
          <w:b/>
          <w:bCs/>
          <w:sz w:val="30"/>
          <w:szCs w:val="30"/>
          <w:lang w:val="en-US" w:eastAsia="zh-CN"/>
        </w:rPr>
        <w:t>互联网非对称出口带宽采购</w:t>
      </w:r>
    </w:p>
    <w:p w14:paraId="75AE3CE1">
      <w:pPr>
        <w:autoSpaceDE w:val="0"/>
        <w:autoSpaceDN w:val="0"/>
        <w:snapToGrid w:val="0"/>
        <w:spacing w:line="540" w:lineRule="exact"/>
        <w:jc w:val="center"/>
        <w:rPr>
          <w:rFonts w:ascii="黑体" w:hAnsi="黑体" w:eastAsia="黑体"/>
          <w:b/>
          <w:bCs/>
          <w:sz w:val="30"/>
          <w:szCs w:val="30"/>
        </w:rPr>
      </w:pPr>
      <w:r>
        <w:rPr>
          <w:rFonts w:hint="eastAsia" w:ascii="方正小标宋_GBK" w:hAnsi="仿宋" w:eastAsia="方正小标宋_GBK" w:cs="方正小标宋_GBK"/>
          <w:b/>
          <w:bCs/>
          <w:sz w:val="30"/>
          <w:szCs w:val="30"/>
        </w:rPr>
        <w:t xml:space="preserve">项目内容及项目要求 </w:t>
      </w:r>
    </w:p>
    <w:p w14:paraId="38628C7C">
      <w:pPr>
        <w:outlineLvl w:val="2"/>
        <w:rPr>
          <w:rFonts w:ascii="黑体" w:hAnsi="黑体" w:eastAsia="黑体"/>
          <w:b/>
          <w:sz w:val="32"/>
          <w:szCs w:val="32"/>
        </w:rPr>
      </w:pPr>
      <w:r>
        <w:rPr>
          <w:rFonts w:hint="eastAsia" w:ascii="黑体" w:hAnsi="黑体" w:eastAsia="黑体"/>
          <w:sz w:val="32"/>
          <w:szCs w:val="32"/>
        </w:rPr>
        <w:t>一、项目背景</w:t>
      </w:r>
    </w:p>
    <w:p w14:paraId="68A4CCC1">
      <w:pPr>
        <w:spacing w:line="360" w:lineRule="auto"/>
        <w:ind w:firstLine="480" w:firstLineChars="200"/>
        <w:rPr>
          <w:rFonts w:hint="eastAsia" w:ascii="宋体" w:hAnsi="宋体" w:cs="宋体"/>
          <w:sz w:val="24"/>
          <w:szCs w:val="24"/>
        </w:rPr>
      </w:pPr>
      <w:r>
        <w:rPr>
          <w:rFonts w:hint="eastAsia" w:ascii="宋体" w:hAnsi="宋体" w:cs="宋体"/>
          <w:sz w:val="24"/>
          <w:szCs w:val="24"/>
        </w:rPr>
        <w:t>山东大学是一所历史悠久、学科齐全、实力雄厚、特色鲜明，在国内外具有重要影</w:t>
      </w:r>
      <w:r>
        <w:rPr>
          <w:rFonts w:hint="eastAsia" w:ascii="宋体" w:hAnsi="宋体" w:cs="宋体"/>
          <w:sz w:val="24"/>
          <w:szCs w:val="24"/>
          <w:lang w:eastAsia="zh-CN"/>
        </w:rPr>
        <w:t>响力</w:t>
      </w:r>
      <w:r>
        <w:rPr>
          <w:rFonts w:hint="eastAsia" w:ascii="宋体" w:hAnsi="宋体" w:cs="宋体"/>
          <w:sz w:val="24"/>
          <w:szCs w:val="24"/>
        </w:rPr>
        <w:t>的教育部直属重点综合性大学，是世界一流大学建设高校（A类）。近年来山东大学实现了跨越式发展，各项事业均达到了前所未有的高度，学校的综合水平和办学质量明显提升，国际影响力显著增强。各类全日制学生达7万人，专任教师4</w:t>
      </w:r>
      <w:r>
        <w:rPr>
          <w:rFonts w:hint="eastAsia" w:ascii="宋体" w:hAnsi="宋体" w:cs="宋体"/>
          <w:sz w:val="24"/>
          <w:szCs w:val="24"/>
          <w:lang w:val="en-US" w:eastAsia="zh-CN"/>
        </w:rPr>
        <w:t>9</w:t>
      </w:r>
      <w:r>
        <w:rPr>
          <w:rFonts w:hint="eastAsia" w:ascii="宋体" w:hAnsi="宋体" w:cs="宋体"/>
          <w:sz w:val="24"/>
          <w:szCs w:val="24"/>
        </w:rPr>
        <w:t>00多人。为了保障山东大学教学、科研、学术交流、校园生活等各方面工作，需要安全、可靠、高速的互联网出口网络进行保障。</w:t>
      </w:r>
    </w:p>
    <w:p w14:paraId="29012C64">
      <w:pPr>
        <w:spacing w:line="360" w:lineRule="auto"/>
        <w:ind w:firstLine="480" w:firstLineChars="200"/>
        <w:rPr>
          <w:rFonts w:hint="eastAsia" w:ascii="宋体" w:hAnsi="宋体" w:cs="宋体"/>
          <w:sz w:val="24"/>
          <w:szCs w:val="24"/>
        </w:rPr>
      </w:pPr>
      <w:r>
        <w:rPr>
          <w:rFonts w:hint="eastAsia" w:ascii="宋体" w:hAnsi="宋体" w:cs="宋体"/>
          <w:sz w:val="24"/>
          <w:szCs w:val="24"/>
        </w:rPr>
        <w:t>根据山东大学校园网出口带宽现状、项目预算、对各运营商互联网出口带宽业务的调研，运营商不同带宽分级现状的调研，和相关采购的价格调研，申请采购40Gbps上下行非对称的互联网出口带宽（简称：互联网非对称出口带宽），该带宽将主要用于校园网用户的非关键网络应用的流量分流，以节省宝贵的专线带宽用于有效保障学校教学、科研、管理需求。</w:t>
      </w:r>
    </w:p>
    <w:p w14:paraId="4706B90A">
      <w:pPr>
        <w:widowControl/>
        <w:spacing w:line="460" w:lineRule="exact"/>
        <w:ind w:firstLine="480" w:firstLineChars="200"/>
        <w:jc w:val="left"/>
        <w:rPr>
          <w:rFonts w:hint="eastAsia" w:ascii="宋体" w:hAnsi="宋体"/>
          <w:sz w:val="24"/>
        </w:rPr>
      </w:pPr>
    </w:p>
    <w:p w14:paraId="516435B8">
      <w:pPr>
        <w:outlineLvl w:val="2"/>
        <w:rPr>
          <w:rFonts w:ascii="黑体" w:hAnsi="黑体" w:eastAsia="黑体"/>
          <w:sz w:val="32"/>
          <w:szCs w:val="32"/>
        </w:rPr>
      </w:pPr>
      <w:r>
        <w:rPr>
          <w:rFonts w:hint="eastAsia" w:ascii="黑体" w:hAnsi="黑体" w:eastAsia="黑体"/>
          <w:sz w:val="32"/>
          <w:szCs w:val="32"/>
        </w:rPr>
        <w:t>二、项目目标</w:t>
      </w:r>
    </w:p>
    <w:p w14:paraId="687E8F4B">
      <w:pPr>
        <w:widowControl/>
        <w:spacing w:line="460" w:lineRule="exact"/>
        <w:ind w:firstLine="480" w:firstLineChars="200"/>
        <w:jc w:val="left"/>
        <w:rPr>
          <w:rFonts w:hint="eastAsia" w:ascii="宋体" w:hAnsi="宋体"/>
          <w:sz w:val="24"/>
        </w:rPr>
      </w:pPr>
      <w:r>
        <w:rPr>
          <w:rFonts w:hint="eastAsia" w:ascii="宋体" w:hAnsi="宋体"/>
          <w:sz w:val="24"/>
        </w:rPr>
        <w:t>通过</w:t>
      </w:r>
      <w:r>
        <w:rPr>
          <w:rFonts w:hint="eastAsia" w:ascii="宋体" w:hAnsi="宋体"/>
          <w:sz w:val="24"/>
          <w:lang w:val="en-US" w:eastAsia="zh-CN"/>
        </w:rPr>
        <w:t>采购互联网非对称出口带宽，有效扩展</w:t>
      </w:r>
      <w:r>
        <w:rPr>
          <w:rFonts w:hint="eastAsia" w:ascii="宋体" w:hAnsi="宋体"/>
          <w:sz w:val="24"/>
        </w:rPr>
        <w:t>校园网的</w:t>
      </w:r>
      <w:r>
        <w:rPr>
          <w:rFonts w:hint="eastAsia" w:ascii="宋体" w:hAnsi="宋体"/>
          <w:sz w:val="24"/>
          <w:lang w:val="en-US" w:eastAsia="zh-CN"/>
        </w:rPr>
        <w:t>出口带宽，对校园网</w:t>
      </w:r>
      <w:r>
        <w:rPr>
          <w:rFonts w:hint="eastAsia" w:ascii="宋体" w:hAnsi="宋体" w:cs="宋体"/>
          <w:sz w:val="24"/>
          <w:szCs w:val="24"/>
        </w:rPr>
        <w:t>互联网出口网络进行保障</w:t>
      </w:r>
      <w:r>
        <w:rPr>
          <w:rFonts w:hint="eastAsia" w:ascii="宋体" w:hAnsi="宋体" w:cs="宋体"/>
          <w:sz w:val="24"/>
          <w:szCs w:val="24"/>
          <w:lang w:eastAsia="zh-CN"/>
        </w:rPr>
        <w:t>，</w:t>
      </w:r>
      <w:r>
        <w:rPr>
          <w:rFonts w:hint="eastAsia" w:ascii="宋体" w:hAnsi="宋体"/>
          <w:sz w:val="24"/>
        </w:rPr>
        <w:t>提升师生</w:t>
      </w:r>
      <w:r>
        <w:rPr>
          <w:rFonts w:hint="eastAsia" w:ascii="宋体" w:hAnsi="宋体"/>
          <w:sz w:val="24"/>
          <w:lang w:val="en-US" w:eastAsia="zh-CN"/>
        </w:rPr>
        <w:t>互联网访问</w:t>
      </w:r>
      <w:r>
        <w:rPr>
          <w:rFonts w:hint="eastAsia" w:ascii="宋体" w:hAnsi="宋体"/>
          <w:sz w:val="24"/>
        </w:rPr>
        <w:t>的体验</w:t>
      </w:r>
      <w:r>
        <w:rPr>
          <w:rFonts w:hint="eastAsia" w:ascii="宋体" w:hAnsi="宋体"/>
          <w:sz w:val="24"/>
          <w:lang w:val="en-US" w:eastAsia="zh-CN"/>
        </w:rPr>
        <w:t>度</w:t>
      </w:r>
      <w:r>
        <w:rPr>
          <w:rFonts w:hint="eastAsia" w:ascii="宋体" w:hAnsi="宋体"/>
          <w:sz w:val="24"/>
        </w:rPr>
        <w:t>。</w:t>
      </w:r>
    </w:p>
    <w:p w14:paraId="73327965">
      <w:pPr>
        <w:widowControl/>
        <w:spacing w:line="460" w:lineRule="exact"/>
        <w:ind w:firstLine="480" w:firstLineChars="200"/>
        <w:jc w:val="left"/>
        <w:rPr>
          <w:rFonts w:hint="eastAsia" w:ascii="宋体" w:hAnsi="宋体"/>
          <w:sz w:val="24"/>
        </w:rPr>
      </w:pPr>
    </w:p>
    <w:p w14:paraId="5A4C2090">
      <w:pPr>
        <w:spacing w:line="312" w:lineRule="auto"/>
        <w:outlineLvl w:val="2"/>
        <w:rPr>
          <w:rFonts w:ascii="黑体" w:hAnsi="黑体" w:eastAsia="黑体"/>
          <w:sz w:val="32"/>
          <w:szCs w:val="32"/>
        </w:rPr>
      </w:pPr>
      <w:r>
        <w:rPr>
          <w:rFonts w:hint="eastAsia" w:ascii="黑体" w:hAnsi="黑体" w:eastAsia="黑体"/>
          <w:sz w:val="32"/>
          <w:szCs w:val="32"/>
        </w:rPr>
        <w:t>三、项目内容</w:t>
      </w:r>
    </w:p>
    <w:p w14:paraId="358A18DE">
      <w:pPr>
        <w:widowControl/>
        <w:spacing w:line="460" w:lineRule="exact"/>
        <w:ind w:firstLine="480" w:firstLineChars="200"/>
        <w:jc w:val="left"/>
        <w:rPr>
          <w:rFonts w:ascii="宋体" w:hAnsi="宋体"/>
          <w:sz w:val="24"/>
          <w:szCs w:val="24"/>
        </w:rPr>
      </w:pPr>
      <w:r>
        <w:rPr>
          <w:rFonts w:ascii="宋体" w:hAnsi="宋体"/>
          <w:sz w:val="24"/>
          <w:szCs w:val="24"/>
        </w:rPr>
        <w:t>本项目计划采购</w:t>
      </w:r>
      <w:r>
        <w:rPr>
          <w:rFonts w:hint="eastAsia" w:ascii="宋体" w:hAnsi="宋体" w:cs="宋体"/>
          <w:sz w:val="24"/>
          <w:szCs w:val="24"/>
        </w:rPr>
        <w:t>40Gbps上下行非对称的互联网出口带宽（简称：互联网非对称出口带宽），用于校园网用户的非关键网络应用的流量分流</w:t>
      </w:r>
      <w:r>
        <w:rPr>
          <w:rFonts w:hint="eastAsia" w:ascii="宋体" w:hAnsi="宋体" w:eastAsia="宋体" w:cs="宋体"/>
          <w:color w:val="000000"/>
          <w:kern w:val="0"/>
          <w:sz w:val="24"/>
          <w:szCs w:val="24"/>
        </w:rPr>
        <w:t>，</w:t>
      </w:r>
      <w:r>
        <w:rPr>
          <w:rFonts w:hint="eastAsia" w:ascii="宋体" w:hAnsi="宋体"/>
          <w:sz w:val="24"/>
          <w:szCs w:val="24"/>
        </w:rPr>
        <w:t>以解决现有</w:t>
      </w:r>
      <w:r>
        <w:rPr>
          <w:rFonts w:hint="eastAsia" w:ascii="宋体" w:hAnsi="宋体"/>
          <w:sz w:val="24"/>
          <w:szCs w:val="24"/>
          <w:lang w:val="en-US" w:eastAsia="zh-CN"/>
        </w:rPr>
        <w:t>带宽不足的</w:t>
      </w:r>
      <w:r>
        <w:rPr>
          <w:rFonts w:hint="eastAsia" w:ascii="宋体" w:hAnsi="宋体"/>
          <w:sz w:val="24"/>
          <w:szCs w:val="24"/>
        </w:rPr>
        <w:t>问题</w:t>
      </w:r>
      <w:r>
        <w:rPr>
          <w:rFonts w:hint="eastAsia" w:ascii="宋体" w:hAnsi="宋体"/>
          <w:sz w:val="24"/>
          <w:szCs w:val="24"/>
          <w:lang w:eastAsia="zh-CN"/>
        </w:rPr>
        <w:t>，</w:t>
      </w:r>
      <w:r>
        <w:rPr>
          <w:rFonts w:hint="eastAsia" w:ascii="宋体" w:hAnsi="宋体"/>
          <w:sz w:val="24"/>
          <w:szCs w:val="24"/>
        </w:rPr>
        <w:t>提升</w:t>
      </w:r>
      <w:r>
        <w:rPr>
          <w:rFonts w:hint="eastAsia" w:ascii="宋体" w:hAnsi="宋体"/>
          <w:sz w:val="24"/>
          <w:szCs w:val="24"/>
          <w:lang w:val="en-US" w:eastAsia="zh-CN"/>
        </w:rPr>
        <w:t>校园网</w:t>
      </w:r>
      <w:r>
        <w:rPr>
          <w:rFonts w:hint="eastAsia" w:ascii="宋体" w:hAnsi="宋体"/>
          <w:sz w:val="24"/>
          <w:szCs w:val="24"/>
        </w:rPr>
        <w:t>师生</w:t>
      </w:r>
      <w:r>
        <w:rPr>
          <w:rFonts w:hint="eastAsia" w:ascii="宋体" w:hAnsi="宋体"/>
          <w:sz w:val="24"/>
          <w:szCs w:val="24"/>
          <w:lang w:val="en-US" w:eastAsia="zh-CN"/>
        </w:rPr>
        <w:t>用户互联网访问的</w:t>
      </w:r>
      <w:r>
        <w:rPr>
          <w:rFonts w:hint="eastAsia" w:ascii="宋体" w:hAnsi="宋体"/>
          <w:sz w:val="24"/>
          <w:szCs w:val="24"/>
        </w:rPr>
        <w:t>体验</w:t>
      </w:r>
      <w:r>
        <w:rPr>
          <w:rFonts w:hint="eastAsia" w:ascii="宋体" w:hAnsi="宋体"/>
          <w:sz w:val="24"/>
          <w:szCs w:val="24"/>
          <w:lang w:val="en-US" w:eastAsia="zh-CN"/>
        </w:rPr>
        <w:t>度</w:t>
      </w:r>
      <w:r>
        <w:rPr>
          <w:rFonts w:hint="eastAsia" w:ascii="宋体" w:hAnsi="宋体"/>
          <w:sz w:val="24"/>
          <w:szCs w:val="24"/>
        </w:rPr>
        <w:t>。</w:t>
      </w:r>
    </w:p>
    <w:p w14:paraId="0DE8CD59">
      <w:pPr>
        <w:widowControl/>
        <w:spacing w:line="460" w:lineRule="exact"/>
        <w:ind w:firstLine="480" w:firstLineChars="200"/>
        <w:jc w:val="left"/>
        <w:rPr>
          <w:rFonts w:ascii="宋体" w:hAnsi="宋体"/>
          <w:sz w:val="24"/>
        </w:rPr>
      </w:pPr>
      <w:r>
        <w:rPr>
          <w:rFonts w:hint="eastAsia" w:ascii="宋体" w:hAnsi="宋体"/>
          <w:sz w:val="24"/>
        </w:rPr>
        <w:t>数量：1宗。</w:t>
      </w:r>
    </w:p>
    <w:p w14:paraId="35CA2253">
      <w:pPr>
        <w:spacing w:line="360" w:lineRule="auto"/>
        <w:ind w:firstLine="480" w:firstLineChars="200"/>
        <w:rPr>
          <w:rFonts w:hint="eastAsia" w:ascii="宋体" w:hAnsi="宋体"/>
          <w:sz w:val="24"/>
        </w:rPr>
      </w:pPr>
      <w:r>
        <w:rPr>
          <w:rFonts w:hint="eastAsia" w:ascii="宋体" w:hAnsi="宋体"/>
          <w:sz w:val="24"/>
        </w:rPr>
        <w:t>本项目共分为 1 个包，供应商不得对包中所投货物和服务分解后进行响应。</w:t>
      </w:r>
    </w:p>
    <w:p w14:paraId="044726D3">
      <w:pPr>
        <w:spacing w:line="360" w:lineRule="auto"/>
        <w:ind w:firstLine="480" w:firstLineChars="200"/>
        <w:rPr>
          <w:rFonts w:hint="eastAsia" w:ascii="宋体" w:hAnsi="宋体"/>
          <w:sz w:val="24"/>
          <w:lang w:eastAsia="zh-CN"/>
        </w:rPr>
      </w:pPr>
      <w:r>
        <w:rPr>
          <w:rFonts w:hint="eastAsia" w:ascii="宋体" w:hAnsi="宋体"/>
          <w:sz w:val="24"/>
        </w:rPr>
        <w:t>本项目预算金额为人民币</w:t>
      </w:r>
      <w:r>
        <w:rPr>
          <w:rFonts w:hint="eastAsia" w:ascii="宋体" w:hAnsi="宋体"/>
          <w:sz w:val="24"/>
          <w:highlight w:val="none"/>
        </w:rPr>
        <w:t>19.</w:t>
      </w:r>
      <w:r>
        <w:rPr>
          <w:rFonts w:hint="eastAsia" w:ascii="宋体" w:hAnsi="宋体"/>
          <w:sz w:val="24"/>
          <w:highlight w:val="none"/>
          <w:lang w:val="en-US" w:eastAsia="zh-CN"/>
        </w:rPr>
        <w:t>9</w:t>
      </w:r>
      <w:r>
        <w:rPr>
          <w:rFonts w:hint="eastAsia" w:ascii="宋体" w:hAnsi="宋体"/>
          <w:sz w:val="24"/>
        </w:rPr>
        <w:t>万元</w:t>
      </w:r>
      <w:r>
        <w:rPr>
          <w:rFonts w:hint="eastAsia" w:ascii="宋体" w:hAnsi="宋体"/>
          <w:sz w:val="24"/>
          <w:lang w:eastAsia="zh-CN"/>
        </w:rPr>
        <w:t>。</w:t>
      </w:r>
    </w:p>
    <w:p w14:paraId="0FFA4FEC">
      <w:pPr>
        <w:spacing w:line="360" w:lineRule="auto"/>
        <w:ind w:firstLine="480" w:firstLineChars="200"/>
      </w:pPr>
      <w:r>
        <w:rPr>
          <w:rFonts w:hint="eastAsia" w:ascii="宋体" w:hAnsi="宋体" w:cs="宋体"/>
          <w:sz w:val="24"/>
          <w:szCs w:val="24"/>
        </w:rPr>
        <w:t>采购服务期</w:t>
      </w:r>
      <w:r>
        <w:rPr>
          <w:rFonts w:hint="eastAsia" w:ascii="宋体" w:hAnsi="宋体" w:cs="宋体"/>
          <w:sz w:val="24"/>
          <w:szCs w:val="24"/>
          <w:lang w:val="en-US" w:eastAsia="zh-CN"/>
        </w:rPr>
        <w:t>3年</w:t>
      </w:r>
      <w:r>
        <w:rPr>
          <w:rFonts w:hint="eastAsia" w:ascii="宋体" w:hAnsi="宋体" w:cs="宋体"/>
          <w:sz w:val="24"/>
          <w:szCs w:val="24"/>
        </w:rPr>
        <w:t>。</w:t>
      </w:r>
    </w:p>
    <w:p w14:paraId="73CEC63E">
      <w:pPr>
        <w:bidi w:val="0"/>
      </w:pPr>
    </w:p>
    <w:p w14:paraId="72745DEC">
      <w:pPr>
        <w:outlineLvl w:val="2"/>
        <w:rPr>
          <w:rFonts w:hint="eastAsia" w:ascii="黑体" w:hAnsi="黑体" w:eastAsia="黑体"/>
          <w:sz w:val="32"/>
          <w:szCs w:val="32"/>
          <w:lang w:eastAsia="zh-CN"/>
        </w:rPr>
      </w:pPr>
      <w:r>
        <w:rPr>
          <w:rFonts w:hint="eastAsia" w:ascii="黑体" w:hAnsi="黑体" w:eastAsia="黑体"/>
          <w:sz w:val="32"/>
          <w:szCs w:val="32"/>
        </w:rPr>
        <w:t>四、技术</w:t>
      </w:r>
      <w:r>
        <w:rPr>
          <w:rFonts w:hint="eastAsia" w:ascii="黑体" w:hAnsi="黑体" w:eastAsia="黑体"/>
          <w:sz w:val="32"/>
          <w:szCs w:val="32"/>
          <w:lang w:val="en-US" w:eastAsia="zh-CN"/>
        </w:rPr>
        <w:t>要求</w:t>
      </w:r>
    </w:p>
    <w:p w14:paraId="75441E3E">
      <w:pPr>
        <w:pStyle w:val="7"/>
        <w:snapToGrid w:val="0"/>
        <w:spacing w:before="156" w:beforeLines="50" w:after="156" w:afterLines="50" w:line="240" w:lineRule="auto"/>
        <w:jc w:val="center"/>
      </w:pPr>
      <w:r>
        <w:rPr>
          <w:rFonts w:hint="eastAsia"/>
        </w:rPr>
        <w:t>山东大学校园网网络设备维保服务技术</w:t>
      </w:r>
      <w:r>
        <w:rPr>
          <w:rFonts w:hint="eastAsia"/>
          <w:lang w:val="en-US" w:eastAsia="zh-CN"/>
        </w:rPr>
        <w:t>要求</w:t>
      </w:r>
    </w:p>
    <w:tbl>
      <w:tblPr>
        <w:tblStyle w:val="18"/>
        <w:tblW w:w="9991" w:type="dxa"/>
        <w:tblInd w:w="-2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0"/>
        <w:gridCol w:w="1160"/>
        <w:gridCol w:w="4370"/>
        <w:gridCol w:w="2050"/>
        <w:gridCol w:w="1100"/>
        <w:gridCol w:w="651"/>
      </w:tblGrid>
      <w:tr w14:paraId="1BEFA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19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26945">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b/>
                <w:sz w:val="21"/>
                <w:szCs w:val="21"/>
              </w:rPr>
              <w:t>采购人要求（用户填写）</w:t>
            </w:r>
          </w:p>
        </w:tc>
        <w:tc>
          <w:tcPr>
            <w:tcW w:w="380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9A505">
            <w:pPr>
              <w:jc w:val="center"/>
              <w:rPr>
                <w:b/>
                <w:bCs/>
                <w:sz w:val="21"/>
                <w:szCs w:val="21"/>
              </w:rPr>
            </w:pPr>
            <w:r>
              <w:rPr>
                <w:rFonts w:hint="eastAsia"/>
                <w:b/>
                <w:kern w:val="0"/>
                <w:sz w:val="21"/>
                <w:szCs w:val="21"/>
              </w:rPr>
              <w:t>投标人响应（投标人填写）</w:t>
            </w:r>
          </w:p>
        </w:tc>
      </w:tr>
      <w:tr w14:paraId="3A277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711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4EB8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指标项</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D8F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指标要求</w:t>
            </w:r>
          </w:p>
        </w:tc>
        <w:tc>
          <w:tcPr>
            <w:tcW w:w="2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EBAE6">
            <w:pPr>
              <w:jc w:val="center"/>
              <w:rPr>
                <w:rFonts w:hint="eastAsia" w:ascii="宋体" w:hAnsi="宋体" w:eastAsia="宋体" w:cs="宋体"/>
                <w:b/>
                <w:bCs/>
                <w:i w:val="0"/>
                <w:iCs w:val="0"/>
                <w:color w:val="000000"/>
                <w:kern w:val="0"/>
                <w:sz w:val="21"/>
                <w:szCs w:val="21"/>
                <w:u w:val="none"/>
                <w:lang w:val="en-US" w:eastAsia="zh-CN" w:bidi="ar"/>
              </w:rPr>
            </w:pPr>
            <w:r>
              <w:rPr>
                <w:rFonts w:hint="eastAsia"/>
                <w:b/>
                <w:bCs/>
                <w:sz w:val="21"/>
                <w:szCs w:val="21"/>
              </w:rPr>
              <w:t>应答技术规格指标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2E8C2">
            <w:pPr>
              <w:jc w:val="center"/>
              <w:rPr>
                <w:rFonts w:hint="eastAsia" w:ascii="宋体" w:hAnsi="宋体" w:eastAsia="宋体" w:cs="宋体"/>
                <w:b/>
                <w:bCs/>
                <w:i w:val="0"/>
                <w:iCs w:val="0"/>
                <w:color w:val="000000"/>
                <w:kern w:val="0"/>
                <w:sz w:val="21"/>
                <w:szCs w:val="21"/>
                <w:u w:val="none"/>
                <w:lang w:val="en-US" w:eastAsia="zh-CN" w:bidi="ar"/>
              </w:rPr>
            </w:pPr>
            <w:r>
              <w:rPr>
                <w:rFonts w:hint="eastAsia"/>
                <w:b/>
                <w:bCs/>
                <w:sz w:val="21"/>
                <w:szCs w:val="21"/>
              </w:rPr>
              <w:t>技术指标偏离情况</w:t>
            </w: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0EE86">
            <w:pPr>
              <w:jc w:val="center"/>
              <w:rPr>
                <w:rFonts w:hint="eastAsia" w:ascii="宋体" w:hAnsi="宋体" w:eastAsia="宋体" w:cs="宋体"/>
                <w:b/>
                <w:bCs/>
                <w:i w:val="0"/>
                <w:iCs w:val="0"/>
                <w:color w:val="000000"/>
                <w:kern w:val="0"/>
                <w:sz w:val="21"/>
                <w:szCs w:val="21"/>
                <w:u w:val="none"/>
                <w:lang w:val="en-US" w:eastAsia="zh-CN" w:bidi="ar"/>
              </w:rPr>
            </w:pPr>
            <w:r>
              <w:rPr>
                <w:b/>
                <w:bCs/>
                <w:sz w:val="21"/>
                <w:szCs w:val="21"/>
              </w:rPr>
              <w:t>备注</w:t>
            </w:r>
          </w:p>
        </w:tc>
      </w:tr>
      <w:tr w14:paraId="05751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732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5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60533">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互联网非对称出口带宽</w:t>
            </w:r>
          </w:p>
        </w:tc>
        <w:tc>
          <w:tcPr>
            <w:tcW w:w="2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965F">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F4CA6">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DF9A2">
            <w:pPr>
              <w:keepNext w:val="0"/>
              <w:keepLines w:val="0"/>
              <w:widowControl/>
              <w:suppressLineNumbers w:val="0"/>
              <w:jc w:val="left"/>
              <w:textAlignment w:val="center"/>
              <w:rPr>
                <w:rFonts w:hint="eastAsia" w:ascii="宋体" w:hAnsi="宋体" w:eastAsia="宋体" w:cs="宋体"/>
                <w:b/>
                <w:bCs/>
                <w:i w:val="0"/>
                <w:iCs w:val="0"/>
                <w:color w:val="000000"/>
                <w:kern w:val="0"/>
                <w:sz w:val="21"/>
                <w:szCs w:val="21"/>
                <w:u w:val="none"/>
                <w:lang w:val="en-US" w:eastAsia="zh-CN" w:bidi="ar"/>
              </w:rPr>
            </w:pPr>
          </w:p>
        </w:tc>
      </w:tr>
      <w:tr w14:paraId="3CC17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7F2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EC8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★带宽需求</w:t>
            </w: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99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提供上下行非对称的互联网出口带宽（简称：互联网非对称出口带宽），总带宽≥40Gbps。</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66A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3141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DAD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8546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1DD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45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出口带宽性能</w:t>
            </w: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E3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投标方承诺提供的互联链路国内、国外互联网访问性能不低于投标方相应宽带服务的网内标准。</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C8AF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DF3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A77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0323E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03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F8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互联接口</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E2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使用40G端口方式供招标方接入。</w:t>
            </w:r>
          </w:p>
        </w:tc>
        <w:tc>
          <w:tcPr>
            <w:tcW w:w="2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40DE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E8A2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8742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DF42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E56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AB3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设备接入方式</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A12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支持投标方使用现有网络设备进行接入并连接到互联网。</w:t>
            </w:r>
          </w:p>
        </w:tc>
        <w:tc>
          <w:tcPr>
            <w:tcW w:w="2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B0F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E730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D9B0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60223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29C68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1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266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△IPv4 地址要求</w:t>
            </w: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31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1、提供固定公网IPV4地址不少于40个，该地址仅供招标方使用，以便招标方的期刊杂志等应用进行基于IP地址的注册；</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42E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CBB4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8C4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8139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350932">
            <w:pPr>
              <w:jc w:val="center"/>
              <w:rPr>
                <w:rFonts w:hint="eastAsia" w:ascii="宋体" w:hAnsi="宋体" w:eastAsia="宋体" w:cs="宋体"/>
                <w:i w:val="0"/>
                <w:iCs w:val="0"/>
                <w:color w:val="000000"/>
                <w:sz w:val="21"/>
                <w:szCs w:val="21"/>
                <w:u w:val="none"/>
              </w:rPr>
            </w:pPr>
          </w:p>
        </w:tc>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4B860">
            <w:pPr>
              <w:jc w:val="center"/>
              <w:rPr>
                <w:rFonts w:hint="eastAsia" w:ascii="宋体" w:hAnsi="宋体" w:eastAsia="宋体" w:cs="宋体"/>
                <w:i w:val="0"/>
                <w:iCs w:val="0"/>
                <w:color w:val="000000"/>
                <w:sz w:val="21"/>
                <w:szCs w:val="21"/>
                <w:u w:val="none"/>
              </w:rPr>
            </w:pP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8E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2、如果40G带宽是由多条千兆非对称带宽聚合而成，IPV4 地址可用地址数量应不少于非对称带宽条数与40两数字较大者。</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A86F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CEE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5CFB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1214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4F87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1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4F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△IPv6 地址要求</w:t>
            </w: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8D3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1、提供专享IPV6公网地址；</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EEDF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7247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71D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4B0A2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D8569F">
            <w:pPr>
              <w:jc w:val="center"/>
              <w:rPr>
                <w:rFonts w:hint="eastAsia" w:ascii="宋体" w:hAnsi="宋体" w:eastAsia="宋体" w:cs="宋体"/>
                <w:i w:val="0"/>
                <w:iCs w:val="0"/>
                <w:color w:val="000000"/>
                <w:sz w:val="21"/>
                <w:szCs w:val="21"/>
                <w:u w:val="none"/>
              </w:rPr>
            </w:pPr>
          </w:p>
        </w:tc>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105BF">
            <w:pPr>
              <w:jc w:val="center"/>
              <w:rPr>
                <w:rFonts w:hint="eastAsia" w:ascii="宋体" w:hAnsi="宋体" w:eastAsia="宋体" w:cs="宋体"/>
                <w:i w:val="0"/>
                <w:iCs w:val="0"/>
                <w:color w:val="000000"/>
                <w:sz w:val="21"/>
                <w:szCs w:val="21"/>
                <w:u w:val="none"/>
              </w:rPr>
            </w:pP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21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2、所提供宽带可同时获取IPV4及IPV6公网地址，需支持IPV4/IPV6双栈。</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869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B280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A25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3288D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6E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48F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独享纤芯接入</w:t>
            </w: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9B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从投标方接入机房设备端口至采购人机房段之间需为光缆纤芯独享方式。</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E45E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230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0CD6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B687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FDA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054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线路冗余保护</w:t>
            </w: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0A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如果40G带宽由多条千兆非对称带宽聚合而成，则需要保证互联网线路上联至供应商不同机房的汇聚设备，避免因线路或设备故障造成业务全部中断。</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B130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43C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076A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6E1A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FCE5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1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64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网络质量</w:t>
            </w: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915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闲时通道互联地址对PING（100字节）平均时延不高于5ms，丢包率不大于0.1%；忙时（20:00-0:00）时延不高于25ms，丢包率不大于0.5%；</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A62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856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538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D078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9D3726">
            <w:pPr>
              <w:jc w:val="center"/>
              <w:rPr>
                <w:rFonts w:hint="eastAsia" w:ascii="宋体" w:hAnsi="宋体" w:eastAsia="宋体" w:cs="宋体"/>
                <w:i w:val="0"/>
                <w:iCs w:val="0"/>
                <w:color w:val="000000"/>
                <w:sz w:val="21"/>
                <w:szCs w:val="21"/>
                <w:u w:val="none"/>
              </w:rPr>
            </w:pPr>
          </w:p>
        </w:tc>
        <w:tc>
          <w:tcPr>
            <w:tcW w:w="11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0F761">
            <w:pPr>
              <w:jc w:val="center"/>
              <w:rPr>
                <w:rFonts w:hint="eastAsia" w:ascii="宋体" w:hAnsi="宋体" w:eastAsia="宋体" w:cs="宋体"/>
                <w:i w:val="0"/>
                <w:iCs w:val="0"/>
                <w:color w:val="000000"/>
                <w:sz w:val="21"/>
                <w:szCs w:val="21"/>
                <w:u w:val="none"/>
              </w:rPr>
            </w:pP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B5D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闲时通道互联地址对PING（1500字节）平均时延不高于10ms，丢包率不大于0.3%；忙时（20:00-0:00）时延不高于50ms，丢包率不大于1%；Ping国内主要网站时延不高于50ms，丢包率不大于0.5%；网络可用性为优于99.0%。</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C5F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9372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CF4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597DD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E53B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5D5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★服务实配要求</w:t>
            </w:r>
          </w:p>
        </w:tc>
        <w:tc>
          <w:tcPr>
            <w:tcW w:w="4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BB9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供应商应提供总带宽不低于40Gbps的上下行非对称的互联网宽带服务；供应商应提供用于采购方设备接入本宽带的光模块及线缆。</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38BB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246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A3F6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bl>
    <w:p w14:paraId="24D9CA14">
      <w:pPr>
        <w:pStyle w:val="34"/>
        <w:snapToGrid w:val="0"/>
        <w:spacing w:before="62" w:beforeLines="20" w:after="62" w:afterLines="20"/>
        <w:ind w:firstLine="105" w:firstLineChars="50"/>
        <w:rPr>
          <w:rFonts w:hint="eastAsia" w:ascii="宋体" w:hAnsi="宋体" w:eastAsia="宋体" w:cs="宋体"/>
          <w:b/>
          <w:szCs w:val="21"/>
          <w:lang w:val="en-US" w:eastAsia="zh-CN"/>
        </w:rPr>
      </w:pPr>
    </w:p>
    <w:p w14:paraId="7A24E7D1">
      <w:pPr>
        <w:pStyle w:val="26"/>
      </w:pPr>
    </w:p>
    <w:p w14:paraId="522A297F">
      <w:pPr>
        <w:outlineLvl w:val="2"/>
        <w:rPr>
          <w:rFonts w:ascii="宋体" w:hAnsi="宋体"/>
          <w:sz w:val="24"/>
        </w:rPr>
      </w:pPr>
      <w:r>
        <w:rPr>
          <w:rFonts w:hint="eastAsia" w:ascii="黑体" w:hAnsi="黑体" w:eastAsia="黑体"/>
          <w:sz w:val="32"/>
          <w:szCs w:val="32"/>
        </w:rPr>
        <w:t>五、商务条款</w:t>
      </w:r>
    </w:p>
    <w:p w14:paraId="3686CADF">
      <w:pPr>
        <w:pStyle w:val="7"/>
        <w:snapToGrid w:val="0"/>
        <w:spacing w:before="156" w:beforeLines="50" w:after="156" w:afterLines="50" w:line="240" w:lineRule="auto"/>
        <w:jc w:val="center"/>
      </w:pPr>
      <w:r>
        <w:rPr>
          <w:rFonts w:hint="eastAsia"/>
        </w:rPr>
        <w:t>山东大学服务采购商务条款响应一览表</w:t>
      </w:r>
    </w:p>
    <w:tbl>
      <w:tblPr>
        <w:tblStyle w:val="18"/>
        <w:tblW w:w="980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11"/>
        <w:gridCol w:w="1850"/>
        <w:gridCol w:w="3990"/>
        <w:gridCol w:w="2750"/>
      </w:tblGrid>
      <w:tr w14:paraId="51271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1211" w:type="dxa"/>
            <w:tcBorders>
              <w:top w:val="single" w:color="auto" w:sz="4" w:space="0"/>
              <w:left w:val="single" w:color="auto" w:sz="4" w:space="0"/>
              <w:bottom w:val="single" w:color="auto" w:sz="4" w:space="0"/>
              <w:right w:val="single" w:color="auto" w:sz="4" w:space="0"/>
            </w:tcBorders>
            <w:vAlign w:val="center"/>
          </w:tcPr>
          <w:p w14:paraId="5D7A9AFB">
            <w:pPr>
              <w:spacing w:line="420" w:lineRule="exact"/>
              <w:jc w:val="center"/>
              <w:rPr>
                <w:rFonts w:ascii="宋体" w:hAnsi="宋体" w:eastAsia="宋体"/>
                <w:b/>
                <w:bCs/>
                <w:szCs w:val="21"/>
              </w:rPr>
            </w:pPr>
            <w:r>
              <w:rPr>
                <w:rFonts w:hint="eastAsia" w:ascii="宋体" w:hAnsi="宋体" w:eastAsia="宋体"/>
                <w:b/>
                <w:bCs/>
                <w:szCs w:val="21"/>
              </w:rPr>
              <w:t>项目序号</w:t>
            </w:r>
          </w:p>
        </w:tc>
        <w:tc>
          <w:tcPr>
            <w:tcW w:w="1850" w:type="dxa"/>
            <w:tcBorders>
              <w:top w:val="single" w:color="auto" w:sz="4" w:space="0"/>
              <w:left w:val="single" w:color="auto" w:sz="4" w:space="0"/>
              <w:bottom w:val="single" w:color="auto" w:sz="4" w:space="0"/>
              <w:right w:val="single" w:color="auto" w:sz="4" w:space="0"/>
            </w:tcBorders>
            <w:vAlign w:val="center"/>
          </w:tcPr>
          <w:p w14:paraId="439882CC">
            <w:pPr>
              <w:spacing w:line="420" w:lineRule="exact"/>
              <w:jc w:val="center"/>
              <w:rPr>
                <w:rFonts w:ascii="宋体" w:hAnsi="宋体" w:eastAsia="宋体"/>
                <w:b/>
                <w:bCs/>
                <w:szCs w:val="21"/>
              </w:rPr>
            </w:pPr>
            <w:r>
              <w:rPr>
                <w:rFonts w:hint="eastAsia" w:ascii="宋体" w:hAnsi="宋体" w:eastAsia="宋体"/>
                <w:b/>
                <w:bCs/>
                <w:szCs w:val="21"/>
              </w:rPr>
              <w:t>项目名称</w:t>
            </w:r>
          </w:p>
        </w:tc>
        <w:tc>
          <w:tcPr>
            <w:tcW w:w="3990" w:type="dxa"/>
            <w:tcBorders>
              <w:top w:val="single" w:color="auto" w:sz="4" w:space="0"/>
              <w:left w:val="single" w:color="auto" w:sz="4" w:space="0"/>
              <w:bottom w:val="single" w:color="auto" w:sz="4" w:space="0"/>
              <w:right w:val="single" w:color="auto" w:sz="4" w:space="0"/>
            </w:tcBorders>
            <w:vAlign w:val="center"/>
          </w:tcPr>
          <w:p w14:paraId="4CDEB05D">
            <w:pPr>
              <w:spacing w:line="420" w:lineRule="exact"/>
              <w:jc w:val="center"/>
              <w:rPr>
                <w:rFonts w:ascii="宋体" w:hAnsi="宋体" w:eastAsia="宋体"/>
                <w:b/>
                <w:bCs/>
                <w:szCs w:val="21"/>
              </w:rPr>
            </w:pPr>
            <w:r>
              <w:rPr>
                <w:rFonts w:hint="eastAsia" w:ascii="宋体" w:hAnsi="宋体" w:eastAsia="宋体"/>
                <w:b/>
                <w:bCs/>
                <w:szCs w:val="21"/>
              </w:rPr>
              <w:t>采购人要求</w:t>
            </w:r>
          </w:p>
        </w:tc>
        <w:tc>
          <w:tcPr>
            <w:tcW w:w="2750" w:type="dxa"/>
            <w:tcBorders>
              <w:top w:val="single" w:color="auto" w:sz="4" w:space="0"/>
              <w:left w:val="single" w:color="auto" w:sz="4" w:space="0"/>
              <w:bottom w:val="single" w:color="auto" w:sz="4" w:space="0"/>
              <w:right w:val="single" w:color="auto" w:sz="4" w:space="0"/>
            </w:tcBorders>
            <w:vAlign w:val="center"/>
          </w:tcPr>
          <w:p w14:paraId="1DA4FC3C">
            <w:pPr>
              <w:spacing w:line="420" w:lineRule="exact"/>
              <w:jc w:val="center"/>
              <w:rPr>
                <w:rFonts w:hint="eastAsia" w:ascii="宋体" w:hAnsi="宋体" w:eastAsia="宋体"/>
                <w:b/>
                <w:bCs/>
                <w:szCs w:val="21"/>
              </w:rPr>
            </w:pPr>
            <w:r>
              <w:rPr>
                <w:rFonts w:hint="eastAsia"/>
                <w:b/>
                <w:bCs/>
                <w:szCs w:val="21"/>
              </w:rPr>
              <w:t>投标人响应</w:t>
            </w:r>
          </w:p>
        </w:tc>
      </w:tr>
      <w:tr w14:paraId="074C92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211" w:type="dxa"/>
            <w:tcBorders>
              <w:top w:val="single" w:color="auto" w:sz="4" w:space="0"/>
              <w:left w:val="single" w:color="auto" w:sz="4" w:space="0"/>
              <w:bottom w:val="single" w:color="auto" w:sz="4" w:space="0"/>
              <w:right w:val="single" w:color="auto" w:sz="4" w:space="0"/>
            </w:tcBorders>
            <w:vAlign w:val="center"/>
          </w:tcPr>
          <w:p w14:paraId="00B1BE79">
            <w:pPr>
              <w:spacing w:line="420" w:lineRule="exact"/>
              <w:jc w:val="center"/>
              <w:rPr>
                <w:rFonts w:ascii="宋体" w:hAnsi="宋体" w:eastAsia="宋体"/>
                <w:bCs/>
                <w:szCs w:val="21"/>
              </w:rPr>
            </w:pPr>
            <w:r>
              <w:rPr>
                <w:rFonts w:hint="eastAsia" w:ascii="宋体" w:hAnsi="宋体" w:eastAsia="宋体"/>
                <w:bCs/>
                <w:szCs w:val="21"/>
              </w:rPr>
              <w:t>1</w:t>
            </w:r>
          </w:p>
        </w:tc>
        <w:tc>
          <w:tcPr>
            <w:tcW w:w="1850" w:type="dxa"/>
            <w:tcBorders>
              <w:top w:val="single" w:color="auto" w:sz="4" w:space="0"/>
              <w:left w:val="single" w:color="auto" w:sz="4" w:space="0"/>
              <w:bottom w:val="single" w:color="auto" w:sz="4" w:space="0"/>
              <w:right w:val="single" w:color="auto" w:sz="4" w:space="0"/>
            </w:tcBorders>
            <w:vAlign w:val="center"/>
          </w:tcPr>
          <w:p w14:paraId="3DE4DD88">
            <w:pPr>
              <w:spacing w:line="420" w:lineRule="exact"/>
              <w:jc w:val="center"/>
              <w:rPr>
                <w:rFonts w:hint="eastAsia" w:ascii="宋体" w:hAnsi="宋体" w:eastAsia="宋体"/>
                <w:szCs w:val="21"/>
              </w:rPr>
            </w:pPr>
            <w:r>
              <w:rPr>
                <w:rFonts w:hint="eastAsia" w:ascii="宋体" w:hAnsi="宋体" w:eastAsia="宋体"/>
                <w:szCs w:val="21"/>
              </w:rPr>
              <w:t>成交价</w:t>
            </w:r>
          </w:p>
        </w:tc>
        <w:tc>
          <w:tcPr>
            <w:tcW w:w="3990" w:type="dxa"/>
            <w:tcBorders>
              <w:top w:val="single" w:color="auto" w:sz="4" w:space="0"/>
              <w:left w:val="single" w:color="auto" w:sz="4" w:space="0"/>
              <w:bottom w:val="single" w:color="auto" w:sz="4" w:space="0"/>
              <w:right w:val="single" w:color="auto" w:sz="4" w:space="0"/>
            </w:tcBorders>
            <w:vAlign w:val="center"/>
          </w:tcPr>
          <w:p w14:paraId="10137F61">
            <w:pPr>
              <w:spacing w:line="420" w:lineRule="exact"/>
              <w:rPr>
                <w:rFonts w:ascii="宋体" w:hAnsi="宋体" w:eastAsia="宋体"/>
                <w:szCs w:val="21"/>
              </w:rPr>
            </w:pPr>
            <w:r>
              <w:rPr>
                <w:rFonts w:hint="eastAsia" w:ascii="宋体" w:hAnsi="宋体" w:eastAsia="宋体"/>
                <w:szCs w:val="21"/>
              </w:rPr>
              <w:t>人民币</w:t>
            </w:r>
          </w:p>
        </w:tc>
        <w:tc>
          <w:tcPr>
            <w:tcW w:w="2750" w:type="dxa"/>
            <w:tcBorders>
              <w:top w:val="single" w:color="auto" w:sz="4" w:space="0"/>
              <w:left w:val="single" w:color="auto" w:sz="4" w:space="0"/>
              <w:bottom w:val="single" w:color="auto" w:sz="4" w:space="0"/>
              <w:right w:val="single" w:color="auto" w:sz="4" w:space="0"/>
            </w:tcBorders>
            <w:vAlign w:val="center"/>
          </w:tcPr>
          <w:p w14:paraId="5A938BD6">
            <w:pPr>
              <w:spacing w:line="420" w:lineRule="exact"/>
              <w:rPr>
                <w:rFonts w:hint="eastAsia" w:ascii="宋体" w:hAnsi="宋体" w:eastAsia="宋体"/>
                <w:szCs w:val="21"/>
              </w:rPr>
            </w:pPr>
          </w:p>
        </w:tc>
      </w:tr>
      <w:tr w14:paraId="7D687B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1211" w:type="dxa"/>
            <w:tcBorders>
              <w:top w:val="single" w:color="auto" w:sz="4" w:space="0"/>
              <w:left w:val="single" w:color="auto" w:sz="4" w:space="0"/>
              <w:bottom w:val="single" w:color="auto" w:sz="4" w:space="0"/>
              <w:right w:val="single" w:color="auto" w:sz="4" w:space="0"/>
            </w:tcBorders>
            <w:vAlign w:val="center"/>
          </w:tcPr>
          <w:p w14:paraId="45A1CEA9">
            <w:pPr>
              <w:spacing w:line="420" w:lineRule="exact"/>
              <w:jc w:val="center"/>
              <w:rPr>
                <w:rFonts w:ascii="宋体" w:hAnsi="宋体" w:eastAsia="宋体"/>
                <w:bCs/>
                <w:szCs w:val="21"/>
              </w:rPr>
            </w:pPr>
            <w:r>
              <w:rPr>
                <w:rFonts w:hint="eastAsia" w:ascii="宋体" w:hAnsi="宋体" w:eastAsia="宋体"/>
                <w:bCs/>
                <w:szCs w:val="21"/>
              </w:rPr>
              <w:t>2</w:t>
            </w:r>
          </w:p>
        </w:tc>
        <w:tc>
          <w:tcPr>
            <w:tcW w:w="1850" w:type="dxa"/>
            <w:tcBorders>
              <w:top w:val="single" w:color="auto" w:sz="4" w:space="0"/>
              <w:left w:val="single" w:color="auto" w:sz="4" w:space="0"/>
              <w:bottom w:val="single" w:color="auto" w:sz="4" w:space="0"/>
              <w:right w:val="single" w:color="auto" w:sz="4" w:space="0"/>
            </w:tcBorders>
            <w:vAlign w:val="center"/>
          </w:tcPr>
          <w:p w14:paraId="6B81F4EB">
            <w:pPr>
              <w:spacing w:line="420" w:lineRule="exact"/>
              <w:jc w:val="center"/>
              <w:rPr>
                <w:rFonts w:hint="eastAsia" w:ascii="宋体" w:hAnsi="宋体" w:eastAsia="宋体"/>
                <w:szCs w:val="21"/>
              </w:rPr>
            </w:pPr>
            <w:r>
              <w:rPr>
                <w:rFonts w:hint="eastAsia" w:ascii="宋体" w:hAnsi="宋体" w:eastAsia="宋体"/>
                <w:szCs w:val="21"/>
              </w:rPr>
              <w:t>交付期</w:t>
            </w:r>
          </w:p>
        </w:tc>
        <w:tc>
          <w:tcPr>
            <w:tcW w:w="3990" w:type="dxa"/>
            <w:tcBorders>
              <w:top w:val="single" w:color="auto" w:sz="4" w:space="0"/>
              <w:left w:val="single" w:color="auto" w:sz="4" w:space="0"/>
              <w:bottom w:val="single" w:color="auto" w:sz="4" w:space="0"/>
              <w:right w:val="single" w:color="auto" w:sz="4" w:space="0"/>
            </w:tcBorders>
            <w:vAlign w:val="center"/>
          </w:tcPr>
          <w:p w14:paraId="739DDF2B">
            <w:pPr>
              <w:spacing w:line="420" w:lineRule="exact"/>
              <w:jc w:val="left"/>
              <w:rPr>
                <w:rFonts w:hint="default" w:ascii="宋体" w:hAnsi="宋体" w:eastAsia="宋体"/>
                <w:szCs w:val="21"/>
                <w:lang w:val="en-US" w:eastAsia="zh-CN"/>
              </w:rPr>
            </w:pPr>
            <w:r>
              <w:rPr>
                <w:rFonts w:hint="eastAsia" w:ascii="宋体" w:hAnsi="宋体" w:eastAsia="宋体"/>
                <w:szCs w:val="21"/>
                <w:lang w:val="en-US" w:eastAsia="zh-CN"/>
              </w:rPr>
              <w:t>合同签订后15日</w:t>
            </w:r>
            <w:r>
              <w:rPr>
                <w:rFonts w:hint="eastAsia" w:ascii="宋体" w:hAnsi="宋体" w:eastAsia="宋体"/>
                <w:szCs w:val="21"/>
              </w:rPr>
              <w:t>内完成</w:t>
            </w:r>
            <w:r>
              <w:rPr>
                <w:rFonts w:hint="eastAsia" w:ascii="宋体" w:hAnsi="宋体" w:eastAsia="宋体"/>
                <w:szCs w:val="21"/>
                <w:lang w:val="en-US" w:eastAsia="zh-CN"/>
              </w:rPr>
              <w:t>部署服务。</w:t>
            </w:r>
          </w:p>
        </w:tc>
        <w:tc>
          <w:tcPr>
            <w:tcW w:w="2750" w:type="dxa"/>
            <w:tcBorders>
              <w:top w:val="single" w:color="auto" w:sz="4" w:space="0"/>
              <w:left w:val="single" w:color="auto" w:sz="4" w:space="0"/>
              <w:bottom w:val="single" w:color="auto" w:sz="4" w:space="0"/>
              <w:right w:val="single" w:color="auto" w:sz="4" w:space="0"/>
            </w:tcBorders>
            <w:vAlign w:val="center"/>
          </w:tcPr>
          <w:p w14:paraId="3BFD046C">
            <w:pPr>
              <w:spacing w:line="420" w:lineRule="exact"/>
              <w:jc w:val="left"/>
              <w:rPr>
                <w:rFonts w:hint="eastAsia" w:ascii="宋体" w:hAnsi="宋体" w:eastAsia="宋体"/>
                <w:szCs w:val="21"/>
                <w:lang w:val="en-US" w:eastAsia="zh-CN"/>
              </w:rPr>
            </w:pPr>
          </w:p>
        </w:tc>
      </w:tr>
      <w:tr w14:paraId="7EDE25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1211" w:type="dxa"/>
            <w:tcBorders>
              <w:top w:val="single" w:color="auto" w:sz="4" w:space="0"/>
              <w:left w:val="single" w:color="auto" w:sz="4" w:space="0"/>
              <w:bottom w:val="single" w:color="auto" w:sz="4" w:space="0"/>
              <w:right w:val="single" w:color="auto" w:sz="4" w:space="0"/>
            </w:tcBorders>
            <w:vAlign w:val="center"/>
          </w:tcPr>
          <w:p w14:paraId="06C534FE">
            <w:pPr>
              <w:spacing w:line="420" w:lineRule="exact"/>
              <w:jc w:val="center"/>
              <w:rPr>
                <w:rFonts w:ascii="宋体" w:hAnsi="宋体" w:eastAsia="宋体"/>
                <w:bCs/>
                <w:szCs w:val="21"/>
              </w:rPr>
            </w:pPr>
            <w:r>
              <w:rPr>
                <w:rFonts w:hint="eastAsia" w:ascii="宋体" w:hAnsi="宋体" w:eastAsia="宋体"/>
                <w:bCs/>
                <w:szCs w:val="21"/>
              </w:rPr>
              <w:t>3</w:t>
            </w:r>
          </w:p>
        </w:tc>
        <w:tc>
          <w:tcPr>
            <w:tcW w:w="1850" w:type="dxa"/>
            <w:tcBorders>
              <w:top w:val="single" w:color="auto" w:sz="4" w:space="0"/>
              <w:left w:val="single" w:color="auto" w:sz="4" w:space="0"/>
              <w:bottom w:val="single" w:color="auto" w:sz="4" w:space="0"/>
              <w:right w:val="single" w:color="auto" w:sz="4" w:space="0"/>
            </w:tcBorders>
            <w:vAlign w:val="center"/>
          </w:tcPr>
          <w:p w14:paraId="568EB0F7">
            <w:pPr>
              <w:spacing w:line="420" w:lineRule="exact"/>
              <w:jc w:val="center"/>
              <w:rPr>
                <w:rFonts w:hint="eastAsia" w:ascii="宋体" w:hAnsi="宋体" w:eastAsia="宋体"/>
                <w:szCs w:val="21"/>
              </w:rPr>
            </w:pPr>
            <w:r>
              <w:rPr>
                <w:rFonts w:hint="eastAsia" w:ascii="宋体" w:hAnsi="宋体" w:eastAsia="宋体"/>
                <w:szCs w:val="21"/>
                <w:lang w:val="en-US" w:eastAsia="zh-CN"/>
              </w:rPr>
              <w:t>开通日期</w:t>
            </w:r>
          </w:p>
        </w:tc>
        <w:tc>
          <w:tcPr>
            <w:tcW w:w="3990" w:type="dxa"/>
            <w:tcBorders>
              <w:top w:val="single" w:color="auto" w:sz="4" w:space="0"/>
              <w:left w:val="single" w:color="auto" w:sz="4" w:space="0"/>
              <w:bottom w:val="single" w:color="auto" w:sz="4" w:space="0"/>
              <w:right w:val="single" w:color="auto" w:sz="4" w:space="0"/>
            </w:tcBorders>
            <w:vAlign w:val="center"/>
          </w:tcPr>
          <w:p w14:paraId="3B27D284">
            <w:pPr>
              <w:spacing w:line="420" w:lineRule="exact"/>
              <w:jc w:val="left"/>
              <w:rPr>
                <w:rFonts w:hint="eastAsia" w:ascii="宋体" w:hAnsi="宋体" w:eastAsia="宋体"/>
                <w:szCs w:val="21"/>
              </w:rPr>
            </w:pPr>
            <w:r>
              <w:rPr>
                <w:rFonts w:hint="eastAsia" w:ascii="宋体" w:hAnsi="宋体" w:eastAsia="宋体"/>
                <w:szCs w:val="21"/>
                <w:lang w:val="en-US" w:eastAsia="zh-CN"/>
              </w:rPr>
              <w:t>2027年3月1日开通服务。</w:t>
            </w:r>
          </w:p>
        </w:tc>
        <w:tc>
          <w:tcPr>
            <w:tcW w:w="2750" w:type="dxa"/>
            <w:tcBorders>
              <w:top w:val="single" w:color="auto" w:sz="4" w:space="0"/>
              <w:left w:val="single" w:color="auto" w:sz="4" w:space="0"/>
              <w:bottom w:val="single" w:color="auto" w:sz="4" w:space="0"/>
              <w:right w:val="single" w:color="auto" w:sz="4" w:space="0"/>
            </w:tcBorders>
            <w:vAlign w:val="center"/>
          </w:tcPr>
          <w:p w14:paraId="23F6A1F8">
            <w:pPr>
              <w:spacing w:line="420" w:lineRule="exact"/>
              <w:jc w:val="left"/>
              <w:rPr>
                <w:rFonts w:hint="eastAsia" w:ascii="宋体" w:hAnsi="宋体" w:eastAsia="宋体"/>
                <w:szCs w:val="21"/>
              </w:rPr>
            </w:pPr>
          </w:p>
        </w:tc>
      </w:tr>
      <w:tr w14:paraId="65A053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1211" w:type="dxa"/>
            <w:tcBorders>
              <w:top w:val="single" w:color="auto" w:sz="4" w:space="0"/>
              <w:left w:val="single" w:color="auto" w:sz="4" w:space="0"/>
              <w:bottom w:val="single" w:color="auto" w:sz="4" w:space="0"/>
              <w:right w:val="single" w:color="auto" w:sz="4" w:space="0"/>
            </w:tcBorders>
            <w:vAlign w:val="center"/>
          </w:tcPr>
          <w:p w14:paraId="32FAFAF3">
            <w:pPr>
              <w:spacing w:line="420" w:lineRule="exact"/>
              <w:jc w:val="center"/>
              <w:rPr>
                <w:rFonts w:hint="eastAsia" w:ascii="宋体" w:hAnsi="宋体" w:eastAsia="宋体"/>
                <w:bCs/>
                <w:szCs w:val="21"/>
              </w:rPr>
            </w:pPr>
            <w:r>
              <w:rPr>
                <w:rFonts w:hint="eastAsia" w:ascii="宋体" w:hAnsi="宋体" w:eastAsia="宋体"/>
                <w:bCs/>
                <w:szCs w:val="21"/>
              </w:rPr>
              <w:t>4</w:t>
            </w:r>
          </w:p>
        </w:tc>
        <w:tc>
          <w:tcPr>
            <w:tcW w:w="1850" w:type="dxa"/>
            <w:tcBorders>
              <w:top w:val="single" w:color="auto" w:sz="4" w:space="0"/>
              <w:left w:val="single" w:color="auto" w:sz="4" w:space="0"/>
              <w:bottom w:val="single" w:color="auto" w:sz="4" w:space="0"/>
              <w:right w:val="single" w:color="auto" w:sz="4" w:space="0"/>
            </w:tcBorders>
            <w:vAlign w:val="center"/>
          </w:tcPr>
          <w:p w14:paraId="0FC7D25C">
            <w:pPr>
              <w:spacing w:line="420" w:lineRule="exact"/>
              <w:jc w:val="center"/>
              <w:rPr>
                <w:rFonts w:hint="eastAsia" w:ascii="宋体" w:hAnsi="宋体" w:eastAsia="宋体"/>
                <w:szCs w:val="21"/>
                <w:lang w:val="en-US" w:eastAsia="zh-CN"/>
              </w:rPr>
            </w:pPr>
            <w:r>
              <w:rPr>
                <w:rFonts w:hint="eastAsia" w:ascii="宋体" w:hAnsi="宋体" w:eastAsia="宋体"/>
                <w:szCs w:val="21"/>
                <w:lang w:val="en-US" w:eastAsia="zh-CN"/>
              </w:rPr>
              <w:t>项目服务周期</w:t>
            </w:r>
          </w:p>
        </w:tc>
        <w:tc>
          <w:tcPr>
            <w:tcW w:w="3990" w:type="dxa"/>
            <w:tcBorders>
              <w:top w:val="single" w:color="auto" w:sz="4" w:space="0"/>
              <w:left w:val="single" w:color="auto" w:sz="4" w:space="0"/>
              <w:bottom w:val="single" w:color="auto" w:sz="4" w:space="0"/>
              <w:right w:val="single" w:color="auto" w:sz="4" w:space="0"/>
            </w:tcBorders>
            <w:vAlign w:val="center"/>
          </w:tcPr>
          <w:p w14:paraId="5A92256B">
            <w:pPr>
              <w:spacing w:line="420" w:lineRule="exact"/>
              <w:jc w:val="left"/>
              <w:rPr>
                <w:rFonts w:hint="eastAsia" w:ascii="宋体" w:hAnsi="宋体" w:eastAsia="宋体"/>
                <w:szCs w:val="21"/>
              </w:rPr>
            </w:pPr>
            <w:r>
              <w:rPr>
                <w:rFonts w:hint="eastAsia" w:ascii="宋体" w:hAnsi="宋体" w:eastAsia="宋体"/>
                <w:szCs w:val="21"/>
                <w:lang w:val="en-US" w:eastAsia="zh-CN"/>
              </w:rPr>
              <w:t>项目</w:t>
            </w:r>
            <w:r>
              <w:rPr>
                <w:rFonts w:hint="eastAsia" w:ascii="宋体" w:hAnsi="宋体" w:eastAsia="宋体"/>
                <w:szCs w:val="21"/>
              </w:rPr>
              <w:t>服务期</w:t>
            </w:r>
            <w:r>
              <w:rPr>
                <w:rFonts w:hint="eastAsia" w:ascii="宋体" w:hAnsi="宋体" w:eastAsia="宋体"/>
                <w:szCs w:val="21"/>
                <w:lang w:val="en-US" w:eastAsia="zh-CN"/>
              </w:rPr>
              <w:t>3年，</w:t>
            </w:r>
            <w:r>
              <w:rPr>
                <w:rFonts w:ascii="Segoe UI" w:hAnsi="Segoe UI" w:eastAsia="Segoe UI" w:cs="Segoe UI"/>
                <w:i w:val="0"/>
                <w:iCs w:val="0"/>
                <w:caps w:val="0"/>
                <w:color w:val="0F1115"/>
                <w:spacing w:val="0"/>
                <w:sz w:val="24"/>
                <w:szCs w:val="24"/>
                <w:shd w:val="clear" w:fill="FFFFFF"/>
              </w:rPr>
              <w:t>首年合同签订后，后续年度合同在双方均未提出书面异议的情况下自动续签，每次续签合同金额与首年成交价一致</w:t>
            </w:r>
            <w:r>
              <w:rPr>
                <w:rFonts w:hint="eastAsia" w:ascii="Segoe UI" w:hAnsi="Segoe UI" w:eastAsia="宋体" w:cs="Segoe UI"/>
                <w:i w:val="0"/>
                <w:iCs w:val="0"/>
                <w:caps w:val="0"/>
                <w:color w:val="0F1115"/>
                <w:spacing w:val="0"/>
                <w:sz w:val="24"/>
                <w:szCs w:val="24"/>
                <w:shd w:val="clear" w:fill="FFFFFF"/>
                <w:lang w:eastAsia="zh-CN"/>
              </w:rPr>
              <w:t>，</w:t>
            </w:r>
            <w:r>
              <w:rPr>
                <w:rFonts w:hint="eastAsia" w:ascii="Segoe UI" w:hAnsi="Segoe UI" w:eastAsia="宋体" w:cs="Segoe UI"/>
                <w:i w:val="0"/>
                <w:iCs w:val="0"/>
                <w:caps w:val="0"/>
                <w:color w:val="0F1115"/>
                <w:spacing w:val="0"/>
                <w:sz w:val="24"/>
                <w:szCs w:val="24"/>
                <w:shd w:val="clear" w:fill="FFFFFF"/>
                <w:lang w:val="en-US" w:eastAsia="zh-CN"/>
              </w:rPr>
              <w:t>最多续签两次，总计合同年限不超过三年</w:t>
            </w:r>
            <w:r>
              <w:rPr>
                <w:rFonts w:ascii="Segoe UI" w:hAnsi="Segoe UI" w:eastAsia="Segoe UI" w:cs="Segoe UI"/>
                <w:i w:val="0"/>
                <w:iCs w:val="0"/>
                <w:caps w:val="0"/>
                <w:color w:val="0F1115"/>
                <w:spacing w:val="0"/>
                <w:sz w:val="24"/>
                <w:szCs w:val="24"/>
                <w:shd w:val="clear" w:fill="FFFFFF"/>
              </w:rPr>
              <w:t>。</w:t>
            </w:r>
          </w:p>
        </w:tc>
        <w:tc>
          <w:tcPr>
            <w:tcW w:w="2750" w:type="dxa"/>
            <w:tcBorders>
              <w:top w:val="single" w:color="auto" w:sz="4" w:space="0"/>
              <w:left w:val="single" w:color="auto" w:sz="4" w:space="0"/>
              <w:bottom w:val="single" w:color="auto" w:sz="4" w:space="0"/>
              <w:right w:val="single" w:color="auto" w:sz="4" w:space="0"/>
            </w:tcBorders>
            <w:vAlign w:val="center"/>
          </w:tcPr>
          <w:p w14:paraId="7023AD88">
            <w:pPr>
              <w:spacing w:line="420" w:lineRule="exact"/>
              <w:jc w:val="left"/>
              <w:rPr>
                <w:rFonts w:hint="eastAsia" w:ascii="宋体" w:hAnsi="宋体" w:eastAsia="宋体"/>
                <w:szCs w:val="21"/>
              </w:rPr>
            </w:pPr>
          </w:p>
        </w:tc>
      </w:tr>
      <w:tr w14:paraId="35E2C9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211" w:type="dxa"/>
            <w:tcBorders>
              <w:top w:val="single" w:color="auto" w:sz="4" w:space="0"/>
              <w:left w:val="single" w:color="auto" w:sz="4" w:space="0"/>
              <w:bottom w:val="single" w:color="auto" w:sz="4" w:space="0"/>
              <w:right w:val="single" w:color="auto" w:sz="4" w:space="0"/>
            </w:tcBorders>
            <w:vAlign w:val="center"/>
          </w:tcPr>
          <w:p w14:paraId="52EF0B4A">
            <w:pPr>
              <w:spacing w:line="420" w:lineRule="exact"/>
              <w:jc w:val="center"/>
              <w:rPr>
                <w:rFonts w:hint="eastAsia" w:ascii="宋体" w:hAnsi="宋体" w:eastAsia="宋体"/>
                <w:bCs/>
                <w:szCs w:val="21"/>
                <w:lang w:val="en-US" w:eastAsia="zh-CN"/>
              </w:rPr>
            </w:pPr>
            <w:r>
              <w:rPr>
                <w:rFonts w:hint="eastAsia" w:ascii="宋体" w:hAnsi="宋体" w:eastAsia="宋体"/>
                <w:bCs/>
                <w:szCs w:val="21"/>
                <w:lang w:val="en-US" w:eastAsia="zh-CN"/>
              </w:rPr>
              <w:t>5</w:t>
            </w:r>
          </w:p>
        </w:tc>
        <w:tc>
          <w:tcPr>
            <w:tcW w:w="1850" w:type="dxa"/>
            <w:tcBorders>
              <w:top w:val="single" w:color="auto" w:sz="4" w:space="0"/>
              <w:left w:val="single" w:color="auto" w:sz="4" w:space="0"/>
              <w:bottom w:val="single" w:color="auto" w:sz="4" w:space="0"/>
              <w:right w:val="single" w:color="auto" w:sz="4" w:space="0"/>
            </w:tcBorders>
            <w:vAlign w:val="center"/>
          </w:tcPr>
          <w:p w14:paraId="3790FCD6">
            <w:pPr>
              <w:spacing w:line="420" w:lineRule="exact"/>
              <w:jc w:val="center"/>
              <w:rPr>
                <w:rFonts w:hint="eastAsia" w:ascii="宋体" w:hAnsi="宋体" w:eastAsia="宋体"/>
                <w:szCs w:val="21"/>
              </w:rPr>
            </w:pPr>
            <w:r>
              <w:rPr>
                <w:rFonts w:hint="eastAsia" w:ascii="宋体" w:hAnsi="宋体" w:eastAsia="宋体"/>
                <w:szCs w:val="21"/>
              </w:rPr>
              <w:t>付款方式</w:t>
            </w:r>
          </w:p>
        </w:tc>
        <w:tc>
          <w:tcPr>
            <w:tcW w:w="3990" w:type="dxa"/>
            <w:tcBorders>
              <w:top w:val="single" w:color="auto" w:sz="4" w:space="0"/>
              <w:left w:val="single" w:color="auto" w:sz="4" w:space="0"/>
              <w:bottom w:val="single" w:color="auto" w:sz="4" w:space="0"/>
              <w:right w:val="single" w:color="auto" w:sz="4" w:space="0"/>
            </w:tcBorders>
            <w:vAlign w:val="center"/>
          </w:tcPr>
          <w:p w14:paraId="68614221">
            <w:pPr>
              <w:spacing w:line="420" w:lineRule="exact"/>
              <w:jc w:val="left"/>
              <w:rPr>
                <w:rFonts w:hint="default" w:ascii="宋体" w:hAnsi="宋体" w:eastAsia="宋体"/>
                <w:szCs w:val="21"/>
                <w:lang w:val="en-US" w:eastAsia="zh-CN"/>
              </w:rPr>
            </w:pPr>
            <w:r>
              <w:rPr>
                <w:rFonts w:ascii="Segoe UI" w:hAnsi="Segoe UI" w:eastAsia="Segoe UI" w:cs="Segoe UI"/>
                <w:i w:val="0"/>
                <w:iCs w:val="0"/>
                <w:caps w:val="0"/>
                <w:color w:val="0F1115"/>
                <w:spacing w:val="0"/>
                <w:sz w:val="24"/>
                <w:szCs w:val="24"/>
                <w:shd w:val="clear" w:fill="FFFFFF"/>
              </w:rPr>
              <w:t>服务费按年度支付。互联网专线安装调试完毕并</w:t>
            </w:r>
            <w:r>
              <w:rPr>
                <w:rFonts w:hint="default" w:ascii="Segoe UI" w:hAnsi="Segoe UI" w:eastAsia="Segoe UI" w:cs="Segoe UI"/>
                <w:b w:val="0"/>
                <w:bCs w:val="0"/>
                <w:i w:val="0"/>
                <w:iCs w:val="0"/>
                <w:caps w:val="0"/>
                <w:color w:val="0F1115"/>
                <w:spacing w:val="0"/>
                <w:sz w:val="24"/>
                <w:szCs w:val="24"/>
                <w:shd w:val="clear" w:fill="FFFFFF"/>
              </w:rPr>
              <w:t>验收合格后30日内，</w:t>
            </w:r>
            <w:r>
              <w:rPr>
                <w:rFonts w:hint="eastAsia" w:ascii="Segoe UI" w:hAnsi="Segoe UI" w:eastAsia="宋体" w:cs="Segoe UI"/>
                <w:b w:val="0"/>
                <w:bCs w:val="0"/>
                <w:i w:val="0"/>
                <w:iCs w:val="0"/>
                <w:caps w:val="0"/>
                <w:color w:val="0F1115"/>
                <w:spacing w:val="0"/>
                <w:sz w:val="24"/>
                <w:szCs w:val="24"/>
                <w:shd w:val="clear" w:fill="FFFFFF"/>
                <w:lang w:val="en-US" w:eastAsia="zh-CN"/>
              </w:rPr>
              <w:t>招标方</w:t>
            </w:r>
            <w:r>
              <w:rPr>
                <w:rFonts w:hint="default" w:ascii="Segoe UI" w:hAnsi="Segoe UI" w:eastAsia="Segoe UI" w:cs="Segoe UI"/>
                <w:b w:val="0"/>
                <w:bCs w:val="0"/>
                <w:i w:val="0"/>
                <w:iCs w:val="0"/>
                <w:caps w:val="0"/>
                <w:color w:val="0F1115"/>
                <w:spacing w:val="0"/>
                <w:sz w:val="24"/>
                <w:szCs w:val="24"/>
                <w:shd w:val="clear" w:fill="FFFFFF"/>
              </w:rPr>
              <w:t>支付当年度</w:t>
            </w:r>
            <w:r>
              <w:rPr>
                <w:rFonts w:hint="eastAsia" w:ascii="Segoe UI" w:hAnsi="Segoe UI" w:eastAsia="宋体" w:cs="Segoe UI"/>
                <w:b w:val="0"/>
                <w:bCs w:val="0"/>
                <w:i w:val="0"/>
                <w:iCs w:val="0"/>
                <w:caps w:val="0"/>
                <w:color w:val="0F1115"/>
                <w:spacing w:val="0"/>
                <w:sz w:val="24"/>
                <w:szCs w:val="24"/>
                <w:shd w:val="clear" w:fill="FFFFFF"/>
                <w:lang w:val="en-US" w:eastAsia="zh-CN"/>
              </w:rPr>
              <w:t>费用</w:t>
            </w:r>
            <w:r>
              <w:rPr>
                <w:rFonts w:hint="default" w:ascii="Segoe UI" w:hAnsi="Segoe UI" w:eastAsia="Segoe UI" w:cs="Segoe UI"/>
                <w:i w:val="0"/>
                <w:iCs w:val="0"/>
                <w:caps w:val="0"/>
                <w:color w:val="0F1115"/>
                <w:spacing w:val="0"/>
                <w:sz w:val="24"/>
                <w:szCs w:val="24"/>
                <w:shd w:val="clear" w:fill="FFFFFF"/>
              </w:rPr>
              <w:t>。</w:t>
            </w:r>
            <w:r>
              <w:rPr>
                <w:rFonts w:hint="eastAsia" w:ascii="Segoe UI" w:hAnsi="Segoe UI" w:eastAsia="宋体" w:cs="Segoe UI"/>
                <w:i w:val="0"/>
                <w:iCs w:val="0"/>
                <w:caps w:val="0"/>
                <w:color w:val="0F1115"/>
                <w:spacing w:val="0"/>
                <w:sz w:val="24"/>
                <w:szCs w:val="24"/>
                <w:shd w:val="clear" w:fill="FFFFFF"/>
                <w:lang w:val="en-US" w:eastAsia="zh-CN"/>
              </w:rPr>
              <w:t>如果服务延展，后续年份</w:t>
            </w:r>
            <w:r>
              <w:rPr>
                <w:rFonts w:hint="default" w:ascii="Segoe UI" w:hAnsi="Segoe UI" w:eastAsia="Segoe UI" w:cs="Segoe UI"/>
                <w:i w:val="0"/>
                <w:iCs w:val="0"/>
                <w:caps w:val="0"/>
                <w:color w:val="0F1115"/>
                <w:spacing w:val="0"/>
                <w:sz w:val="24"/>
                <w:szCs w:val="24"/>
                <w:shd w:val="clear" w:fill="FFFFFF"/>
              </w:rPr>
              <w:t>租赁费用，</w:t>
            </w:r>
            <w:r>
              <w:rPr>
                <w:rFonts w:hint="eastAsia" w:ascii="Segoe UI" w:hAnsi="Segoe UI" w:eastAsia="宋体" w:cs="Segoe UI"/>
                <w:i w:val="0"/>
                <w:iCs w:val="0"/>
                <w:caps w:val="0"/>
                <w:color w:val="0F1115"/>
                <w:spacing w:val="0"/>
                <w:sz w:val="24"/>
                <w:szCs w:val="24"/>
                <w:shd w:val="clear" w:fill="FFFFFF"/>
                <w:lang w:val="en-US" w:eastAsia="zh-CN"/>
              </w:rPr>
              <w:t>招标方应在10月31日前</w:t>
            </w:r>
            <w:r>
              <w:rPr>
                <w:rFonts w:hint="default" w:ascii="Segoe UI" w:hAnsi="Segoe UI" w:eastAsia="Segoe UI" w:cs="Segoe UI"/>
                <w:i w:val="0"/>
                <w:iCs w:val="0"/>
                <w:caps w:val="0"/>
                <w:color w:val="0F1115"/>
                <w:spacing w:val="0"/>
                <w:sz w:val="24"/>
                <w:szCs w:val="24"/>
                <w:shd w:val="clear" w:fill="FFFFFF"/>
              </w:rPr>
              <w:t>，支付当年100%租赁费。</w:t>
            </w:r>
          </w:p>
        </w:tc>
        <w:tc>
          <w:tcPr>
            <w:tcW w:w="2750" w:type="dxa"/>
            <w:tcBorders>
              <w:top w:val="single" w:color="auto" w:sz="4" w:space="0"/>
              <w:left w:val="single" w:color="auto" w:sz="4" w:space="0"/>
              <w:bottom w:val="single" w:color="auto" w:sz="4" w:space="0"/>
              <w:right w:val="single" w:color="auto" w:sz="4" w:space="0"/>
            </w:tcBorders>
            <w:vAlign w:val="center"/>
          </w:tcPr>
          <w:p w14:paraId="18F40FF8">
            <w:pPr>
              <w:spacing w:line="420" w:lineRule="exact"/>
              <w:jc w:val="left"/>
              <w:rPr>
                <w:rFonts w:hint="eastAsia" w:ascii="宋体" w:hAnsi="宋体" w:eastAsia="宋体"/>
                <w:szCs w:val="21"/>
              </w:rPr>
            </w:pPr>
          </w:p>
        </w:tc>
      </w:tr>
    </w:tbl>
    <w:p w14:paraId="1876DA6D">
      <w:pPr>
        <w:rPr>
          <w:rFonts w:hint="eastAsia" w:ascii="宋体" w:hAnsi="宋体" w:eastAsia="宋体" w:cs="宋体"/>
          <w:b/>
          <w:bCs/>
          <w:sz w:val="24"/>
          <w:szCs w:val="24"/>
        </w:rPr>
      </w:pPr>
      <w:r>
        <w:rPr>
          <w:rFonts w:hint="eastAsia" w:ascii="宋体" w:hAnsi="宋体" w:eastAsia="宋体" w:cs="宋体"/>
          <w:b/>
          <w:bCs/>
          <w:sz w:val="24"/>
          <w:szCs w:val="24"/>
        </w:rPr>
        <w:t>备注：</w:t>
      </w:r>
    </w:p>
    <w:p w14:paraId="22A63F1F">
      <w:pPr>
        <w:ind w:firstLine="420"/>
        <w:rPr>
          <w:rFonts w:hint="eastAsia" w:ascii="宋体" w:hAnsi="宋体" w:eastAsia="宋体" w:cs="宋体"/>
          <w:bCs/>
          <w:sz w:val="24"/>
          <w:szCs w:val="24"/>
        </w:rPr>
      </w:pPr>
      <w:r>
        <w:rPr>
          <w:rFonts w:hint="eastAsia" w:ascii="宋体" w:hAnsi="宋体" w:eastAsia="宋体" w:cs="宋体"/>
          <w:bCs/>
          <w:sz w:val="24"/>
          <w:szCs w:val="24"/>
        </w:rPr>
        <w:t>招标完成后，付款方式不可更改；</w:t>
      </w:r>
    </w:p>
    <w:p w14:paraId="0E4CD027">
      <w:pPr>
        <w:ind w:firstLine="420"/>
        <w:rPr>
          <w:rFonts w:hint="eastAsia" w:ascii="宋体" w:hAnsi="宋体" w:eastAsia="宋体" w:cs="宋体"/>
          <w:bCs/>
          <w:sz w:val="24"/>
          <w:szCs w:val="24"/>
        </w:rPr>
      </w:pPr>
      <w:r>
        <w:rPr>
          <w:rFonts w:hint="eastAsia" w:ascii="宋体" w:hAnsi="宋体" w:eastAsia="宋体" w:cs="宋体"/>
          <w:bCs/>
          <w:sz w:val="24"/>
          <w:szCs w:val="24"/>
        </w:rPr>
        <w:t>此表内容只做参考，请用户根据购置设备</w:t>
      </w:r>
      <w:r>
        <w:rPr>
          <w:rFonts w:hint="eastAsia" w:ascii="宋体" w:hAnsi="宋体" w:eastAsia="宋体" w:cs="宋体"/>
          <w:bCs/>
          <w:sz w:val="24"/>
          <w:szCs w:val="24"/>
          <w:lang w:val="en-US" w:eastAsia="zh-CN"/>
        </w:rPr>
        <w:t>/服务</w:t>
      </w:r>
      <w:r>
        <w:rPr>
          <w:rFonts w:hint="eastAsia" w:ascii="宋体" w:hAnsi="宋体" w:eastAsia="宋体" w:cs="宋体"/>
          <w:bCs/>
          <w:sz w:val="24"/>
          <w:szCs w:val="24"/>
        </w:rPr>
        <w:t>实际需求填写《商务条款响应一览表》。</w:t>
      </w:r>
    </w:p>
    <w:p w14:paraId="74D060B3">
      <w:pPr>
        <w:pStyle w:val="10"/>
        <w:bidi w:val="0"/>
      </w:pPr>
    </w:p>
    <w:p w14:paraId="2DCFC7B6">
      <w:pPr>
        <w:pStyle w:val="10"/>
        <w:bidi w:val="0"/>
      </w:pPr>
    </w:p>
    <w:p w14:paraId="7CEF0FA7">
      <w:pPr>
        <w:outlineLvl w:val="2"/>
        <w:rPr>
          <w:rFonts w:ascii="黑体" w:hAnsi="黑体" w:eastAsia="黑体"/>
          <w:sz w:val="32"/>
          <w:szCs w:val="32"/>
        </w:rPr>
      </w:pPr>
      <w:r>
        <w:rPr>
          <w:rFonts w:hint="eastAsia" w:ascii="黑体" w:hAnsi="黑体" w:eastAsia="黑体"/>
          <w:sz w:val="32"/>
          <w:szCs w:val="32"/>
        </w:rPr>
        <w:t>六、</w:t>
      </w:r>
      <w:bookmarkStart w:id="0" w:name="_GoBack"/>
      <w:bookmarkEnd w:id="0"/>
      <w:r>
        <w:rPr>
          <w:rFonts w:hint="eastAsia" w:ascii="黑体" w:hAnsi="黑体" w:eastAsia="黑体"/>
          <w:sz w:val="32"/>
          <w:szCs w:val="32"/>
        </w:rPr>
        <w:t>培训</w:t>
      </w:r>
    </w:p>
    <w:p w14:paraId="7A38761F">
      <w:pPr>
        <w:widowControl/>
        <w:spacing w:line="460" w:lineRule="exact"/>
        <w:ind w:firstLine="420" w:firstLineChars="200"/>
        <w:jc w:val="left"/>
        <w:rPr>
          <w:rFonts w:ascii="宋体" w:hAnsi="宋体" w:eastAsia="宋体" w:cs="宋体"/>
          <w:szCs w:val="21"/>
        </w:rPr>
      </w:pPr>
      <w:r>
        <w:rPr>
          <w:rFonts w:hint="eastAsia" w:ascii="宋体" w:hAnsi="宋体" w:eastAsia="宋体" w:cs="宋体"/>
          <w:szCs w:val="21"/>
        </w:rPr>
        <w:t>（一）成交供应商需在系统安装前提供完整的培训方案，包括整套系统的部署、使用、管理和维护。</w:t>
      </w:r>
    </w:p>
    <w:p w14:paraId="63187839">
      <w:pPr>
        <w:widowControl/>
        <w:spacing w:line="460" w:lineRule="exact"/>
        <w:ind w:firstLine="420" w:firstLineChars="200"/>
        <w:jc w:val="left"/>
        <w:rPr>
          <w:rFonts w:ascii="宋体" w:hAnsi="宋体" w:eastAsia="宋体" w:cs="宋体"/>
          <w:szCs w:val="21"/>
        </w:rPr>
      </w:pPr>
      <w:r>
        <w:rPr>
          <w:rFonts w:hint="eastAsia" w:ascii="宋体" w:hAnsi="宋体" w:eastAsia="宋体" w:cs="宋体"/>
          <w:szCs w:val="21"/>
        </w:rPr>
        <w:t>（二）应根据用户不同部门的业务特点、不同人员的职责分工、不同阶段的工作变化，有针对性的选择培训讲师、设计培训内容、制作培训教材，分阶段、分批次、分深度的进行培训。不同内容的培训须提前进行教材审核和培训试讲，达不到用户要求的，要进行调整优化。</w:t>
      </w:r>
    </w:p>
    <w:p w14:paraId="3CC91160">
      <w:pPr>
        <w:widowControl/>
        <w:spacing w:line="460" w:lineRule="exact"/>
        <w:ind w:firstLine="420" w:firstLineChars="200"/>
        <w:jc w:val="left"/>
        <w:rPr>
          <w:rFonts w:ascii="宋体" w:hAnsi="宋体" w:eastAsia="宋体" w:cs="宋体"/>
          <w:szCs w:val="21"/>
        </w:rPr>
      </w:pPr>
      <w:r>
        <w:rPr>
          <w:rFonts w:hint="eastAsia" w:ascii="宋体" w:hAnsi="宋体" w:eastAsia="宋体" w:cs="宋体"/>
          <w:szCs w:val="21"/>
        </w:rPr>
        <w:t>（三）及时提供相关领域新技术与新信息，以及相关技术咨询。</w:t>
      </w:r>
    </w:p>
    <w:p w14:paraId="08AC7495">
      <w:pPr>
        <w:widowControl/>
        <w:spacing w:line="460" w:lineRule="exact"/>
        <w:jc w:val="left"/>
        <w:rPr>
          <w:rFonts w:ascii="宋体" w:hAnsi="宋体"/>
          <w:sz w:val="24"/>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14DB5FE-7313-402F-8C75-4DCED72FD01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Reference Specialty">
    <w:panose1 w:val="05000500000000000000"/>
    <w:charset w:val="02"/>
    <w:family w:val="auto"/>
    <w:pitch w:val="default"/>
    <w:sig w:usb0="00000000" w:usb1="00000000" w:usb2="00000000" w:usb3="00000000" w:csb0="80000000" w:csb1="00000000"/>
  </w:font>
  <w:font w:name="方正小标宋_GBK">
    <w:panose1 w:val="02000000000000000000"/>
    <w:charset w:val="86"/>
    <w:family w:val="script"/>
    <w:pitch w:val="default"/>
    <w:sig w:usb0="A00002BF" w:usb1="38CF7CFA" w:usb2="00082016" w:usb3="00000000" w:csb0="00040001" w:csb1="00000000"/>
    <w:embedRegular r:id="rId2" w:fontKey="{A68AA1C7-7F8A-4148-BD6F-019E17D0BD49}"/>
  </w:font>
  <w:font w:name="仿宋">
    <w:panose1 w:val="02010609060101010101"/>
    <w:charset w:val="86"/>
    <w:family w:val="modern"/>
    <w:pitch w:val="default"/>
    <w:sig w:usb0="800002BF" w:usb1="38CF7CFA" w:usb2="00000016" w:usb3="00000000" w:csb0="00040001" w:csb1="00000000"/>
    <w:embedRegular r:id="rId3" w:fontKey="{12E9E9A0-95BD-4D76-B3E2-ED25308F7FAC}"/>
  </w:font>
  <w:font w:name="Segoe UI">
    <w:panose1 w:val="020B0502040204020203"/>
    <w:charset w:val="00"/>
    <w:family w:val="auto"/>
    <w:pitch w:val="default"/>
    <w:sig w:usb0="E4002EFF" w:usb1="C000E47F" w:usb2="00000009" w:usb3="00000000" w:csb0="200001FF" w:csb1="00000000"/>
    <w:embedRegular r:id="rId4" w:fontKey="{7BE43515-A21C-4E88-BCE3-AA1276CD475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2BAE6BF8">
        <w:pPr>
          <w:pStyle w:val="12"/>
          <w:jc w:val="center"/>
        </w:pPr>
        <w:r>
          <w:fldChar w:fldCharType="begin"/>
        </w:r>
        <w:r>
          <w:instrText xml:space="preserve">PAGE   \* MERGEFORMAT</w:instrText>
        </w:r>
        <w:r>
          <w:fldChar w:fldCharType="separate"/>
        </w:r>
        <w:r>
          <w:rPr>
            <w:lang w:val="zh-CN"/>
          </w:rPr>
          <w:t>5</w:t>
        </w:r>
        <w:r>
          <w:fldChar w:fldCharType="end"/>
        </w:r>
      </w:p>
    </w:sdtContent>
  </w:sdt>
  <w:p w14:paraId="5D70C5C9">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1BC8F0"/>
    <w:multiLevelType w:val="multilevel"/>
    <w:tmpl w:val="A71BC8F0"/>
    <w:lvl w:ilvl="0" w:tentative="0">
      <w:start w:val="1"/>
      <w:numFmt w:val="none"/>
      <w:isLgl/>
      <w:suff w:val="nothing"/>
      <w:lvlText w:val=""/>
      <w:lvlJc w:val="left"/>
      <w:pPr>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pStyle w:val="7"/>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MS Reference Specialty"/>
      </w:rPr>
    </w:lvl>
    <w:lvl w:ilvl="3" w:tentative="0">
      <w:start w:val="0"/>
      <w:numFmt w:val="none"/>
      <w:lvlText w:val=""/>
      <w:lvlJc w:val="left"/>
      <w:pPr>
        <w:tabs>
          <w:tab w:val="left" w:pos="360"/>
        </w:tabs>
      </w:pPr>
      <w:rPr>
        <w:rFonts w:cs="MS Reference Specialty"/>
      </w:rPr>
    </w:lvl>
    <w:lvl w:ilvl="4" w:tentative="0">
      <w:start w:val="0"/>
      <w:numFmt w:val="decimal"/>
      <w:pStyle w:val="2"/>
      <w:lvlText w:val=""/>
      <w:lvlJc w:val="left"/>
      <w:rPr>
        <w:rFonts w:cs="MS Reference Specialty"/>
      </w:rPr>
    </w:lvl>
    <w:lvl w:ilvl="5" w:tentative="0">
      <w:start w:val="0"/>
      <w:numFmt w:val="decimal"/>
      <w:lvlText w:val=""/>
      <w:lvlJc w:val="left"/>
      <w:rPr>
        <w:rFonts w:cs="MS Reference Specialty"/>
      </w:rPr>
    </w:lvl>
    <w:lvl w:ilvl="6" w:tentative="0">
      <w:start w:val="0"/>
      <w:numFmt w:val="decimal"/>
      <w:lvlText w:val=""/>
      <w:lvlJc w:val="left"/>
      <w:rPr>
        <w:rFonts w:cs="MS Reference Specialty"/>
      </w:rPr>
    </w:lvl>
    <w:lvl w:ilvl="7" w:tentative="0">
      <w:start w:val="0"/>
      <w:numFmt w:val="decimal"/>
      <w:lvlText w:val=""/>
      <w:lvlJc w:val="left"/>
      <w:rPr>
        <w:rFonts w:cs="MS Reference Specialty"/>
      </w:rPr>
    </w:lvl>
    <w:lvl w:ilvl="8" w:tentative="0">
      <w:start w:val="0"/>
      <w:numFmt w:val="decimal"/>
      <w:lvlText w:val=""/>
      <w:lvlJc w:val="left"/>
      <w:rPr>
        <w:rFonts w:cs="MS Reference Specialty"/>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U5YmFmNGRhZmQ2NDE0YzA5MTE5Y2NjZjNlYzFhODIifQ=="/>
  </w:docVars>
  <w:rsids>
    <w:rsidRoot w:val="00716252"/>
    <w:rsid w:val="0002689B"/>
    <w:rsid w:val="0006002C"/>
    <w:rsid w:val="000E137A"/>
    <w:rsid w:val="00136BEB"/>
    <w:rsid w:val="001820DD"/>
    <w:rsid w:val="001C55EC"/>
    <w:rsid w:val="001D1332"/>
    <w:rsid w:val="001F0C12"/>
    <w:rsid w:val="00215149"/>
    <w:rsid w:val="0022370A"/>
    <w:rsid w:val="002912A6"/>
    <w:rsid w:val="002B56C4"/>
    <w:rsid w:val="002D5200"/>
    <w:rsid w:val="00300BD5"/>
    <w:rsid w:val="003330DE"/>
    <w:rsid w:val="00387524"/>
    <w:rsid w:val="00387890"/>
    <w:rsid w:val="003A2ACF"/>
    <w:rsid w:val="003A4538"/>
    <w:rsid w:val="003C5B6E"/>
    <w:rsid w:val="00417329"/>
    <w:rsid w:val="00421D72"/>
    <w:rsid w:val="0043478D"/>
    <w:rsid w:val="00484CCF"/>
    <w:rsid w:val="00495CBE"/>
    <w:rsid w:val="004D3F25"/>
    <w:rsid w:val="004E2126"/>
    <w:rsid w:val="00502327"/>
    <w:rsid w:val="00502E8A"/>
    <w:rsid w:val="00522EB4"/>
    <w:rsid w:val="00540DE6"/>
    <w:rsid w:val="00551FE5"/>
    <w:rsid w:val="00570F71"/>
    <w:rsid w:val="005831CB"/>
    <w:rsid w:val="0058562E"/>
    <w:rsid w:val="005A416D"/>
    <w:rsid w:val="00600A87"/>
    <w:rsid w:val="0068113E"/>
    <w:rsid w:val="00712002"/>
    <w:rsid w:val="00716252"/>
    <w:rsid w:val="00755CB2"/>
    <w:rsid w:val="007951A0"/>
    <w:rsid w:val="007A54AC"/>
    <w:rsid w:val="007B007A"/>
    <w:rsid w:val="007C2094"/>
    <w:rsid w:val="007C5FC4"/>
    <w:rsid w:val="007D20CF"/>
    <w:rsid w:val="008272D2"/>
    <w:rsid w:val="008321B8"/>
    <w:rsid w:val="00834F84"/>
    <w:rsid w:val="00871C5C"/>
    <w:rsid w:val="008749A0"/>
    <w:rsid w:val="00893ED0"/>
    <w:rsid w:val="00895B1B"/>
    <w:rsid w:val="008A065C"/>
    <w:rsid w:val="008A3C29"/>
    <w:rsid w:val="008B2B67"/>
    <w:rsid w:val="008B46F8"/>
    <w:rsid w:val="008E0C7E"/>
    <w:rsid w:val="008E4E62"/>
    <w:rsid w:val="00900150"/>
    <w:rsid w:val="009126D2"/>
    <w:rsid w:val="00915097"/>
    <w:rsid w:val="009215F1"/>
    <w:rsid w:val="00933CE0"/>
    <w:rsid w:val="009A38C0"/>
    <w:rsid w:val="009B0CBA"/>
    <w:rsid w:val="009E140B"/>
    <w:rsid w:val="009E3887"/>
    <w:rsid w:val="00A26D56"/>
    <w:rsid w:val="00A43BA0"/>
    <w:rsid w:val="00A727D5"/>
    <w:rsid w:val="00A86B09"/>
    <w:rsid w:val="00AA7CCD"/>
    <w:rsid w:val="00AB08E8"/>
    <w:rsid w:val="00B63007"/>
    <w:rsid w:val="00B72FA6"/>
    <w:rsid w:val="00B860F0"/>
    <w:rsid w:val="00B96857"/>
    <w:rsid w:val="00BB499E"/>
    <w:rsid w:val="00BB6674"/>
    <w:rsid w:val="00BD267A"/>
    <w:rsid w:val="00BD6B86"/>
    <w:rsid w:val="00C6107C"/>
    <w:rsid w:val="00C61D71"/>
    <w:rsid w:val="00CA0472"/>
    <w:rsid w:val="00CD32B9"/>
    <w:rsid w:val="00CE7D7D"/>
    <w:rsid w:val="00CF247E"/>
    <w:rsid w:val="00D03C42"/>
    <w:rsid w:val="00D37729"/>
    <w:rsid w:val="00D45526"/>
    <w:rsid w:val="00D73AE0"/>
    <w:rsid w:val="00D86462"/>
    <w:rsid w:val="00D95350"/>
    <w:rsid w:val="00DE4B54"/>
    <w:rsid w:val="00E4044E"/>
    <w:rsid w:val="00E578DC"/>
    <w:rsid w:val="00EC3137"/>
    <w:rsid w:val="00ED1C20"/>
    <w:rsid w:val="00EE4D67"/>
    <w:rsid w:val="00EF2779"/>
    <w:rsid w:val="00F02C5B"/>
    <w:rsid w:val="00F17DF6"/>
    <w:rsid w:val="00F51DCA"/>
    <w:rsid w:val="00F51EFA"/>
    <w:rsid w:val="00F53005"/>
    <w:rsid w:val="00F914C4"/>
    <w:rsid w:val="00FA03C2"/>
    <w:rsid w:val="00FA1EA8"/>
    <w:rsid w:val="00FE238C"/>
    <w:rsid w:val="00FE46A7"/>
    <w:rsid w:val="00FF07E5"/>
    <w:rsid w:val="026D7F56"/>
    <w:rsid w:val="03E2554B"/>
    <w:rsid w:val="04416D20"/>
    <w:rsid w:val="04A1368C"/>
    <w:rsid w:val="087B7D1C"/>
    <w:rsid w:val="09024A7A"/>
    <w:rsid w:val="0ADD1AD1"/>
    <w:rsid w:val="0C8060A8"/>
    <w:rsid w:val="10890937"/>
    <w:rsid w:val="142E48F8"/>
    <w:rsid w:val="17037DD1"/>
    <w:rsid w:val="1CFE3C35"/>
    <w:rsid w:val="1EBD096D"/>
    <w:rsid w:val="244B0C98"/>
    <w:rsid w:val="25C80FED"/>
    <w:rsid w:val="286D07E3"/>
    <w:rsid w:val="2B220690"/>
    <w:rsid w:val="2D07566E"/>
    <w:rsid w:val="2F826518"/>
    <w:rsid w:val="37562F58"/>
    <w:rsid w:val="383D3F43"/>
    <w:rsid w:val="39794C48"/>
    <w:rsid w:val="39D001E5"/>
    <w:rsid w:val="3AF235BE"/>
    <w:rsid w:val="3D4E1AE1"/>
    <w:rsid w:val="3D675624"/>
    <w:rsid w:val="3E262116"/>
    <w:rsid w:val="407C699B"/>
    <w:rsid w:val="42010CB6"/>
    <w:rsid w:val="42B369F1"/>
    <w:rsid w:val="454F3145"/>
    <w:rsid w:val="46082B9E"/>
    <w:rsid w:val="483D057C"/>
    <w:rsid w:val="48E7743E"/>
    <w:rsid w:val="51C54B6D"/>
    <w:rsid w:val="56ED74A9"/>
    <w:rsid w:val="60D52EE9"/>
    <w:rsid w:val="6356205F"/>
    <w:rsid w:val="65FC4085"/>
    <w:rsid w:val="6D9E6B57"/>
    <w:rsid w:val="6EA36CE4"/>
    <w:rsid w:val="6EE3545B"/>
    <w:rsid w:val="75757044"/>
    <w:rsid w:val="78B01988"/>
    <w:rsid w:val="7ABE35AF"/>
    <w:rsid w:val="7DFBFD6E"/>
    <w:rsid w:val="7F464D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27"/>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29"/>
    <w:unhideWhenUsed/>
    <w:qFormat/>
    <w:uiPriority w:val="9"/>
    <w:pPr>
      <w:keepNext/>
      <w:keepLines/>
      <w:spacing w:before="260" w:after="260" w:line="416" w:lineRule="auto"/>
      <w:outlineLvl w:val="2"/>
    </w:pPr>
    <w:rPr>
      <w:b/>
      <w:bCs/>
      <w:sz w:val="32"/>
      <w:szCs w:val="32"/>
    </w:rPr>
  </w:style>
  <w:style w:type="paragraph" w:styleId="7">
    <w:name w:val="heading 4"/>
    <w:basedOn w:val="1"/>
    <w:next w:val="1"/>
    <w:unhideWhenUsed/>
    <w:qFormat/>
    <w:uiPriority w:val="9"/>
    <w:pPr>
      <w:keepNext/>
      <w:keepLines/>
      <w:numPr>
        <w:ilvl w:val="3"/>
        <w:numId w:val="1"/>
      </w:numPr>
      <w:spacing w:before="280" w:after="290" w:line="372" w:lineRule="auto"/>
      <w:outlineLvl w:val="3"/>
    </w:pPr>
    <w:rPr>
      <w:rFonts w:ascii="Arial" w:hAnsi="Arial" w:eastAsia="黑体"/>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basedOn w:val="1"/>
    <w:next w:val="3"/>
    <w:autoRedefine/>
    <w:qFormat/>
    <w:uiPriority w:val="0"/>
    <w:pPr>
      <w:keepNext/>
      <w:keepLines/>
      <w:numPr>
        <w:ilvl w:val="4"/>
        <w:numId w:val="2"/>
      </w:numPr>
      <w:spacing w:before="280" w:after="156" w:line="377" w:lineRule="auto"/>
      <w:outlineLvl w:val="4"/>
    </w:pPr>
    <w:rPr>
      <w:rFonts w:ascii="Arial" w:hAnsi="Arial" w:eastAsia="Arial"/>
      <w:b/>
      <w:sz w:val="24"/>
      <w:szCs w:val="28"/>
    </w:rPr>
  </w:style>
  <w:style w:type="paragraph" w:customStyle="1" w:styleId="3">
    <w:name w:val="正文（绿盟科技）"/>
    <w:basedOn w:val="1"/>
    <w:next w:val="1"/>
    <w:qFormat/>
    <w:uiPriority w:val="0"/>
    <w:pPr>
      <w:spacing w:line="300" w:lineRule="auto"/>
    </w:pPr>
    <w:rPr>
      <w:rFonts w:ascii="Arial" w:hAnsi="Arial" w:cs="Arial"/>
    </w:rPr>
  </w:style>
  <w:style w:type="paragraph" w:styleId="8">
    <w:name w:val="Normal Indent"/>
    <w:basedOn w:val="1"/>
    <w:link w:val="30"/>
    <w:qFormat/>
    <w:uiPriority w:val="0"/>
    <w:pPr>
      <w:spacing w:line="360" w:lineRule="auto"/>
      <w:ind w:firstLine="420"/>
    </w:pPr>
    <w:rPr>
      <w:rFonts w:eastAsia="宋体"/>
      <w:sz w:val="24"/>
    </w:rPr>
  </w:style>
  <w:style w:type="paragraph" w:styleId="9">
    <w:name w:val="toc 3"/>
    <w:basedOn w:val="1"/>
    <w:next w:val="1"/>
    <w:qFormat/>
    <w:uiPriority w:val="39"/>
    <w:pPr>
      <w:ind w:left="840" w:leftChars="400"/>
    </w:pPr>
    <w:rPr>
      <w:rFonts w:ascii="Times New Roman" w:hAnsi="Times New Roman" w:eastAsia="宋体" w:cs="Times New Roman"/>
      <w:szCs w:val="20"/>
    </w:rPr>
  </w:style>
  <w:style w:type="paragraph" w:styleId="10">
    <w:name w:val="Plain Text"/>
    <w:basedOn w:val="1"/>
    <w:qFormat/>
    <w:uiPriority w:val="0"/>
    <w:rPr>
      <w:rFonts w:ascii="宋体" w:hAnsi="Courier New" w:eastAsia="宋体" w:cs="Times New Roman"/>
      <w:szCs w:val="20"/>
    </w:rPr>
  </w:style>
  <w:style w:type="paragraph" w:styleId="11">
    <w:name w:val="Balloon Text"/>
    <w:basedOn w:val="1"/>
    <w:link w:val="31"/>
    <w:unhideWhenUsed/>
    <w:qFormat/>
    <w:uiPriority w:val="99"/>
    <w:rPr>
      <w:sz w:val="18"/>
      <w:szCs w:val="18"/>
    </w:rPr>
  </w:style>
  <w:style w:type="paragraph" w:styleId="12">
    <w:name w:val="footer"/>
    <w:basedOn w:val="1"/>
    <w:link w:val="33"/>
    <w:unhideWhenUsed/>
    <w:qFormat/>
    <w:uiPriority w:val="99"/>
    <w:pPr>
      <w:tabs>
        <w:tab w:val="center" w:pos="4153"/>
        <w:tab w:val="right" w:pos="8306"/>
      </w:tabs>
      <w:snapToGrid w:val="0"/>
      <w:jc w:val="left"/>
    </w:pPr>
    <w:rPr>
      <w:sz w:val="18"/>
      <w:szCs w:val="18"/>
    </w:rPr>
  </w:style>
  <w:style w:type="paragraph" w:styleId="13">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rPr>
      <w:rFonts w:ascii="Times New Roman" w:hAnsi="Times New Roman" w:eastAsia="宋体" w:cs="Times New Roman"/>
      <w:szCs w:val="20"/>
    </w:rPr>
  </w:style>
  <w:style w:type="paragraph" w:styleId="15">
    <w:name w:val="Body Text Indent 3"/>
    <w:basedOn w:val="1"/>
    <w:qFormat/>
    <w:uiPriority w:val="0"/>
    <w:pPr>
      <w:spacing w:after="120"/>
      <w:ind w:left="420" w:leftChars="200"/>
    </w:pPr>
    <w:rPr>
      <w:rFonts w:ascii="Times New Roman" w:hAnsi="Times New Roman" w:eastAsia="宋体" w:cs="Times New Roman"/>
      <w:sz w:val="16"/>
      <w:szCs w:val="16"/>
    </w:rPr>
  </w:style>
  <w:style w:type="paragraph" w:styleId="16">
    <w:name w:val="toc 2"/>
    <w:basedOn w:val="1"/>
    <w:next w:val="1"/>
    <w:qFormat/>
    <w:uiPriority w:val="39"/>
    <w:pPr>
      <w:ind w:left="420" w:leftChars="200"/>
    </w:pPr>
    <w:rPr>
      <w:rFonts w:ascii="Times New Roman" w:hAnsi="Times New Roman" w:eastAsia="宋体" w:cs="Times New Roman"/>
      <w:szCs w:val="20"/>
    </w:rPr>
  </w:style>
  <w:style w:type="paragraph" w:styleId="17">
    <w:name w:val="Normal (Web)"/>
    <w:basedOn w:val="1"/>
    <w:unhideWhenUsed/>
    <w:qFormat/>
    <w:uiPriority w:val="99"/>
    <w:pPr>
      <w:spacing w:before="100" w:beforeAutospacing="1" w:after="100" w:afterAutospacing="1"/>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basedOn w:val="20"/>
    <w:qFormat/>
    <w:uiPriority w:val="99"/>
    <w:rPr>
      <w:color w:val="0000FF"/>
      <w:u w:val="single"/>
    </w:rPr>
  </w:style>
  <w:style w:type="paragraph" w:customStyle="1" w:styleId="23">
    <w:name w:val="1-正文-宋体"/>
    <w:basedOn w:val="1"/>
    <w:qFormat/>
    <w:uiPriority w:val="0"/>
    <w:pPr>
      <w:snapToGrid w:val="0"/>
      <w:spacing w:before="20" w:beforeLines="20" w:after="20" w:afterLines="20" w:line="240" w:lineRule="auto"/>
      <w:ind w:left="0" w:leftChars="0" w:firstLine="602" w:firstLineChars="200"/>
    </w:pPr>
    <w:rPr>
      <w:rFonts w:ascii="Calibri" w:hAnsi="Calibri" w:eastAsia="宋体"/>
      <w:szCs w:val="22"/>
    </w:rPr>
  </w:style>
  <w:style w:type="paragraph" w:customStyle="1" w:styleId="24">
    <w:name w:val="1-正文-首行缩进"/>
    <w:basedOn w:val="23"/>
    <w:qFormat/>
    <w:uiPriority w:val="0"/>
    <w:pPr>
      <w:ind w:firstLine="602" w:firstLineChars="200"/>
    </w:pPr>
    <w:rPr>
      <w:szCs w:val="24"/>
    </w:rPr>
  </w:style>
  <w:style w:type="paragraph" w:customStyle="1" w:styleId="25">
    <w:name w:val="1-正文-段落-左对齐"/>
    <w:basedOn w:val="1"/>
    <w:qFormat/>
    <w:uiPriority w:val="0"/>
    <w:pPr>
      <w:snapToGrid w:val="0"/>
      <w:ind w:firstLine="0" w:firstLineChars="0"/>
    </w:pPr>
    <w:rPr>
      <w:rFonts w:asciiTheme="minorAscii" w:hAnsiTheme="minorAscii"/>
    </w:rPr>
  </w:style>
  <w:style w:type="paragraph" w:styleId="26">
    <w:name w:val="List Paragraph"/>
    <w:basedOn w:val="1"/>
    <w:unhideWhenUsed/>
    <w:qFormat/>
    <w:uiPriority w:val="99"/>
    <w:pPr>
      <w:ind w:firstLine="420" w:firstLineChars="200"/>
    </w:pPr>
  </w:style>
  <w:style w:type="character" w:customStyle="1" w:styleId="27">
    <w:name w:val="标题 1 字符"/>
    <w:basedOn w:val="20"/>
    <w:link w:val="4"/>
    <w:qFormat/>
    <w:uiPriority w:val="9"/>
    <w:rPr>
      <w:b/>
      <w:bCs/>
      <w:kern w:val="44"/>
      <w:sz w:val="44"/>
      <w:szCs w:val="44"/>
    </w:rPr>
  </w:style>
  <w:style w:type="character" w:customStyle="1" w:styleId="28">
    <w:name w:val="标题 2 字符"/>
    <w:basedOn w:val="20"/>
    <w:link w:val="5"/>
    <w:qFormat/>
    <w:uiPriority w:val="9"/>
    <w:rPr>
      <w:rFonts w:asciiTheme="majorHAnsi" w:hAnsiTheme="majorHAnsi" w:eastAsiaTheme="majorEastAsia" w:cstheme="majorBidi"/>
      <w:b/>
      <w:bCs/>
      <w:sz w:val="32"/>
      <w:szCs w:val="32"/>
    </w:rPr>
  </w:style>
  <w:style w:type="character" w:customStyle="1" w:styleId="29">
    <w:name w:val="标题 3 字符"/>
    <w:basedOn w:val="20"/>
    <w:link w:val="6"/>
    <w:semiHidden/>
    <w:qFormat/>
    <w:uiPriority w:val="9"/>
    <w:rPr>
      <w:b/>
      <w:bCs/>
      <w:sz w:val="32"/>
      <w:szCs w:val="32"/>
    </w:rPr>
  </w:style>
  <w:style w:type="character" w:customStyle="1" w:styleId="30">
    <w:name w:val="正文缩进 字符"/>
    <w:link w:val="8"/>
    <w:qFormat/>
    <w:uiPriority w:val="0"/>
    <w:rPr>
      <w:rFonts w:eastAsia="宋体"/>
      <w:sz w:val="24"/>
    </w:rPr>
  </w:style>
  <w:style w:type="character" w:customStyle="1" w:styleId="31">
    <w:name w:val="批注框文本 字符"/>
    <w:basedOn w:val="20"/>
    <w:link w:val="11"/>
    <w:semiHidden/>
    <w:qFormat/>
    <w:uiPriority w:val="99"/>
    <w:rPr>
      <w:sz w:val="18"/>
      <w:szCs w:val="18"/>
    </w:rPr>
  </w:style>
  <w:style w:type="character" w:customStyle="1" w:styleId="32">
    <w:name w:val="页眉 字符"/>
    <w:basedOn w:val="20"/>
    <w:link w:val="13"/>
    <w:qFormat/>
    <w:uiPriority w:val="99"/>
    <w:rPr>
      <w:sz w:val="18"/>
      <w:szCs w:val="18"/>
    </w:rPr>
  </w:style>
  <w:style w:type="character" w:customStyle="1" w:styleId="33">
    <w:name w:val="页脚 字符"/>
    <w:basedOn w:val="20"/>
    <w:link w:val="12"/>
    <w:qFormat/>
    <w:uiPriority w:val="99"/>
    <w:rPr>
      <w:sz w:val="18"/>
      <w:szCs w:val="18"/>
    </w:rPr>
  </w:style>
  <w:style w:type="paragraph" w:customStyle="1" w:styleId="34">
    <w:name w:val="_Style 18"/>
    <w:basedOn w:val="1"/>
    <w:next w:val="26"/>
    <w:qFormat/>
    <w:uiPriority w:val="0"/>
    <w:pPr>
      <w:ind w:firstLine="420" w:firstLineChars="200"/>
    </w:pPr>
    <w:rPr>
      <w:rFonts w:ascii="Calibri" w:hAnsi="Calibri"/>
    </w:rPr>
  </w:style>
  <w:style w:type="character" w:customStyle="1" w:styleId="35">
    <w:name w:val="fontstyle01"/>
    <w:qFormat/>
    <w:uiPriority w:val="0"/>
    <w:rPr>
      <w:rFonts w:hint="eastAsia" w:ascii="宋体" w:hAnsi="宋体" w:eastAsia="宋体"/>
      <w:color w:val="000000"/>
      <w:sz w:val="22"/>
      <w:szCs w:val="22"/>
    </w:rPr>
  </w:style>
  <w:style w:type="character" w:customStyle="1" w:styleId="36">
    <w:name w:val="font01"/>
    <w:basedOn w:val="20"/>
    <w:qFormat/>
    <w:uiPriority w:val="0"/>
    <w:rPr>
      <w:rFonts w:hint="eastAsia" w:ascii="宋体" w:hAnsi="宋体" w:eastAsia="宋体" w:cs="宋体"/>
      <w:color w:val="000000"/>
      <w:sz w:val="22"/>
      <w:szCs w:val="22"/>
      <w:u w:val="none"/>
    </w:rPr>
  </w:style>
  <w:style w:type="character" w:customStyle="1" w:styleId="37">
    <w:name w:val="font11"/>
    <w:basedOn w:val="2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H3C</Company>
  <Pages>3</Pages>
  <Words>3027</Words>
  <Characters>3211</Characters>
  <Lines>28</Lines>
  <Paragraphs>8</Paragraphs>
  <TotalTime>0</TotalTime>
  <ScaleCrop>false</ScaleCrop>
  <LinksUpToDate>false</LinksUpToDate>
  <CharactersWithSpaces>3218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2023-12-05T08:09:00Z</dcterms:created>
  <dc:creator>wonder</dc:creator>
  <cp:lastModifiedBy>李振</cp:lastModifiedBy>
  <cp:lastPrinted>2026-09-15T02:36:00Z</cp:lastPrinted>
  <dcterms:modified xsi:type="dcterms:W3CDTF">2026-10-12T06:34:54Z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164E79571AE1436C90F532F1B9F5BA25_13</vt:lpwstr>
  </property>
  <property fmtid="{D5CDD505-2E9C-101B-9397-08002B2CF9AE}" pid="4" name="KSOTemplateDocerSaveRecord">
    <vt:lpwstr>eyJoZGlkIjoiMzEwNTM5NzYwMDRjMzkwZTVkZjY2ODkwMGIxNGU0OTUiLCJ1c2VySWQiOiIxNTc4ODc2MDcwIn0=</vt:lpwstr>
  </property>
</Properties>
</file>