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2828B3">
      <w:pPr>
        <w:autoSpaceDE w:val="0"/>
        <w:autoSpaceDN w:val="0"/>
        <w:snapToGrid w:val="0"/>
        <w:spacing w:line="540" w:lineRule="exact"/>
        <w:jc w:val="center"/>
        <w:outlineLvl w:val="1"/>
        <w:rPr>
          <w:rFonts w:ascii="方正小标宋_GBK" w:hAnsi="仿宋" w:eastAsia="方正小标宋_GBK" w:cs="方正小标宋_GBK"/>
          <w:b/>
          <w:bCs/>
          <w:sz w:val="30"/>
          <w:szCs w:val="30"/>
        </w:rPr>
      </w:pPr>
      <w:r>
        <w:rPr>
          <w:rFonts w:hint="eastAsia" w:ascii="方正小标宋_GBK" w:hAnsi="仿宋" w:eastAsia="方正小标宋_GBK" w:cs="方正小标宋_GBK"/>
          <w:b/>
          <w:bCs/>
          <w:sz w:val="30"/>
          <w:szCs w:val="30"/>
        </w:rPr>
        <w:t>山东大学</w:t>
      </w:r>
      <w:r>
        <w:rPr>
          <w:rFonts w:hint="eastAsia" w:ascii="方正小标宋_GBK" w:hAnsi="仿宋" w:eastAsia="方正小标宋_GBK" w:cs="方正小标宋_GBK"/>
          <w:b/>
          <w:bCs/>
          <w:sz w:val="30"/>
          <w:szCs w:val="30"/>
          <w:lang w:val="en-US" w:eastAsia="zh-CN"/>
        </w:rPr>
        <w:t>互联网对称出口带宽采购</w:t>
      </w:r>
    </w:p>
    <w:p w14:paraId="75AE3CE1">
      <w:pPr>
        <w:autoSpaceDE w:val="0"/>
        <w:autoSpaceDN w:val="0"/>
        <w:snapToGrid w:val="0"/>
        <w:spacing w:line="540" w:lineRule="exact"/>
        <w:jc w:val="center"/>
        <w:rPr>
          <w:rFonts w:ascii="黑体" w:hAnsi="黑体" w:eastAsia="黑体"/>
          <w:b/>
          <w:bCs/>
          <w:sz w:val="30"/>
          <w:szCs w:val="30"/>
        </w:rPr>
      </w:pPr>
      <w:r>
        <w:rPr>
          <w:rFonts w:hint="eastAsia" w:ascii="方正小标宋_GBK" w:hAnsi="仿宋" w:eastAsia="方正小标宋_GBK" w:cs="方正小标宋_GBK"/>
          <w:b/>
          <w:bCs/>
          <w:sz w:val="30"/>
          <w:szCs w:val="30"/>
        </w:rPr>
        <w:t xml:space="preserve">项目内容及项目要求 </w:t>
      </w:r>
    </w:p>
    <w:p w14:paraId="38628C7C">
      <w:pPr>
        <w:outlineLvl w:val="2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一、项目背景</w:t>
      </w:r>
    </w:p>
    <w:p w14:paraId="68A4CCC1">
      <w:pPr>
        <w:spacing w:line="360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山东大学是一所历史悠久、学科齐全、实力雄厚、特色鲜明，在国内外具有重要影</w:t>
      </w:r>
      <w:r>
        <w:rPr>
          <w:rFonts w:hint="eastAsia" w:ascii="宋体" w:hAnsi="宋体" w:cs="宋体"/>
          <w:sz w:val="24"/>
          <w:szCs w:val="24"/>
          <w:lang w:eastAsia="zh-CN"/>
        </w:rPr>
        <w:t>响力</w:t>
      </w:r>
      <w:r>
        <w:rPr>
          <w:rFonts w:hint="eastAsia" w:ascii="宋体" w:hAnsi="宋体" w:cs="宋体"/>
          <w:sz w:val="24"/>
          <w:szCs w:val="24"/>
        </w:rPr>
        <w:t>的教育部直属重点综合性大学，是世界一流大学建设高校（A类）。近年来山东大学实现了跨越式发展，各项事业均达到了前所未有的高度，学校的综合水平和办学质量明显提升，国际影响力显著增强。各类全日制学生达7万人，专任教师4</w:t>
      </w:r>
      <w:r>
        <w:rPr>
          <w:rFonts w:hint="eastAsia" w:ascii="宋体" w:hAnsi="宋体" w:cs="宋体"/>
          <w:sz w:val="24"/>
          <w:szCs w:val="24"/>
          <w:lang w:val="en-US" w:eastAsia="zh-CN"/>
        </w:rPr>
        <w:t>9</w:t>
      </w:r>
      <w:r>
        <w:rPr>
          <w:rFonts w:hint="eastAsia" w:ascii="宋体" w:hAnsi="宋体" w:cs="宋体"/>
          <w:sz w:val="24"/>
          <w:szCs w:val="24"/>
        </w:rPr>
        <w:t>00多人。为了保障山东大学教学、科研、学术交流、校园生活等各方面工作，需要安全、可靠、高速的互联网出口网络进行保障。</w:t>
      </w:r>
    </w:p>
    <w:p w14:paraId="29012C64">
      <w:pPr>
        <w:spacing w:line="360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根据山东大学校园网出口带宽现状、项目预算、对各运营商互联网出口带宽业务的调研，运营商不同带宽分级现状的调研，和相关采购的价格调研，申请采购4Gbps上下行对称的互联网出口带宽（简称：互联网</w:t>
      </w:r>
      <w:r>
        <w:rPr>
          <w:rFonts w:hint="eastAsia" w:ascii="宋体" w:hAnsi="宋体" w:cs="宋体"/>
          <w:sz w:val="24"/>
          <w:szCs w:val="24"/>
          <w:lang w:eastAsia="zh-CN"/>
        </w:rPr>
        <w:t>对称</w:t>
      </w:r>
      <w:r>
        <w:rPr>
          <w:rFonts w:hint="eastAsia" w:ascii="宋体" w:hAnsi="宋体" w:cs="宋体"/>
          <w:sz w:val="24"/>
          <w:szCs w:val="24"/>
        </w:rPr>
        <w:t>出口带宽），该带宽将主要用于校园网用户的非关键网络应用的流量分流，以节省宝贵的专线带宽用于有效保障学校教学、科研、管理需求。</w:t>
      </w:r>
    </w:p>
    <w:p w14:paraId="4706B90A">
      <w:pPr>
        <w:widowControl/>
        <w:spacing w:line="460" w:lineRule="exact"/>
        <w:ind w:firstLine="480" w:firstLineChars="200"/>
        <w:jc w:val="left"/>
        <w:rPr>
          <w:rFonts w:hint="eastAsia" w:ascii="宋体" w:hAnsi="宋体"/>
          <w:sz w:val="24"/>
        </w:rPr>
      </w:pPr>
    </w:p>
    <w:p w14:paraId="516435B8">
      <w:pPr>
        <w:outlineLvl w:val="2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二、项目目标</w:t>
      </w:r>
    </w:p>
    <w:p w14:paraId="687E8F4B">
      <w:pPr>
        <w:widowControl/>
        <w:spacing w:line="460" w:lineRule="exact"/>
        <w:ind w:firstLine="480" w:firstLineChars="200"/>
        <w:jc w:val="lef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通过</w:t>
      </w:r>
      <w:r>
        <w:rPr>
          <w:rFonts w:hint="eastAsia" w:ascii="宋体" w:hAnsi="宋体"/>
          <w:sz w:val="24"/>
          <w:lang w:val="en-US" w:eastAsia="zh-CN"/>
        </w:rPr>
        <w:t>采购互联网对称出口带宽，有效扩展</w:t>
      </w:r>
      <w:r>
        <w:rPr>
          <w:rFonts w:hint="eastAsia" w:ascii="宋体" w:hAnsi="宋体"/>
          <w:sz w:val="24"/>
        </w:rPr>
        <w:t>校园网的</w:t>
      </w:r>
      <w:r>
        <w:rPr>
          <w:rFonts w:hint="eastAsia" w:ascii="宋体" w:hAnsi="宋体"/>
          <w:sz w:val="24"/>
          <w:lang w:val="en-US" w:eastAsia="zh-CN"/>
        </w:rPr>
        <w:t>出口带宽，对校园网</w:t>
      </w:r>
      <w:r>
        <w:rPr>
          <w:rFonts w:hint="eastAsia" w:ascii="宋体" w:hAnsi="宋体" w:cs="宋体"/>
          <w:sz w:val="24"/>
          <w:szCs w:val="24"/>
        </w:rPr>
        <w:t>互联网出口网络进行保障</w:t>
      </w:r>
      <w:r>
        <w:rPr>
          <w:rFonts w:hint="eastAsia" w:ascii="宋体" w:hAnsi="宋体" w:cs="宋体"/>
          <w:sz w:val="24"/>
          <w:szCs w:val="24"/>
          <w:lang w:eastAsia="zh-CN"/>
        </w:rPr>
        <w:t>，</w:t>
      </w:r>
      <w:r>
        <w:rPr>
          <w:rFonts w:hint="eastAsia" w:ascii="宋体" w:hAnsi="宋体"/>
          <w:sz w:val="24"/>
        </w:rPr>
        <w:t>提升师生</w:t>
      </w:r>
      <w:r>
        <w:rPr>
          <w:rFonts w:hint="eastAsia" w:ascii="宋体" w:hAnsi="宋体"/>
          <w:sz w:val="24"/>
          <w:lang w:val="en-US" w:eastAsia="zh-CN"/>
        </w:rPr>
        <w:t>互联网访问</w:t>
      </w:r>
      <w:r>
        <w:rPr>
          <w:rFonts w:hint="eastAsia" w:ascii="宋体" w:hAnsi="宋体"/>
          <w:sz w:val="24"/>
        </w:rPr>
        <w:t>的体验</w:t>
      </w:r>
      <w:r>
        <w:rPr>
          <w:rFonts w:hint="eastAsia" w:ascii="宋体" w:hAnsi="宋体"/>
          <w:sz w:val="24"/>
          <w:lang w:val="en-US" w:eastAsia="zh-CN"/>
        </w:rPr>
        <w:t>度</w:t>
      </w:r>
      <w:r>
        <w:rPr>
          <w:rFonts w:hint="eastAsia" w:ascii="宋体" w:hAnsi="宋体"/>
          <w:sz w:val="24"/>
        </w:rPr>
        <w:t>。</w:t>
      </w:r>
    </w:p>
    <w:p w14:paraId="73327965">
      <w:pPr>
        <w:widowControl/>
        <w:spacing w:line="460" w:lineRule="exact"/>
        <w:ind w:firstLine="480" w:firstLineChars="200"/>
        <w:jc w:val="left"/>
        <w:rPr>
          <w:rFonts w:hint="eastAsia" w:ascii="宋体" w:hAnsi="宋体"/>
          <w:sz w:val="24"/>
        </w:rPr>
      </w:pPr>
    </w:p>
    <w:p w14:paraId="5A4C2090">
      <w:pPr>
        <w:spacing w:line="312" w:lineRule="auto"/>
        <w:outlineLvl w:val="2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三、项目内容</w:t>
      </w:r>
    </w:p>
    <w:p w14:paraId="358A18DE">
      <w:pPr>
        <w:widowControl/>
        <w:spacing w:line="460" w:lineRule="exact"/>
        <w:ind w:firstLine="480" w:firstLineChars="200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本项目计划采购</w:t>
      </w:r>
      <w:r>
        <w:rPr>
          <w:rFonts w:hint="eastAsia" w:ascii="宋体" w:hAnsi="宋体" w:cs="宋体"/>
          <w:sz w:val="24"/>
          <w:szCs w:val="24"/>
        </w:rPr>
        <w:t>4Gbps上下行</w:t>
      </w:r>
      <w:r>
        <w:rPr>
          <w:rFonts w:hint="eastAsia" w:ascii="宋体" w:hAnsi="宋体" w:cs="宋体"/>
          <w:sz w:val="24"/>
          <w:szCs w:val="24"/>
          <w:lang w:eastAsia="zh-CN"/>
        </w:rPr>
        <w:t>对称</w:t>
      </w:r>
      <w:r>
        <w:rPr>
          <w:rFonts w:hint="eastAsia" w:ascii="宋体" w:hAnsi="宋体" w:cs="宋体"/>
          <w:sz w:val="24"/>
          <w:szCs w:val="24"/>
        </w:rPr>
        <w:t>的互联网出口带宽（简称：互联网</w:t>
      </w:r>
      <w:r>
        <w:rPr>
          <w:rFonts w:hint="eastAsia" w:ascii="宋体" w:hAnsi="宋体" w:cs="宋体"/>
          <w:sz w:val="24"/>
          <w:szCs w:val="24"/>
          <w:lang w:eastAsia="zh-CN"/>
        </w:rPr>
        <w:t>对称</w:t>
      </w:r>
      <w:r>
        <w:rPr>
          <w:rFonts w:hint="eastAsia" w:ascii="宋体" w:hAnsi="宋体" w:cs="宋体"/>
          <w:sz w:val="24"/>
          <w:szCs w:val="24"/>
        </w:rPr>
        <w:t>出口带宽），用于校园网用户的非关键网络应用的流量分流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，</w:t>
      </w:r>
      <w:r>
        <w:rPr>
          <w:rFonts w:hint="eastAsia" w:ascii="宋体" w:hAnsi="宋体"/>
          <w:sz w:val="24"/>
          <w:szCs w:val="24"/>
        </w:rPr>
        <w:t>以解决现有</w:t>
      </w:r>
      <w:r>
        <w:rPr>
          <w:rFonts w:hint="eastAsia" w:ascii="宋体" w:hAnsi="宋体"/>
          <w:sz w:val="24"/>
          <w:szCs w:val="24"/>
          <w:lang w:val="en-US" w:eastAsia="zh-CN"/>
        </w:rPr>
        <w:t>带宽不足的</w:t>
      </w:r>
      <w:r>
        <w:rPr>
          <w:rFonts w:hint="eastAsia" w:ascii="宋体" w:hAnsi="宋体"/>
          <w:sz w:val="24"/>
          <w:szCs w:val="24"/>
        </w:rPr>
        <w:t>问题</w:t>
      </w:r>
      <w:r>
        <w:rPr>
          <w:rFonts w:hint="eastAsia" w:ascii="宋体" w:hAnsi="宋体"/>
          <w:sz w:val="24"/>
          <w:szCs w:val="24"/>
          <w:lang w:eastAsia="zh-CN"/>
        </w:rPr>
        <w:t>，</w:t>
      </w:r>
      <w:r>
        <w:rPr>
          <w:rFonts w:hint="eastAsia" w:ascii="宋体" w:hAnsi="宋体"/>
          <w:sz w:val="24"/>
          <w:szCs w:val="24"/>
        </w:rPr>
        <w:t>提升</w:t>
      </w:r>
      <w:r>
        <w:rPr>
          <w:rFonts w:hint="eastAsia" w:ascii="宋体" w:hAnsi="宋体"/>
          <w:sz w:val="24"/>
          <w:szCs w:val="24"/>
          <w:lang w:val="en-US" w:eastAsia="zh-CN"/>
        </w:rPr>
        <w:t>校园网</w:t>
      </w:r>
      <w:r>
        <w:rPr>
          <w:rFonts w:hint="eastAsia" w:ascii="宋体" w:hAnsi="宋体"/>
          <w:sz w:val="24"/>
          <w:szCs w:val="24"/>
        </w:rPr>
        <w:t>师生</w:t>
      </w:r>
      <w:r>
        <w:rPr>
          <w:rFonts w:hint="eastAsia" w:ascii="宋体" w:hAnsi="宋体"/>
          <w:sz w:val="24"/>
          <w:szCs w:val="24"/>
          <w:lang w:val="en-US" w:eastAsia="zh-CN"/>
        </w:rPr>
        <w:t>用户互联网访问的</w:t>
      </w:r>
      <w:r>
        <w:rPr>
          <w:rFonts w:hint="eastAsia" w:ascii="宋体" w:hAnsi="宋体"/>
          <w:sz w:val="24"/>
          <w:szCs w:val="24"/>
        </w:rPr>
        <w:t>体验</w:t>
      </w:r>
      <w:r>
        <w:rPr>
          <w:rFonts w:hint="eastAsia" w:ascii="宋体" w:hAnsi="宋体"/>
          <w:sz w:val="24"/>
          <w:szCs w:val="24"/>
          <w:lang w:val="en-US" w:eastAsia="zh-CN"/>
        </w:rPr>
        <w:t>度</w:t>
      </w:r>
      <w:r>
        <w:rPr>
          <w:rFonts w:hint="eastAsia" w:ascii="宋体" w:hAnsi="宋体"/>
          <w:sz w:val="24"/>
          <w:szCs w:val="24"/>
        </w:rPr>
        <w:t>。</w:t>
      </w:r>
    </w:p>
    <w:p w14:paraId="0DE8CD59">
      <w:pPr>
        <w:widowControl/>
        <w:spacing w:line="460" w:lineRule="exact"/>
        <w:ind w:firstLine="480" w:firstLineChars="200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数量：1宗。</w:t>
      </w:r>
    </w:p>
    <w:p w14:paraId="35CA2253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本项目共分为 1 个包，供应商不得对包中所投货物和服务分解后进行响应。</w:t>
      </w:r>
    </w:p>
    <w:p w14:paraId="044726D3">
      <w:pPr>
        <w:spacing w:line="360" w:lineRule="auto"/>
        <w:ind w:firstLine="480" w:firstLineChars="200"/>
        <w:rPr>
          <w:rFonts w:hint="eastAsia" w:ascii="宋体" w:hAnsi="宋体"/>
          <w:sz w:val="24"/>
          <w:lang w:eastAsia="zh-CN"/>
        </w:rPr>
      </w:pPr>
      <w:r>
        <w:rPr>
          <w:rFonts w:hint="eastAsia" w:ascii="宋体" w:hAnsi="宋体"/>
          <w:sz w:val="24"/>
        </w:rPr>
        <w:t>本项目预算金额为人民币</w:t>
      </w:r>
      <w:r>
        <w:rPr>
          <w:rFonts w:hint="eastAsia" w:ascii="宋体" w:hAnsi="宋体"/>
          <w:sz w:val="24"/>
          <w:highlight w:val="none"/>
          <w:lang w:eastAsia="zh-CN"/>
        </w:rPr>
        <w:t>12</w:t>
      </w:r>
      <w:r>
        <w:rPr>
          <w:rFonts w:hint="eastAsia" w:ascii="宋体" w:hAnsi="宋体"/>
          <w:sz w:val="24"/>
        </w:rPr>
        <w:t>万元</w:t>
      </w:r>
      <w:r>
        <w:rPr>
          <w:rFonts w:hint="eastAsia" w:ascii="宋体" w:hAnsi="宋体"/>
          <w:sz w:val="24"/>
          <w:lang w:eastAsia="zh-CN"/>
        </w:rPr>
        <w:t>。</w:t>
      </w:r>
    </w:p>
    <w:p w14:paraId="0FFA4FEC">
      <w:pPr>
        <w:spacing w:line="360" w:lineRule="auto"/>
        <w:ind w:firstLine="480" w:firstLineChars="200"/>
      </w:pPr>
      <w:r>
        <w:rPr>
          <w:rFonts w:hint="eastAsia" w:ascii="宋体" w:hAnsi="宋体" w:cs="宋体"/>
          <w:sz w:val="24"/>
          <w:szCs w:val="24"/>
        </w:rPr>
        <w:t>采购服务期</w:t>
      </w:r>
      <w:r>
        <w:rPr>
          <w:rFonts w:hint="eastAsia" w:ascii="宋体" w:hAnsi="宋体" w:cs="宋体"/>
          <w:sz w:val="24"/>
          <w:szCs w:val="24"/>
          <w:lang w:val="en-US" w:eastAsia="zh-CN"/>
        </w:rPr>
        <w:t>3年</w:t>
      </w:r>
      <w:r>
        <w:rPr>
          <w:rFonts w:hint="eastAsia" w:ascii="宋体" w:hAnsi="宋体" w:cs="宋体"/>
          <w:sz w:val="24"/>
          <w:szCs w:val="24"/>
        </w:rPr>
        <w:t>。</w:t>
      </w:r>
    </w:p>
    <w:p w14:paraId="73CEC63E">
      <w:pPr>
        <w:bidi w:val="0"/>
      </w:pPr>
    </w:p>
    <w:p w14:paraId="1AB21472">
      <w:pPr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br w:type="page"/>
      </w:r>
    </w:p>
    <w:p w14:paraId="72745DEC">
      <w:pPr>
        <w:outlineLvl w:val="2"/>
        <w:rPr>
          <w:rFonts w:hint="eastAsia" w:ascii="黑体" w:hAnsi="黑体" w:eastAsia="黑体"/>
          <w:sz w:val="32"/>
          <w:szCs w:val="32"/>
          <w:lang w:eastAsia="zh-CN"/>
        </w:rPr>
      </w:pPr>
      <w:r>
        <w:rPr>
          <w:rFonts w:hint="eastAsia" w:ascii="黑体" w:hAnsi="黑体" w:eastAsia="黑体"/>
          <w:sz w:val="32"/>
          <w:szCs w:val="32"/>
        </w:rPr>
        <w:t>四、技术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要求</w:t>
      </w:r>
    </w:p>
    <w:p w14:paraId="75441E3E">
      <w:pPr>
        <w:pStyle w:val="5"/>
        <w:snapToGrid w:val="0"/>
        <w:spacing w:before="156" w:beforeLines="50" w:after="156" w:afterLines="50" w:line="240" w:lineRule="auto"/>
        <w:jc w:val="center"/>
      </w:pPr>
      <w:r>
        <w:rPr>
          <w:rFonts w:hint="eastAsia"/>
        </w:rPr>
        <w:t>山东大学校园网网络设备维保服务技术</w:t>
      </w:r>
      <w:r>
        <w:rPr>
          <w:rFonts w:hint="eastAsia"/>
          <w:lang w:val="en-US" w:eastAsia="zh-CN"/>
        </w:rPr>
        <w:t>要求</w:t>
      </w:r>
    </w:p>
    <w:tbl>
      <w:tblPr>
        <w:tblStyle w:val="17"/>
        <w:tblW w:w="4991" w:type="pct"/>
        <w:tblInd w:w="0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672"/>
        <w:gridCol w:w="1058"/>
        <w:gridCol w:w="5257"/>
        <w:gridCol w:w="1148"/>
        <w:gridCol w:w="1123"/>
        <w:gridCol w:w="686"/>
      </w:tblGrid>
      <w:tr w14:paraId="006699F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513" w:type="pct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9ABB360">
            <w:pPr>
              <w:pStyle w:val="27"/>
              <w:adjustRightInd/>
              <w:spacing w:line="30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</w:rPr>
              <w:t>采购人要求（用户填写）</w:t>
            </w:r>
          </w:p>
        </w:tc>
        <w:tc>
          <w:tcPr>
            <w:tcW w:w="1486" w:type="pct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DF25DCD">
            <w:pPr>
              <w:pStyle w:val="27"/>
              <w:adjustRightInd/>
              <w:spacing w:line="30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投标人响应（投标人填写）</w:t>
            </w:r>
          </w:p>
        </w:tc>
      </w:tr>
      <w:tr w14:paraId="0F6C119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3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0C674A8">
            <w:pPr>
              <w:pStyle w:val="27"/>
              <w:spacing w:line="300" w:lineRule="auto"/>
              <w:ind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53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8132096">
            <w:pPr>
              <w:pStyle w:val="27"/>
              <w:adjustRightInd/>
              <w:spacing w:line="30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指标项</w:t>
            </w:r>
          </w:p>
        </w:tc>
        <w:tc>
          <w:tcPr>
            <w:tcW w:w="2643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08B5EB0">
            <w:pPr>
              <w:pStyle w:val="27"/>
              <w:adjustRightInd/>
              <w:spacing w:line="30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指标要求</w:t>
            </w:r>
          </w:p>
        </w:tc>
        <w:tc>
          <w:tcPr>
            <w:tcW w:w="57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6254117">
            <w:pPr>
              <w:pStyle w:val="27"/>
              <w:adjustRightInd/>
              <w:spacing w:line="30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应答技术规格指标</w:t>
            </w:r>
          </w:p>
        </w:tc>
        <w:tc>
          <w:tcPr>
            <w:tcW w:w="56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CD093B7">
            <w:pPr>
              <w:pStyle w:val="27"/>
              <w:adjustRightInd/>
              <w:spacing w:line="30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技术指标偏离情况</w:t>
            </w:r>
          </w:p>
        </w:tc>
        <w:tc>
          <w:tcPr>
            <w:tcW w:w="34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E1F0FB7">
            <w:pPr>
              <w:pStyle w:val="27"/>
              <w:adjustRightInd/>
              <w:spacing w:line="30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备注</w:t>
            </w:r>
          </w:p>
        </w:tc>
      </w:tr>
      <w:tr w14:paraId="1646B40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64" w:hRule="atLeast"/>
        </w:trPr>
        <w:tc>
          <w:tcPr>
            <w:tcW w:w="33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705B567">
            <w:pPr>
              <w:pStyle w:val="27"/>
              <w:numPr>
                <w:ilvl w:val="0"/>
                <w:numId w:val="3"/>
              </w:numPr>
              <w:spacing w:line="300" w:lineRule="auto"/>
              <w:ind w:left="284" w:hanging="299" w:firstLineChars="0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75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C876746">
            <w:pPr>
              <w:pStyle w:val="27"/>
              <w:adjustRightInd/>
              <w:spacing w:line="30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互联网对称出口带宽</w:t>
            </w:r>
          </w:p>
        </w:tc>
        <w:tc>
          <w:tcPr>
            <w:tcW w:w="57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FC37092">
            <w:pPr>
              <w:pStyle w:val="27"/>
              <w:adjustRightInd/>
              <w:spacing w:line="30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6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5D32844">
            <w:pPr>
              <w:pStyle w:val="27"/>
              <w:adjustRightInd/>
              <w:spacing w:line="30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4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E7E3DE1">
            <w:pPr>
              <w:pStyle w:val="27"/>
              <w:adjustRightInd/>
              <w:spacing w:line="30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2556705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3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E585176">
            <w:pPr>
              <w:pStyle w:val="27"/>
              <w:numPr>
                <w:ilvl w:val="1"/>
                <w:numId w:val="3"/>
              </w:numPr>
              <w:spacing w:line="300" w:lineRule="auto"/>
              <w:ind w:firstLineChars="0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3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79B0B28">
            <w:pPr>
              <w:spacing w:line="300" w:lineRule="auto"/>
              <w:ind w:firstLine="0" w:firstLineChars="0"/>
              <w:rPr>
                <w:rFonts w:hint="eastAsia"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带宽需求</w:t>
            </w:r>
          </w:p>
        </w:tc>
        <w:tc>
          <w:tcPr>
            <w:tcW w:w="264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E1D51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0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提供上下行对称的互联网宽带线路（简称：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互联网出口对称带宽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），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上下行带宽均不低于4Gbps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。</w:t>
            </w:r>
          </w:p>
        </w:tc>
        <w:tc>
          <w:tcPr>
            <w:tcW w:w="57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BA9BB3A">
            <w:pPr>
              <w:adjustRightInd/>
              <w:spacing w:line="300" w:lineRule="auto"/>
              <w:ind w:firstLine="42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6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4D4DF6D">
            <w:pPr>
              <w:pStyle w:val="27"/>
              <w:adjustRightInd/>
              <w:spacing w:line="30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4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A221AD1">
            <w:pPr>
              <w:pStyle w:val="27"/>
              <w:adjustRightInd/>
              <w:spacing w:line="30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0707BC7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3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98F04C9">
            <w:pPr>
              <w:pStyle w:val="27"/>
              <w:numPr>
                <w:ilvl w:val="1"/>
                <w:numId w:val="3"/>
              </w:numPr>
              <w:spacing w:line="300" w:lineRule="auto"/>
              <w:ind w:firstLineChars="0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3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9CAD7CE">
            <w:pPr>
              <w:spacing w:line="300" w:lineRule="auto"/>
              <w:ind w:firstLine="0" w:firstLineChars="0"/>
              <w:rPr>
                <w:rFonts w:hint="eastAsia"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出口带宽性能</w:t>
            </w:r>
          </w:p>
        </w:tc>
        <w:tc>
          <w:tcPr>
            <w:tcW w:w="264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76661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0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投标方承诺提供的互联链路国内、国外互联网访问性能不低于投标方相应宽带服务的网内标准。</w:t>
            </w:r>
          </w:p>
        </w:tc>
        <w:tc>
          <w:tcPr>
            <w:tcW w:w="57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AA8526E">
            <w:pPr>
              <w:adjustRightInd/>
              <w:spacing w:line="300" w:lineRule="auto"/>
              <w:ind w:firstLine="42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6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3CE9625">
            <w:pPr>
              <w:pStyle w:val="27"/>
              <w:adjustRightInd/>
              <w:spacing w:line="30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4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AC56A36">
            <w:pPr>
              <w:pStyle w:val="27"/>
              <w:adjustRightInd/>
              <w:spacing w:line="30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21C31CA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3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865BE87">
            <w:pPr>
              <w:pStyle w:val="27"/>
              <w:numPr>
                <w:ilvl w:val="1"/>
                <w:numId w:val="3"/>
              </w:numPr>
              <w:spacing w:line="300" w:lineRule="auto"/>
              <w:ind w:firstLineChars="0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3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F5285D3">
            <w:pPr>
              <w:spacing w:line="300" w:lineRule="auto"/>
              <w:ind w:firstLine="0" w:firstLineChars="0"/>
              <w:rPr>
                <w:rFonts w:hint="eastAsia" w:ascii="宋体" w:hAnsi="宋体" w:eastAsia="宋体" w:cs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</w:rPr>
              <w:t>△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互联接口</w:t>
            </w:r>
          </w:p>
        </w:tc>
        <w:tc>
          <w:tcPr>
            <w:tcW w:w="264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7996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0" w:firstLineChars="0"/>
              <w:textAlignment w:val="auto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使用40G端口方式接入招标方设备。</w:t>
            </w:r>
          </w:p>
        </w:tc>
        <w:tc>
          <w:tcPr>
            <w:tcW w:w="57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627ABE8">
            <w:pPr>
              <w:adjustRightInd/>
              <w:spacing w:line="300" w:lineRule="auto"/>
              <w:ind w:firstLine="42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6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6418B1B">
            <w:pPr>
              <w:pStyle w:val="27"/>
              <w:adjustRightInd/>
              <w:spacing w:line="30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4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6F2BA66">
            <w:pPr>
              <w:pStyle w:val="27"/>
              <w:adjustRightInd/>
              <w:spacing w:line="30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6AD6E8F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3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9669DA9">
            <w:pPr>
              <w:pStyle w:val="27"/>
              <w:numPr>
                <w:ilvl w:val="1"/>
                <w:numId w:val="3"/>
              </w:numPr>
              <w:spacing w:line="300" w:lineRule="auto"/>
              <w:ind w:firstLineChars="0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3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A3369A5">
            <w:pPr>
              <w:spacing w:line="300" w:lineRule="auto"/>
              <w:ind w:firstLine="0" w:firstLineChars="0"/>
              <w:rPr>
                <w:rFonts w:hint="eastAsia"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设备接入方式</w:t>
            </w:r>
          </w:p>
        </w:tc>
        <w:tc>
          <w:tcPr>
            <w:tcW w:w="264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C55FF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0" w:firstLineChars="0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支持投标方使用现有网络设备进行接入并连接到互联网。</w:t>
            </w:r>
          </w:p>
        </w:tc>
        <w:tc>
          <w:tcPr>
            <w:tcW w:w="57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DDAAB2D">
            <w:pPr>
              <w:adjustRightInd/>
              <w:spacing w:line="300" w:lineRule="auto"/>
              <w:ind w:firstLine="42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6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CB87948">
            <w:pPr>
              <w:pStyle w:val="27"/>
              <w:adjustRightInd/>
              <w:spacing w:line="30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4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AE7775F">
            <w:pPr>
              <w:pStyle w:val="27"/>
              <w:adjustRightInd/>
              <w:spacing w:line="30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2BCB4F4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3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BF1E469">
            <w:pPr>
              <w:pStyle w:val="27"/>
              <w:numPr>
                <w:ilvl w:val="1"/>
                <w:numId w:val="3"/>
              </w:numPr>
              <w:spacing w:line="300" w:lineRule="auto"/>
              <w:ind w:firstLineChars="0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3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6437933">
            <w:pPr>
              <w:spacing w:line="300" w:lineRule="auto"/>
              <w:ind w:firstLine="0" w:firstLineChars="0"/>
              <w:rPr>
                <w:rFonts w:hint="eastAsia"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</w:rPr>
              <w:t>△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IPv4地址要求</w:t>
            </w:r>
          </w:p>
        </w:tc>
        <w:tc>
          <w:tcPr>
            <w:tcW w:w="264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8F82D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0" w:firstLineChars="0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需提供“甲方期刊杂志等应用系统”白名单之内的80个固定公网IPv4地址，且保证各类应用可以正常使用。</w:t>
            </w:r>
          </w:p>
        </w:tc>
        <w:tc>
          <w:tcPr>
            <w:tcW w:w="57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7C33C6F">
            <w:pPr>
              <w:adjustRightInd/>
              <w:spacing w:line="300" w:lineRule="auto"/>
              <w:ind w:firstLine="42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6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6165497">
            <w:pPr>
              <w:pStyle w:val="27"/>
              <w:adjustRightInd/>
              <w:spacing w:line="30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4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22EF8DC">
            <w:pPr>
              <w:pStyle w:val="27"/>
              <w:adjustRightInd/>
              <w:spacing w:line="30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4E22492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3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FB64FE0">
            <w:pPr>
              <w:pStyle w:val="27"/>
              <w:numPr>
                <w:ilvl w:val="1"/>
                <w:numId w:val="3"/>
              </w:numPr>
              <w:spacing w:line="300" w:lineRule="auto"/>
              <w:ind w:firstLineChars="0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3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170EFCA">
            <w:pPr>
              <w:spacing w:line="300" w:lineRule="auto"/>
              <w:ind w:firstLine="0" w:firstLineChars="0"/>
              <w:rPr>
                <w:rFonts w:hint="eastAsia"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IPv6地址要求</w:t>
            </w:r>
          </w:p>
        </w:tc>
        <w:tc>
          <w:tcPr>
            <w:tcW w:w="264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493F8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0" w:firstLineChars="0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提供前缀为64的、固定公网IPv6地址；且必须支持IPV4/IPV6双栈。</w:t>
            </w:r>
          </w:p>
        </w:tc>
        <w:tc>
          <w:tcPr>
            <w:tcW w:w="57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13C5DD9">
            <w:pPr>
              <w:adjustRightInd/>
              <w:spacing w:line="300" w:lineRule="auto"/>
              <w:ind w:firstLine="42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6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A0C37C5">
            <w:pPr>
              <w:pStyle w:val="27"/>
              <w:adjustRightInd/>
              <w:spacing w:line="30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4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ADEBFE8">
            <w:pPr>
              <w:pStyle w:val="27"/>
              <w:adjustRightInd/>
              <w:spacing w:line="30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7B04418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3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0650AE2">
            <w:pPr>
              <w:pStyle w:val="27"/>
              <w:numPr>
                <w:ilvl w:val="1"/>
                <w:numId w:val="3"/>
              </w:numPr>
              <w:spacing w:line="300" w:lineRule="auto"/>
              <w:ind w:firstLineChars="0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3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0E20902">
            <w:pPr>
              <w:spacing w:line="300" w:lineRule="auto"/>
              <w:ind w:firstLine="0" w:firstLineChars="0"/>
              <w:rPr>
                <w:rFonts w:hint="eastAsia"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网络质量</w:t>
            </w:r>
          </w:p>
        </w:tc>
        <w:tc>
          <w:tcPr>
            <w:tcW w:w="264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19F7300">
            <w:pPr>
              <w:pStyle w:val="2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0" w:firstLineChars="0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闲时通道互联地址对PING（100字节）平均时延不高于5ms，丢包率不大于0.1%；忙时（18:00-0:00）时延不高于25ms，丢包率不大于0.5%；</w:t>
            </w:r>
          </w:p>
          <w:p w14:paraId="52FF0F51">
            <w:pPr>
              <w:pStyle w:val="2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0" w:firstLineChars="0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闲时通道互联地址对PING（1500字节）平均时延不高于10ms，丢包率不大于0.3%；忙时（20:00-0:00）时延不高于50ms，丢包率不大于1%；</w:t>
            </w:r>
          </w:p>
          <w:p w14:paraId="6634E0F3">
            <w:pPr>
              <w:pStyle w:val="2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0" w:firstLineChars="0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网络可用性优于99.0%。</w:t>
            </w:r>
          </w:p>
        </w:tc>
        <w:tc>
          <w:tcPr>
            <w:tcW w:w="57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93C7A21">
            <w:pPr>
              <w:pStyle w:val="27"/>
              <w:adjustRightInd/>
              <w:spacing w:line="30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6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5DA36C5">
            <w:pPr>
              <w:pStyle w:val="27"/>
              <w:adjustRightInd/>
              <w:spacing w:line="30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4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B259CB6">
            <w:pPr>
              <w:pStyle w:val="27"/>
              <w:adjustRightInd/>
              <w:spacing w:line="30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2EA0FA6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89" w:hRule="atLeast"/>
        </w:trPr>
        <w:tc>
          <w:tcPr>
            <w:tcW w:w="33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D12AC84">
            <w:pPr>
              <w:pStyle w:val="27"/>
              <w:numPr>
                <w:ilvl w:val="1"/>
                <w:numId w:val="3"/>
              </w:numPr>
              <w:spacing w:line="300" w:lineRule="auto"/>
              <w:ind w:firstLineChars="0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3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24B09C2">
            <w:pPr>
              <w:spacing w:line="300" w:lineRule="auto"/>
              <w:ind w:firstLine="0" w:firstLineChars="0"/>
              <w:rPr>
                <w:rFonts w:hint="eastAsia"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配套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</w:rPr>
              <w:t>要求</w:t>
            </w:r>
          </w:p>
        </w:tc>
        <w:tc>
          <w:tcPr>
            <w:tcW w:w="264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F398711">
            <w:pPr>
              <w:pStyle w:val="2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0" w:firstLineChars="0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yellow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供应商应提供用于采购方设备接入本宽带的光模块及线缆。</w:t>
            </w:r>
          </w:p>
        </w:tc>
        <w:tc>
          <w:tcPr>
            <w:tcW w:w="57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44B9A89">
            <w:pPr>
              <w:pStyle w:val="27"/>
              <w:adjustRightInd/>
              <w:spacing w:line="30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6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4B8F9F9">
            <w:pPr>
              <w:pStyle w:val="27"/>
              <w:adjustRightInd/>
              <w:spacing w:line="30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4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9FF2D67">
            <w:pPr>
              <w:pStyle w:val="27"/>
              <w:adjustRightInd/>
              <w:spacing w:line="30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FEE47A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33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5137351">
            <w:pPr>
              <w:pStyle w:val="27"/>
              <w:numPr>
                <w:ilvl w:val="1"/>
                <w:numId w:val="3"/>
              </w:numPr>
              <w:spacing w:line="300" w:lineRule="auto"/>
              <w:ind w:firstLineChars="0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3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BB634E9">
            <w:pPr>
              <w:spacing w:line="300" w:lineRule="auto"/>
              <w:ind w:firstLine="0" w:firstLineChars="0"/>
              <w:rPr>
                <w:rFonts w:hint="eastAsia"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</w:rPr>
              <w:t>△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业务连续性保障要求</w:t>
            </w:r>
          </w:p>
        </w:tc>
        <w:tc>
          <w:tcPr>
            <w:tcW w:w="264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424EDD0">
            <w:pPr>
              <w:pStyle w:val="2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ind w:firstLine="0" w:firstLineChars="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供应商提供的专线应确保采购人当前业务的连续性和稳定性，调测期间需确保业务连续不中断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57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EFC6B9C">
            <w:pPr>
              <w:pStyle w:val="27"/>
              <w:adjustRightInd/>
              <w:spacing w:line="30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6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69F6074">
            <w:pPr>
              <w:pStyle w:val="27"/>
              <w:adjustRightInd/>
              <w:spacing w:line="30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4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E377E51">
            <w:pPr>
              <w:pStyle w:val="27"/>
              <w:adjustRightInd/>
              <w:spacing w:line="30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 w14:paraId="2935524F">
      <w:pPr>
        <w:pStyle w:val="27"/>
        <w:ind w:left="0" w:leftChars="0" w:firstLine="0" w:firstLineChars="0"/>
        <w:rPr>
          <w:rFonts w:hint="eastAsia" w:ascii="宋体" w:hAnsi="宋体" w:eastAsia="宋体" w:cs="宋体"/>
          <w:b/>
          <w:szCs w:val="21"/>
          <w:lang w:val="en-US" w:eastAsia="zh-CN"/>
        </w:rPr>
      </w:pPr>
    </w:p>
    <w:p w14:paraId="0A76A159">
      <w:pPr>
        <w:pStyle w:val="27"/>
        <w:rPr>
          <w:rFonts w:hint="eastAsia" w:ascii="宋体" w:hAnsi="宋体" w:eastAsia="宋体" w:cs="宋体"/>
          <w:b/>
          <w:szCs w:val="21"/>
          <w:lang w:val="en-US" w:eastAsia="zh-CN"/>
        </w:rPr>
      </w:pPr>
    </w:p>
    <w:p w14:paraId="1911E8FD">
      <w:pPr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br w:type="page"/>
      </w:r>
    </w:p>
    <w:p w14:paraId="522A297F">
      <w:pPr>
        <w:outlineLvl w:val="2"/>
        <w:rPr>
          <w:rFonts w:ascii="宋体" w:hAnsi="宋体"/>
          <w:sz w:val="24"/>
        </w:rPr>
      </w:pPr>
      <w:r>
        <w:rPr>
          <w:rFonts w:hint="eastAsia" w:ascii="黑体" w:hAnsi="黑体" w:eastAsia="黑体"/>
          <w:sz w:val="32"/>
          <w:szCs w:val="32"/>
        </w:rPr>
        <w:t>五、商务条款</w:t>
      </w:r>
    </w:p>
    <w:p w14:paraId="3686CADF">
      <w:pPr>
        <w:pStyle w:val="5"/>
        <w:snapToGrid w:val="0"/>
        <w:spacing w:before="156" w:beforeLines="50" w:after="156" w:afterLines="50" w:line="240" w:lineRule="auto"/>
        <w:jc w:val="center"/>
      </w:pPr>
      <w:r>
        <w:rPr>
          <w:rFonts w:hint="eastAsia"/>
        </w:rPr>
        <w:t>山东大学服务采购商务条款响应一览表</w:t>
      </w:r>
    </w:p>
    <w:tbl>
      <w:tblPr>
        <w:tblStyle w:val="17"/>
        <w:tblW w:w="980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1"/>
        <w:gridCol w:w="1850"/>
        <w:gridCol w:w="3990"/>
        <w:gridCol w:w="2750"/>
      </w:tblGrid>
      <w:tr w14:paraId="51271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</w:trPr>
        <w:tc>
          <w:tcPr>
            <w:tcW w:w="12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7A9AFB">
            <w:pPr>
              <w:spacing w:line="420" w:lineRule="exact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项目序号</w:t>
            </w:r>
          </w:p>
        </w:tc>
        <w:tc>
          <w:tcPr>
            <w:tcW w:w="1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9882CC">
            <w:pPr>
              <w:spacing w:line="420" w:lineRule="exact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项目名称</w:t>
            </w:r>
          </w:p>
        </w:tc>
        <w:tc>
          <w:tcPr>
            <w:tcW w:w="3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DEB05D">
            <w:pPr>
              <w:spacing w:line="420" w:lineRule="exact"/>
              <w:jc w:val="center"/>
              <w:rPr>
                <w:rFonts w:ascii="宋体" w:hAnsi="宋体" w:eastAsia="宋体"/>
                <w:b/>
                <w:bCs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Cs w:val="21"/>
              </w:rPr>
              <w:t>采购人要求</w:t>
            </w:r>
          </w:p>
        </w:tc>
        <w:tc>
          <w:tcPr>
            <w:tcW w:w="2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A4FC3C">
            <w:pPr>
              <w:spacing w:line="420" w:lineRule="exact"/>
              <w:jc w:val="center"/>
              <w:rPr>
                <w:rFonts w:hint="eastAsia" w:ascii="宋体" w:hAnsi="宋体" w:eastAsia="宋体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投标人响应</w:t>
            </w:r>
          </w:p>
        </w:tc>
      </w:tr>
      <w:tr w14:paraId="074C92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B1BE79">
            <w:pPr>
              <w:spacing w:line="420" w:lineRule="exact"/>
              <w:jc w:val="center"/>
              <w:rPr>
                <w:rFonts w:ascii="宋体" w:hAnsi="宋体" w:eastAsia="宋体"/>
                <w:bCs/>
                <w:szCs w:val="21"/>
              </w:rPr>
            </w:pPr>
            <w:r>
              <w:rPr>
                <w:rFonts w:hint="eastAsia" w:ascii="宋体" w:hAnsi="宋体" w:eastAsia="宋体"/>
                <w:bCs/>
                <w:szCs w:val="21"/>
              </w:rPr>
              <w:t>1</w:t>
            </w:r>
          </w:p>
        </w:tc>
        <w:tc>
          <w:tcPr>
            <w:tcW w:w="1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E4DD88">
            <w:pPr>
              <w:spacing w:line="420" w:lineRule="exact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成交价</w:t>
            </w:r>
          </w:p>
        </w:tc>
        <w:tc>
          <w:tcPr>
            <w:tcW w:w="3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137F61">
            <w:pPr>
              <w:spacing w:line="420" w:lineRule="exact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人民币</w:t>
            </w:r>
          </w:p>
        </w:tc>
        <w:tc>
          <w:tcPr>
            <w:tcW w:w="2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938BD6">
            <w:pPr>
              <w:spacing w:line="420" w:lineRule="exact"/>
              <w:rPr>
                <w:rFonts w:hint="eastAsia" w:ascii="宋体" w:hAnsi="宋体" w:eastAsia="宋体"/>
                <w:szCs w:val="21"/>
              </w:rPr>
            </w:pPr>
          </w:p>
        </w:tc>
      </w:tr>
      <w:tr w14:paraId="7D687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2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A1CEA9">
            <w:pPr>
              <w:spacing w:line="420" w:lineRule="exact"/>
              <w:jc w:val="center"/>
              <w:rPr>
                <w:rFonts w:ascii="宋体" w:hAnsi="宋体" w:eastAsia="宋体"/>
                <w:bCs/>
                <w:szCs w:val="21"/>
              </w:rPr>
            </w:pPr>
            <w:r>
              <w:rPr>
                <w:rFonts w:hint="eastAsia" w:ascii="宋体" w:hAnsi="宋体" w:eastAsia="宋体"/>
                <w:bCs/>
                <w:szCs w:val="21"/>
              </w:rPr>
              <w:t>2</w:t>
            </w:r>
          </w:p>
        </w:tc>
        <w:tc>
          <w:tcPr>
            <w:tcW w:w="1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81F4EB">
            <w:pPr>
              <w:spacing w:line="420" w:lineRule="exact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交付期</w:t>
            </w:r>
          </w:p>
        </w:tc>
        <w:tc>
          <w:tcPr>
            <w:tcW w:w="3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9DDF2B">
            <w:pPr>
              <w:spacing w:line="420" w:lineRule="exact"/>
              <w:jc w:val="left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合同签订后7 日</w:t>
            </w:r>
            <w:r>
              <w:rPr>
                <w:rFonts w:hint="eastAsia" w:ascii="宋体" w:hAnsi="宋体" w:eastAsia="宋体"/>
                <w:szCs w:val="21"/>
              </w:rPr>
              <w:t>内完成</w:t>
            </w: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部署服务。</w:t>
            </w:r>
          </w:p>
        </w:tc>
        <w:tc>
          <w:tcPr>
            <w:tcW w:w="2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FD046C">
            <w:pPr>
              <w:spacing w:line="420" w:lineRule="exact"/>
              <w:jc w:val="left"/>
              <w:rPr>
                <w:rFonts w:hint="eastAsia" w:ascii="宋体" w:hAnsi="宋体" w:eastAsia="宋体"/>
                <w:szCs w:val="21"/>
                <w:lang w:val="en-US" w:eastAsia="zh-CN"/>
              </w:rPr>
            </w:pPr>
          </w:p>
        </w:tc>
      </w:tr>
      <w:tr w14:paraId="42731D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2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E7013F">
            <w:pPr>
              <w:spacing w:line="420" w:lineRule="exact"/>
              <w:jc w:val="center"/>
              <w:rPr>
                <w:rFonts w:hint="eastAsia" w:ascii="宋体" w:hAnsi="宋体" w:eastAsia="宋体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bCs/>
                <w:szCs w:val="21"/>
              </w:rPr>
              <w:t>3</w:t>
            </w:r>
          </w:p>
        </w:tc>
        <w:tc>
          <w:tcPr>
            <w:tcW w:w="1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5F76CA">
            <w:pPr>
              <w:spacing w:line="420" w:lineRule="exact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开通日期</w:t>
            </w:r>
          </w:p>
        </w:tc>
        <w:tc>
          <w:tcPr>
            <w:tcW w:w="3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EF5E83">
            <w:pPr>
              <w:spacing w:line="420" w:lineRule="exact"/>
              <w:jc w:val="left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Cs w:val="21"/>
              </w:rPr>
              <w:t>完成</w:t>
            </w: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部署服务后，根据合同约定日期开通服务。</w:t>
            </w:r>
          </w:p>
        </w:tc>
        <w:tc>
          <w:tcPr>
            <w:tcW w:w="2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AE29D7">
            <w:pPr>
              <w:spacing w:line="420" w:lineRule="exact"/>
              <w:jc w:val="left"/>
              <w:rPr>
                <w:rFonts w:hint="eastAsia" w:ascii="宋体" w:hAnsi="宋体" w:eastAsia="宋体"/>
                <w:szCs w:val="21"/>
                <w:lang w:val="en-US" w:eastAsia="zh-CN"/>
              </w:rPr>
            </w:pPr>
          </w:p>
        </w:tc>
      </w:tr>
      <w:tr w14:paraId="7EDE25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12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C534FE">
            <w:pPr>
              <w:spacing w:line="420" w:lineRule="exact"/>
              <w:jc w:val="center"/>
              <w:rPr>
                <w:rFonts w:ascii="宋体" w:hAnsi="宋体" w:eastAsia="宋体" w:cstheme="minorBidi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bCs/>
                <w:szCs w:val="21"/>
              </w:rPr>
              <w:t>4</w:t>
            </w:r>
          </w:p>
        </w:tc>
        <w:tc>
          <w:tcPr>
            <w:tcW w:w="1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8EB0F7">
            <w:pPr>
              <w:spacing w:line="420" w:lineRule="exact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项目服务周期</w:t>
            </w:r>
          </w:p>
        </w:tc>
        <w:tc>
          <w:tcPr>
            <w:tcW w:w="3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27D284">
            <w:pPr>
              <w:spacing w:line="420" w:lineRule="exact"/>
              <w:jc w:val="left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项目</w:t>
            </w:r>
            <w:r>
              <w:rPr>
                <w:rFonts w:hint="eastAsia" w:ascii="宋体" w:hAnsi="宋体" w:eastAsia="宋体"/>
                <w:szCs w:val="21"/>
              </w:rPr>
              <w:t>服务期</w:t>
            </w: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3年，</w:t>
            </w: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首年合同签订后，后续年度合同在双方均未提出书面异议的情况下自动续签，每次续签合同金额与首年成交价一致</w:t>
            </w:r>
            <w:r>
              <w:rPr>
                <w:rFonts w:hint="eastAsia" w:ascii="Segoe UI" w:hAnsi="Segoe UI" w:eastAsia="宋体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eastAsia="zh-CN"/>
              </w:rPr>
              <w:t>，</w:t>
            </w:r>
            <w:r>
              <w:rPr>
                <w:rFonts w:hint="eastAsia" w:ascii="Segoe UI" w:hAnsi="Segoe UI" w:eastAsia="宋体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  <w:t>最多续签两次，总计合同年限不超过三年</w:t>
            </w: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。</w:t>
            </w:r>
          </w:p>
        </w:tc>
        <w:tc>
          <w:tcPr>
            <w:tcW w:w="2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F6A1F8">
            <w:pPr>
              <w:spacing w:line="420" w:lineRule="exact"/>
              <w:jc w:val="left"/>
              <w:rPr>
                <w:rFonts w:hint="eastAsia" w:ascii="宋体" w:hAnsi="宋体" w:eastAsia="宋体"/>
                <w:szCs w:val="21"/>
              </w:rPr>
            </w:pPr>
          </w:p>
        </w:tc>
      </w:tr>
      <w:tr w14:paraId="35E2C9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12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EF0B4A">
            <w:pPr>
              <w:spacing w:line="420" w:lineRule="exact"/>
              <w:jc w:val="center"/>
              <w:rPr>
                <w:rFonts w:hint="eastAsia" w:ascii="宋体" w:hAnsi="宋体" w:eastAsia="宋体"/>
                <w:bCs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Cs w:val="21"/>
                <w:lang w:val="en-US" w:eastAsia="zh-CN"/>
              </w:rPr>
              <w:t>5</w:t>
            </w:r>
          </w:p>
        </w:tc>
        <w:tc>
          <w:tcPr>
            <w:tcW w:w="1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90FCD6">
            <w:pPr>
              <w:spacing w:line="420" w:lineRule="exact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付款方式</w:t>
            </w:r>
          </w:p>
        </w:tc>
        <w:tc>
          <w:tcPr>
            <w:tcW w:w="3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614221">
            <w:pPr>
              <w:spacing w:line="420" w:lineRule="exact"/>
              <w:jc w:val="left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服务费按年度支付。互联网专线安装调试完毕并</w:t>
            </w:r>
            <w:r>
              <w:rPr>
                <w:rFonts w:hint="default" w:ascii="Segoe UI" w:hAnsi="Segoe UI" w:eastAsia="Segoe UI" w:cs="Segoe UI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验收合格后30日内，</w:t>
            </w:r>
            <w:r>
              <w:rPr>
                <w:rFonts w:hint="eastAsia" w:ascii="Segoe UI" w:hAnsi="Segoe UI" w:eastAsia="宋体" w:cs="Segoe UI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  <w:t>招标方</w:t>
            </w:r>
            <w:r>
              <w:rPr>
                <w:rFonts w:hint="default" w:ascii="Segoe UI" w:hAnsi="Segoe UI" w:eastAsia="Segoe UI" w:cs="Segoe UI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支付当年度</w:t>
            </w:r>
            <w:r>
              <w:rPr>
                <w:rFonts w:hint="eastAsia" w:ascii="Segoe UI" w:hAnsi="Segoe UI" w:eastAsia="宋体" w:cs="Segoe UI"/>
                <w:b w:val="0"/>
                <w:bCs w:val="0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  <w:t>费用</w:t>
            </w: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。</w:t>
            </w:r>
            <w:r>
              <w:rPr>
                <w:rFonts w:hint="eastAsia" w:ascii="Segoe UI" w:hAnsi="Segoe UI" w:eastAsia="宋体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  <w:t>如果服务延展，后续年份</w:t>
            </w: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租赁费用，</w:t>
            </w:r>
            <w:r>
              <w:rPr>
                <w:rFonts w:hint="eastAsia" w:ascii="Segoe UI" w:hAnsi="Segoe UI" w:eastAsia="宋体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  <w:t>招标方应在10月31日前</w:t>
            </w: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，支付当年100%租赁费。</w:t>
            </w:r>
          </w:p>
        </w:tc>
        <w:tc>
          <w:tcPr>
            <w:tcW w:w="2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F40FF8">
            <w:pPr>
              <w:spacing w:line="420" w:lineRule="exact"/>
              <w:jc w:val="left"/>
              <w:rPr>
                <w:rFonts w:hint="eastAsia" w:ascii="宋体" w:hAnsi="宋体" w:eastAsia="宋体"/>
                <w:szCs w:val="21"/>
              </w:rPr>
            </w:pPr>
          </w:p>
        </w:tc>
      </w:tr>
    </w:tbl>
    <w:p w14:paraId="1876DA6D">
      <w:pPr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备注：</w:t>
      </w:r>
    </w:p>
    <w:p w14:paraId="22A63F1F">
      <w:pPr>
        <w:ind w:firstLine="42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招标完成后，付款方式不可更改；</w:t>
      </w:r>
    </w:p>
    <w:p w14:paraId="0E4CD027">
      <w:pPr>
        <w:ind w:firstLine="42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此表内容只做参考，请用户根据购置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服务</w:t>
      </w:r>
      <w:r>
        <w:rPr>
          <w:rFonts w:hint="eastAsia" w:ascii="宋体" w:hAnsi="宋体" w:eastAsia="宋体" w:cs="宋体"/>
          <w:bCs/>
          <w:sz w:val="24"/>
          <w:szCs w:val="24"/>
        </w:rPr>
        <w:t>实际需求填写《商务条款响应一览表》。</w:t>
      </w:r>
    </w:p>
    <w:p w14:paraId="74D060B3">
      <w:pPr>
        <w:pStyle w:val="9"/>
        <w:bidi w:val="0"/>
      </w:pPr>
    </w:p>
    <w:p w14:paraId="2DCFC7B6">
      <w:pPr>
        <w:pStyle w:val="9"/>
        <w:bidi w:val="0"/>
      </w:pPr>
    </w:p>
    <w:p w14:paraId="7CEF0FA7">
      <w:pPr>
        <w:outlineLvl w:val="2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六</w:t>
      </w:r>
      <w:bookmarkStart w:id="0" w:name="_GoBack"/>
      <w:bookmarkEnd w:id="0"/>
      <w:r>
        <w:rPr>
          <w:rFonts w:hint="eastAsia" w:ascii="黑体" w:hAnsi="黑体" w:eastAsia="黑体"/>
          <w:sz w:val="32"/>
          <w:szCs w:val="32"/>
        </w:rPr>
        <w:t>、培训</w:t>
      </w:r>
    </w:p>
    <w:p w14:paraId="7A38761F">
      <w:pPr>
        <w:widowControl/>
        <w:spacing w:line="460" w:lineRule="exact"/>
        <w:ind w:firstLine="420" w:firstLineChars="200"/>
        <w:jc w:val="left"/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（一）成交供应商需在系统安装前提供完整的培训方案，包括整套系统的部署、使用、管理和维护。</w:t>
      </w:r>
    </w:p>
    <w:p w14:paraId="63187839">
      <w:pPr>
        <w:widowControl/>
        <w:spacing w:line="460" w:lineRule="exact"/>
        <w:ind w:firstLine="420" w:firstLineChars="200"/>
        <w:jc w:val="left"/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（二）应根据用户不同部门的业务特点、不同人员的职责分工、不同阶段的工作变化，有针对性的选择培训讲师、设计培训内容、制作培训教材，分阶段、分批次、分深度的进行培训。不同内容的培训须提前进行教材审核和培训试讲，达不到用户要求的，要进行调整优化。</w:t>
      </w:r>
    </w:p>
    <w:p w14:paraId="3CC91160">
      <w:pPr>
        <w:widowControl/>
        <w:spacing w:line="460" w:lineRule="exact"/>
        <w:ind w:firstLine="420" w:firstLineChars="200"/>
        <w:jc w:val="left"/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（三）及时提供相关领域新技术与新信息，以及相关技术咨询。</w:t>
      </w:r>
    </w:p>
    <w:p w14:paraId="08AC7495">
      <w:pPr>
        <w:widowControl/>
        <w:spacing w:line="460" w:lineRule="exact"/>
        <w:jc w:val="left"/>
        <w:rPr>
          <w:rFonts w:ascii="宋体" w:hAnsi="宋体"/>
          <w:sz w:val="24"/>
        </w:rPr>
      </w:pP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E83FD95-F68F-49B1-A1E0-CB169D95170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S Reference Specialty">
    <w:panose1 w:val="05000500000000000000"/>
    <w:charset w:val="02"/>
    <w:family w:val="auto"/>
    <w:pitch w:val="default"/>
    <w:sig w:usb0="00000000" w:usb1="00000000" w:usb2="00000000" w:usb3="00000000" w:csb0="80000000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2" w:fontKey="{F044D7B8-9BE2-42FD-8791-286D63E658A7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F0FF8191-52D5-4CAB-8EE4-C01D337A6751}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  <w:embedRegular r:id="rId4" w:fontKey="{F0CB19B8-9538-452C-B256-46E5AD8A3E2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"/>
    </w:sdtPr>
    <w:sdtContent>
      <w:p w14:paraId="2BAE6BF8">
        <w:pPr>
          <w:pStyle w:val="11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5</w:t>
        </w:r>
        <w:r>
          <w:fldChar w:fldCharType="end"/>
        </w:r>
      </w:p>
    </w:sdtContent>
  </w:sdt>
  <w:p w14:paraId="5D70C5C9">
    <w:pPr>
      <w:pStyle w:val="11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71BC8F0"/>
    <w:multiLevelType w:val="multilevel"/>
    <w:tmpl w:val="A71BC8F0"/>
    <w:lvl w:ilvl="0" w:tentative="0">
      <w:start w:val="1"/>
      <w:numFmt w:val="none"/>
      <w:isLgl/>
      <w:suff w:val="nothing"/>
      <w:lvlText w:val=""/>
      <w:lvlJc w:val="left"/>
      <w:pPr>
        <w:ind w:left="0" w:firstLine="0"/>
      </w:pPr>
      <w:rPr>
        <w:rFonts w:hint="eastAsia"/>
      </w:rPr>
    </w:lvl>
    <w:lvl w:ilvl="1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2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3" w:tentative="0">
      <w:start w:val="1"/>
      <w:numFmt w:val="none"/>
      <w:pStyle w:val="5"/>
      <w:suff w:val="nothing"/>
      <w:lvlText w:val=""/>
      <w:lvlJc w:val="left"/>
      <w:pPr>
        <w:ind w:left="0" w:firstLine="0"/>
      </w:pPr>
      <w:rPr>
        <w:rFonts w:hint="eastAsia"/>
      </w:rPr>
    </w:lvl>
    <w:lvl w:ilvl="4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5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1">
    <w:nsid w:val="098B27E5"/>
    <w:multiLevelType w:val="multilevel"/>
    <w:tmpl w:val="098B27E5"/>
    <w:lvl w:ilvl="0" w:tentative="0">
      <w:start w:val="1"/>
      <w:numFmt w:val="decimal"/>
      <w:lvlText w:val="%1."/>
      <w:lvlJc w:val="left"/>
      <w:pPr>
        <w:ind w:left="425" w:hanging="425"/>
      </w:pPr>
    </w:lvl>
    <w:lvl w:ilvl="1" w:tentative="0">
      <w:start w:val="1"/>
      <w:numFmt w:val="decimal"/>
      <w:lvlText w:val="%1.%2."/>
      <w:lvlJc w:val="left"/>
      <w:pPr>
        <w:ind w:left="567" w:hanging="567"/>
      </w:pPr>
    </w:lvl>
    <w:lvl w:ilvl="2" w:tentative="0">
      <w:start w:val="1"/>
      <w:numFmt w:val="decimal"/>
      <w:lvlText w:val="%1.%2.%3."/>
      <w:lvlJc w:val="left"/>
      <w:pPr>
        <w:ind w:left="709" w:hanging="709"/>
      </w:pPr>
    </w:lvl>
    <w:lvl w:ilvl="3" w:tentative="0">
      <w:start w:val="1"/>
      <w:numFmt w:val="decimal"/>
      <w:lvlText w:val="%1.%2.%3.%4."/>
      <w:lvlJc w:val="left"/>
      <w:pPr>
        <w:ind w:left="851" w:hanging="851"/>
      </w:pPr>
    </w:lvl>
    <w:lvl w:ilvl="4" w:tentative="0">
      <w:start w:val="1"/>
      <w:numFmt w:val="decimal"/>
      <w:lvlText w:val="%1.%2.%3.%4.%5."/>
      <w:lvlJc w:val="left"/>
      <w:pPr>
        <w:ind w:left="992" w:hanging="992"/>
      </w:pPr>
    </w:lvl>
    <w:lvl w:ilvl="5" w:tentative="0">
      <w:start w:val="1"/>
      <w:numFmt w:val="decimal"/>
      <w:lvlText w:val="%1.%2.%3.%4.%5.%6."/>
      <w:lvlJc w:val="left"/>
      <w:pPr>
        <w:ind w:left="1134" w:hanging="1134"/>
      </w:pPr>
    </w:lvl>
    <w:lvl w:ilvl="6" w:tentative="0">
      <w:start w:val="1"/>
      <w:numFmt w:val="decimal"/>
      <w:lvlText w:val="%1.%2.%3.%4.%5.%6.%7."/>
      <w:lvlJc w:val="left"/>
      <w:pPr>
        <w:ind w:left="1276" w:hanging="1276"/>
      </w:p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MS Reference Specialty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MS Reference Specialty"/>
      </w:rPr>
    </w:lvl>
    <w:lvl w:ilvl="4" w:tentative="0">
      <w:start w:val="0"/>
      <w:numFmt w:val="decimal"/>
      <w:pStyle w:val="25"/>
      <w:lvlText w:val=""/>
      <w:lvlJc w:val="left"/>
      <w:rPr>
        <w:rFonts w:cs="MS Reference Specialty"/>
      </w:rPr>
    </w:lvl>
    <w:lvl w:ilvl="5" w:tentative="0">
      <w:start w:val="0"/>
      <w:numFmt w:val="decimal"/>
      <w:lvlText w:val=""/>
      <w:lvlJc w:val="left"/>
      <w:rPr>
        <w:rFonts w:cs="MS Reference Specialty"/>
      </w:rPr>
    </w:lvl>
    <w:lvl w:ilvl="6" w:tentative="0">
      <w:start w:val="0"/>
      <w:numFmt w:val="decimal"/>
      <w:lvlText w:val=""/>
      <w:lvlJc w:val="left"/>
      <w:rPr>
        <w:rFonts w:cs="MS Reference Specialty"/>
      </w:rPr>
    </w:lvl>
    <w:lvl w:ilvl="7" w:tentative="0">
      <w:start w:val="0"/>
      <w:numFmt w:val="decimal"/>
      <w:lvlText w:val=""/>
      <w:lvlJc w:val="left"/>
      <w:rPr>
        <w:rFonts w:cs="MS Reference Specialty"/>
      </w:rPr>
    </w:lvl>
    <w:lvl w:ilvl="8" w:tentative="0">
      <w:start w:val="0"/>
      <w:numFmt w:val="decimal"/>
      <w:lvlText w:val=""/>
      <w:lvlJc w:val="left"/>
      <w:rPr>
        <w:rFonts w:cs="MS Reference Specialty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1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U5YmFmNGRhZmQ2NDE0YzA5MTE5Y2NjZjNlYzFhODIifQ=="/>
  </w:docVars>
  <w:rsids>
    <w:rsidRoot w:val="00716252"/>
    <w:rsid w:val="0002689B"/>
    <w:rsid w:val="0006002C"/>
    <w:rsid w:val="000E137A"/>
    <w:rsid w:val="00136BEB"/>
    <w:rsid w:val="001820DD"/>
    <w:rsid w:val="001C55EC"/>
    <w:rsid w:val="001D1332"/>
    <w:rsid w:val="001F0C12"/>
    <w:rsid w:val="00215149"/>
    <w:rsid w:val="0022370A"/>
    <w:rsid w:val="002912A6"/>
    <w:rsid w:val="002B56C4"/>
    <w:rsid w:val="002D5200"/>
    <w:rsid w:val="00300BD5"/>
    <w:rsid w:val="003330DE"/>
    <w:rsid w:val="00387524"/>
    <w:rsid w:val="00387890"/>
    <w:rsid w:val="003A2ACF"/>
    <w:rsid w:val="003A4538"/>
    <w:rsid w:val="003C5B6E"/>
    <w:rsid w:val="00417329"/>
    <w:rsid w:val="00421D72"/>
    <w:rsid w:val="0043478D"/>
    <w:rsid w:val="00484CCF"/>
    <w:rsid w:val="00495CBE"/>
    <w:rsid w:val="004D3F25"/>
    <w:rsid w:val="004E2126"/>
    <w:rsid w:val="00502327"/>
    <w:rsid w:val="00502E8A"/>
    <w:rsid w:val="00522EB4"/>
    <w:rsid w:val="00540DE6"/>
    <w:rsid w:val="00551FE5"/>
    <w:rsid w:val="00570F71"/>
    <w:rsid w:val="005831CB"/>
    <w:rsid w:val="0058562E"/>
    <w:rsid w:val="005A416D"/>
    <w:rsid w:val="00600A87"/>
    <w:rsid w:val="0068113E"/>
    <w:rsid w:val="00712002"/>
    <w:rsid w:val="00716252"/>
    <w:rsid w:val="00755CB2"/>
    <w:rsid w:val="007951A0"/>
    <w:rsid w:val="007A54AC"/>
    <w:rsid w:val="007B007A"/>
    <w:rsid w:val="007C2094"/>
    <w:rsid w:val="007C5FC4"/>
    <w:rsid w:val="007D20CF"/>
    <w:rsid w:val="008272D2"/>
    <w:rsid w:val="008321B8"/>
    <w:rsid w:val="00834F84"/>
    <w:rsid w:val="00871C5C"/>
    <w:rsid w:val="008749A0"/>
    <w:rsid w:val="00893ED0"/>
    <w:rsid w:val="00895B1B"/>
    <w:rsid w:val="008A065C"/>
    <w:rsid w:val="008A3C29"/>
    <w:rsid w:val="008B2B67"/>
    <w:rsid w:val="008B46F8"/>
    <w:rsid w:val="008E0C7E"/>
    <w:rsid w:val="008E4E62"/>
    <w:rsid w:val="00900150"/>
    <w:rsid w:val="009126D2"/>
    <w:rsid w:val="00915097"/>
    <w:rsid w:val="009215F1"/>
    <w:rsid w:val="00933CE0"/>
    <w:rsid w:val="009A38C0"/>
    <w:rsid w:val="009B0CBA"/>
    <w:rsid w:val="009E140B"/>
    <w:rsid w:val="009E3887"/>
    <w:rsid w:val="00A26D56"/>
    <w:rsid w:val="00A43BA0"/>
    <w:rsid w:val="00A727D5"/>
    <w:rsid w:val="00A86B09"/>
    <w:rsid w:val="00AA7CCD"/>
    <w:rsid w:val="00AB08E8"/>
    <w:rsid w:val="00B63007"/>
    <w:rsid w:val="00B72FA6"/>
    <w:rsid w:val="00B860F0"/>
    <w:rsid w:val="00B96857"/>
    <w:rsid w:val="00BB499E"/>
    <w:rsid w:val="00BB6674"/>
    <w:rsid w:val="00BD267A"/>
    <w:rsid w:val="00BD6B86"/>
    <w:rsid w:val="00C6107C"/>
    <w:rsid w:val="00C61D71"/>
    <w:rsid w:val="00CA0472"/>
    <w:rsid w:val="00CD32B9"/>
    <w:rsid w:val="00CE7D7D"/>
    <w:rsid w:val="00CF247E"/>
    <w:rsid w:val="00D03C42"/>
    <w:rsid w:val="00D37729"/>
    <w:rsid w:val="00D45526"/>
    <w:rsid w:val="00D73AE0"/>
    <w:rsid w:val="00D86462"/>
    <w:rsid w:val="00D95350"/>
    <w:rsid w:val="00DE4B54"/>
    <w:rsid w:val="00E4044E"/>
    <w:rsid w:val="00E578DC"/>
    <w:rsid w:val="00EC3137"/>
    <w:rsid w:val="00ED1C20"/>
    <w:rsid w:val="00EE4D67"/>
    <w:rsid w:val="00EF2779"/>
    <w:rsid w:val="00F02C5B"/>
    <w:rsid w:val="00F17DF6"/>
    <w:rsid w:val="00F51DCA"/>
    <w:rsid w:val="00F51EFA"/>
    <w:rsid w:val="00F53005"/>
    <w:rsid w:val="00F914C4"/>
    <w:rsid w:val="00FA03C2"/>
    <w:rsid w:val="00FA1EA8"/>
    <w:rsid w:val="00FE238C"/>
    <w:rsid w:val="00FE46A7"/>
    <w:rsid w:val="00FF07E5"/>
    <w:rsid w:val="026D7F56"/>
    <w:rsid w:val="03E2554B"/>
    <w:rsid w:val="04416D20"/>
    <w:rsid w:val="04A1368C"/>
    <w:rsid w:val="087B7D1C"/>
    <w:rsid w:val="09024A7A"/>
    <w:rsid w:val="0ADD1AD1"/>
    <w:rsid w:val="0C8060A8"/>
    <w:rsid w:val="142E48F8"/>
    <w:rsid w:val="17037DD1"/>
    <w:rsid w:val="1CFE3C35"/>
    <w:rsid w:val="1EBD096D"/>
    <w:rsid w:val="244B0C98"/>
    <w:rsid w:val="25C80FED"/>
    <w:rsid w:val="286D07E3"/>
    <w:rsid w:val="2B220690"/>
    <w:rsid w:val="2D07566E"/>
    <w:rsid w:val="2F826518"/>
    <w:rsid w:val="37562F58"/>
    <w:rsid w:val="383D3F43"/>
    <w:rsid w:val="39D001E5"/>
    <w:rsid w:val="39F4155A"/>
    <w:rsid w:val="3AF235BE"/>
    <w:rsid w:val="3D4E1AE1"/>
    <w:rsid w:val="3D675624"/>
    <w:rsid w:val="407C699B"/>
    <w:rsid w:val="42010CB6"/>
    <w:rsid w:val="42B369F1"/>
    <w:rsid w:val="454F3145"/>
    <w:rsid w:val="46082B9E"/>
    <w:rsid w:val="47977C2F"/>
    <w:rsid w:val="479A521B"/>
    <w:rsid w:val="483D057C"/>
    <w:rsid w:val="48E7743E"/>
    <w:rsid w:val="51C54B6D"/>
    <w:rsid w:val="56ED74A9"/>
    <w:rsid w:val="5F6E32FF"/>
    <w:rsid w:val="60D52EE9"/>
    <w:rsid w:val="6356205F"/>
    <w:rsid w:val="65FC4085"/>
    <w:rsid w:val="6BFF3422"/>
    <w:rsid w:val="6D9E6B57"/>
    <w:rsid w:val="75757044"/>
    <w:rsid w:val="78B01988"/>
    <w:rsid w:val="7DFBFD6E"/>
    <w:rsid w:val="7F464D2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8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9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30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unhideWhenUsed/>
    <w:qFormat/>
    <w:uiPriority w:val="9"/>
    <w:pPr>
      <w:keepNext/>
      <w:keepLines/>
      <w:numPr>
        <w:ilvl w:val="3"/>
        <w:numId w:val="1"/>
      </w:numPr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link w:val="31"/>
    <w:qFormat/>
    <w:uiPriority w:val="0"/>
    <w:pPr>
      <w:spacing w:line="360" w:lineRule="auto"/>
      <w:ind w:firstLine="420"/>
    </w:pPr>
    <w:rPr>
      <w:rFonts w:eastAsia="宋体"/>
      <w:sz w:val="24"/>
    </w:rPr>
  </w:style>
  <w:style w:type="paragraph" w:styleId="7">
    <w:name w:val="annotation text"/>
    <w:basedOn w:val="1"/>
    <w:semiHidden/>
    <w:unhideWhenUsed/>
    <w:qFormat/>
    <w:uiPriority w:val="99"/>
    <w:pPr>
      <w:jc w:val="left"/>
    </w:pPr>
  </w:style>
  <w:style w:type="paragraph" w:styleId="8">
    <w:name w:val="toc 3"/>
    <w:basedOn w:val="1"/>
    <w:next w:val="1"/>
    <w:qFormat/>
    <w:uiPriority w:val="39"/>
    <w:pPr>
      <w:ind w:left="840" w:leftChars="400"/>
    </w:pPr>
    <w:rPr>
      <w:rFonts w:ascii="Times New Roman" w:hAnsi="Times New Roman" w:eastAsia="宋体" w:cs="Times New Roman"/>
      <w:szCs w:val="20"/>
    </w:rPr>
  </w:style>
  <w:style w:type="paragraph" w:styleId="9">
    <w:name w:val="Plain Text"/>
    <w:basedOn w:val="1"/>
    <w:qFormat/>
    <w:uiPriority w:val="0"/>
    <w:rPr>
      <w:rFonts w:ascii="宋体" w:hAnsi="Courier New" w:eastAsia="宋体" w:cs="Times New Roman"/>
      <w:szCs w:val="20"/>
    </w:rPr>
  </w:style>
  <w:style w:type="paragraph" w:styleId="10">
    <w:name w:val="Balloon Text"/>
    <w:basedOn w:val="1"/>
    <w:link w:val="32"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3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1"/>
    <w:next w:val="1"/>
    <w:qFormat/>
    <w:uiPriority w:val="39"/>
    <w:rPr>
      <w:rFonts w:ascii="Times New Roman" w:hAnsi="Times New Roman" w:eastAsia="宋体" w:cs="Times New Roman"/>
      <w:szCs w:val="20"/>
    </w:rPr>
  </w:style>
  <w:style w:type="paragraph" w:styleId="14">
    <w:name w:val="Body Text Indent 3"/>
    <w:basedOn w:val="1"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15">
    <w:name w:val="toc 2"/>
    <w:basedOn w:val="1"/>
    <w:next w:val="1"/>
    <w:qFormat/>
    <w:uiPriority w:val="39"/>
    <w:pPr>
      <w:ind w:left="420" w:leftChars="200"/>
    </w:pPr>
    <w:rPr>
      <w:rFonts w:ascii="Times New Roman" w:hAnsi="Times New Roman" w:eastAsia="宋体" w:cs="Times New Roman"/>
      <w:szCs w:val="20"/>
    </w:rPr>
  </w:style>
  <w:style w:type="paragraph" w:styleId="16">
    <w:name w:val="Normal (Web)"/>
    <w:basedOn w:val="1"/>
    <w:unhideWhenUsed/>
    <w:qFormat/>
    <w:uiPriority w:val="99"/>
    <w:pPr>
      <w:spacing w:before="100" w:beforeAutospacing="1" w:after="100" w:afterAutospacing="1"/>
    </w:pPr>
  </w:style>
  <w:style w:type="table" w:styleId="18">
    <w:name w:val="Table Grid"/>
    <w:basedOn w:val="1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0">
    <w:name w:val="page number"/>
    <w:basedOn w:val="19"/>
    <w:qFormat/>
    <w:uiPriority w:val="0"/>
  </w:style>
  <w:style w:type="character" w:styleId="21">
    <w:name w:val="Hyperlink"/>
    <w:basedOn w:val="19"/>
    <w:qFormat/>
    <w:uiPriority w:val="99"/>
    <w:rPr>
      <w:color w:val="0000FF"/>
      <w:u w:val="single"/>
    </w:rPr>
  </w:style>
  <w:style w:type="paragraph" w:customStyle="1" w:styleId="22">
    <w:name w:val="1-正文-宋体"/>
    <w:basedOn w:val="1"/>
    <w:qFormat/>
    <w:uiPriority w:val="0"/>
    <w:pPr>
      <w:snapToGrid w:val="0"/>
      <w:spacing w:before="20" w:beforeLines="20" w:after="20" w:afterLines="20" w:line="240" w:lineRule="auto"/>
      <w:ind w:left="0" w:leftChars="0" w:firstLine="602" w:firstLineChars="200"/>
    </w:pPr>
    <w:rPr>
      <w:rFonts w:ascii="Calibri" w:hAnsi="Calibri" w:eastAsia="宋体"/>
      <w:szCs w:val="22"/>
    </w:rPr>
  </w:style>
  <w:style w:type="paragraph" w:customStyle="1" w:styleId="23">
    <w:name w:val="1-正文-首行缩进"/>
    <w:basedOn w:val="22"/>
    <w:qFormat/>
    <w:uiPriority w:val="0"/>
    <w:pPr>
      <w:ind w:firstLine="602" w:firstLineChars="200"/>
    </w:pPr>
    <w:rPr>
      <w:szCs w:val="24"/>
    </w:rPr>
  </w:style>
  <w:style w:type="paragraph" w:customStyle="1" w:styleId="24">
    <w:name w:val="1-正文-段落-左对齐"/>
    <w:basedOn w:val="1"/>
    <w:qFormat/>
    <w:uiPriority w:val="0"/>
    <w:pPr>
      <w:snapToGrid w:val="0"/>
      <w:ind w:firstLine="0" w:firstLineChars="0"/>
    </w:pPr>
    <w:rPr>
      <w:rFonts w:asciiTheme="minorAscii" w:hAnsiTheme="minorAscii"/>
    </w:rPr>
  </w:style>
  <w:style w:type="paragraph" w:customStyle="1" w:styleId="25">
    <w:name w:val="标题 5（有编号）（绿盟科技）"/>
    <w:basedOn w:val="1"/>
    <w:next w:val="26"/>
    <w:autoRedefine/>
    <w:qFormat/>
    <w:uiPriority w:val="0"/>
    <w:pPr>
      <w:keepNext/>
      <w:keepLines/>
      <w:numPr>
        <w:ilvl w:val="4"/>
        <w:numId w:val="2"/>
      </w:numPr>
      <w:spacing w:before="280" w:after="156" w:line="377" w:lineRule="auto"/>
      <w:outlineLvl w:val="4"/>
    </w:pPr>
    <w:rPr>
      <w:rFonts w:ascii="Arial" w:hAnsi="Arial" w:eastAsia="Arial"/>
      <w:b/>
      <w:sz w:val="24"/>
      <w:szCs w:val="28"/>
    </w:rPr>
  </w:style>
  <w:style w:type="paragraph" w:customStyle="1" w:styleId="26">
    <w:name w:val="正文（绿盟科技）"/>
    <w:basedOn w:val="1"/>
    <w:next w:val="1"/>
    <w:qFormat/>
    <w:uiPriority w:val="0"/>
    <w:pPr>
      <w:spacing w:line="300" w:lineRule="auto"/>
    </w:pPr>
    <w:rPr>
      <w:rFonts w:ascii="Arial" w:hAnsi="Arial" w:cs="Arial"/>
    </w:rPr>
  </w:style>
  <w:style w:type="paragraph" w:styleId="27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28">
    <w:name w:val="标题 1 字符"/>
    <w:basedOn w:val="19"/>
    <w:link w:val="2"/>
    <w:qFormat/>
    <w:uiPriority w:val="9"/>
    <w:rPr>
      <w:b/>
      <w:bCs/>
      <w:kern w:val="44"/>
      <w:sz w:val="44"/>
      <w:szCs w:val="44"/>
    </w:rPr>
  </w:style>
  <w:style w:type="character" w:customStyle="1" w:styleId="29">
    <w:name w:val="标题 2 字符"/>
    <w:basedOn w:val="19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30">
    <w:name w:val="标题 3 字符"/>
    <w:basedOn w:val="19"/>
    <w:link w:val="4"/>
    <w:semiHidden/>
    <w:qFormat/>
    <w:uiPriority w:val="9"/>
    <w:rPr>
      <w:b/>
      <w:bCs/>
      <w:sz w:val="32"/>
      <w:szCs w:val="32"/>
    </w:rPr>
  </w:style>
  <w:style w:type="character" w:customStyle="1" w:styleId="31">
    <w:name w:val="正文缩进 字符"/>
    <w:link w:val="6"/>
    <w:qFormat/>
    <w:uiPriority w:val="0"/>
    <w:rPr>
      <w:rFonts w:eastAsia="宋体"/>
      <w:sz w:val="24"/>
    </w:rPr>
  </w:style>
  <w:style w:type="character" w:customStyle="1" w:styleId="32">
    <w:name w:val="批注框文本 字符"/>
    <w:basedOn w:val="19"/>
    <w:link w:val="10"/>
    <w:semiHidden/>
    <w:qFormat/>
    <w:uiPriority w:val="99"/>
    <w:rPr>
      <w:sz w:val="18"/>
      <w:szCs w:val="18"/>
    </w:rPr>
  </w:style>
  <w:style w:type="character" w:customStyle="1" w:styleId="33">
    <w:name w:val="页眉 字符"/>
    <w:basedOn w:val="19"/>
    <w:link w:val="12"/>
    <w:qFormat/>
    <w:uiPriority w:val="99"/>
    <w:rPr>
      <w:sz w:val="18"/>
      <w:szCs w:val="18"/>
    </w:rPr>
  </w:style>
  <w:style w:type="character" w:customStyle="1" w:styleId="34">
    <w:name w:val="页脚 字符"/>
    <w:basedOn w:val="19"/>
    <w:link w:val="11"/>
    <w:qFormat/>
    <w:uiPriority w:val="99"/>
    <w:rPr>
      <w:sz w:val="18"/>
      <w:szCs w:val="18"/>
    </w:rPr>
  </w:style>
  <w:style w:type="paragraph" w:customStyle="1" w:styleId="35">
    <w:name w:val="_Style 18"/>
    <w:basedOn w:val="1"/>
    <w:next w:val="27"/>
    <w:qFormat/>
    <w:uiPriority w:val="0"/>
    <w:pPr>
      <w:ind w:firstLine="420" w:firstLineChars="200"/>
    </w:pPr>
    <w:rPr>
      <w:rFonts w:ascii="Calibri" w:hAnsi="Calibri"/>
    </w:rPr>
  </w:style>
  <w:style w:type="character" w:customStyle="1" w:styleId="36">
    <w:name w:val="fontstyle01"/>
    <w:qFormat/>
    <w:uiPriority w:val="0"/>
    <w:rPr>
      <w:rFonts w:hint="eastAsia" w:ascii="宋体" w:hAnsi="宋体" w:eastAsia="宋体"/>
      <w:color w:val="000000"/>
      <w:sz w:val="22"/>
      <w:szCs w:val="22"/>
    </w:rPr>
  </w:style>
  <w:style w:type="character" w:customStyle="1" w:styleId="37">
    <w:name w:val="font01"/>
    <w:basedOn w:val="19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38">
    <w:name w:val="font11"/>
    <w:basedOn w:val="19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H3C</Company>
  <Pages>3</Pages>
  <Words>2743</Words>
  <Characters>2856</Characters>
  <Lines>28</Lines>
  <Paragraphs>8</Paragraphs>
  <TotalTime>1</TotalTime>
  <ScaleCrop>false</ScaleCrop>
  <LinksUpToDate>false</LinksUpToDate>
  <CharactersWithSpaces>2860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2023-12-05T08:09:00Z</dcterms:created>
  <dc:creator>wonder</dc:creator>
  <cp:lastModifiedBy>李振</cp:lastModifiedBy>
  <cp:lastPrinted>2026-09-15T02:36:00Z</cp:lastPrinted>
  <dcterms:modified xsi:type="dcterms:W3CDTF">2026-10-12T06:31:09Z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A9AE61ED719B4E649E736FEAE8BCE865_13</vt:lpwstr>
  </property>
  <property fmtid="{D5CDD505-2E9C-101B-9397-08002B2CF9AE}" pid="4" name="KSOTemplateDocerSaveRecord">
    <vt:lpwstr>eyJoZGlkIjoiMzEwNTM5NzYwMDRjMzkwZTVkZjY2ODkwMGIxNGU0OTUiLCJ1c2VySWQiOiIxNTc4ODc2MDcwIn0=</vt:lpwstr>
  </property>
</Properties>
</file>