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47E718">
      <w:pPr>
        <w:widowControl/>
        <w:adjustRightInd/>
        <w:snapToGrid/>
        <w:ind w:firstLine="0" w:firstLineChars="0"/>
        <w:jc w:val="center"/>
        <w:outlineLvl w:val="0"/>
        <w:rPr>
          <w:rFonts w:ascii="宋体" w:hAnsi="宋体" w:eastAsia="宋体" w:cs="宋体"/>
          <w:highlight w:val="none"/>
        </w:rPr>
      </w:pPr>
      <w:r>
        <w:rPr>
          <w:rFonts w:hint="eastAsia" w:ascii="宋体" w:hAnsi="宋体" w:eastAsia="宋体" w:cs="宋体"/>
          <w:b/>
          <w:bCs/>
          <w:highlight w:val="none"/>
        </w:rPr>
        <w:t>采购内容及项目要求</w:t>
      </w:r>
    </w:p>
    <w:p w14:paraId="407965CD">
      <w:pPr>
        <w:pStyle w:val="3"/>
        <w:rPr>
          <w:rFonts w:ascii="宋体" w:hAnsi="宋体" w:eastAsia="宋体" w:cs="宋体"/>
          <w:highlight w:val="none"/>
        </w:rPr>
      </w:pPr>
      <w:bookmarkStart w:id="0" w:name="_Toc5248"/>
      <w:bookmarkStart w:id="1" w:name="_Toc19944"/>
      <w:bookmarkStart w:id="2" w:name="_Toc4053"/>
      <w:bookmarkStart w:id="3" w:name="_Toc24908"/>
      <w:bookmarkStart w:id="4" w:name="_Toc39658715"/>
      <w:bookmarkStart w:id="5" w:name="_Toc39658759"/>
      <w:r>
        <w:rPr>
          <w:rFonts w:hint="eastAsia" w:ascii="宋体" w:hAnsi="宋体" w:eastAsia="宋体" w:cs="宋体"/>
          <w:highlight w:val="none"/>
        </w:rPr>
        <w:t>一、项目概况</w:t>
      </w:r>
      <w:bookmarkEnd w:id="0"/>
      <w:bookmarkEnd w:id="1"/>
      <w:bookmarkEnd w:id="2"/>
      <w:bookmarkEnd w:id="3"/>
      <w:bookmarkEnd w:id="4"/>
      <w:bookmarkEnd w:id="5"/>
    </w:p>
    <w:p w14:paraId="0C433A79">
      <w:pPr>
        <w:pStyle w:val="10"/>
        <w:ind w:firstLine="480"/>
        <w:rPr>
          <w:rFonts w:ascii="宋体" w:hAnsi="宋体" w:eastAsia="宋体" w:cs="宋体"/>
          <w:b w:val="0"/>
          <w:highlight w:val="none"/>
        </w:rPr>
      </w:pPr>
      <w:bookmarkStart w:id="6" w:name="_Toc22683"/>
      <w:r>
        <w:rPr>
          <w:rFonts w:hint="eastAsia" w:ascii="宋体" w:hAnsi="宋体" w:eastAsia="宋体" w:cs="宋体"/>
          <w:b w:val="0"/>
          <w:highlight w:val="none"/>
        </w:rPr>
        <w:t>采购项目名称：山东大学（青岛）光机系统加工测试项目，本项目为1个包。本项目预算金额：190.30万元（人民币）。</w:t>
      </w:r>
    </w:p>
    <w:bookmarkEnd w:id="6"/>
    <w:p w14:paraId="0A26F500">
      <w:pPr>
        <w:pStyle w:val="3"/>
        <w:numPr>
          <w:ilvl w:val="0"/>
          <w:numId w:val="1"/>
        </w:numPr>
        <w:rPr>
          <w:rFonts w:ascii="宋体" w:hAnsi="宋体" w:eastAsia="宋体" w:cs="宋体"/>
          <w:highlight w:val="none"/>
        </w:rPr>
      </w:pPr>
      <w:bookmarkStart w:id="7" w:name="_Toc25106"/>
      <w:bookmarkStart w:id="8" w:name="_Toc15829"/>
      <w:bookmarkStart w:id="9" w:name="_Toc16001"/>
      <w:r>
        <w:rPr>
          <w:rFonts w:hint="eastAsia" w:ascii="宋体" w:hAnsi="宋体" w:eastAsia="宋体" w:cs="宋体"/>
          <w:highlight w:val="none"/>
        </w:rPr>
        <w:t>技术条款及商务条款响应要求</w:t>
      </w:r>
      <w:bookmarkEnd w:id="7"/>
      <w:bookmarkEnd w:id="8"/>
      <w:bookmarkEnd w:id="9"/>
    </w:p>
    <w:p w14:paraId="1391A797">
      <w:pPr>
        <w:ind w:firstLine="0" w:firstLineChars="0"/>
        <w:jc w:val="center"/>
        <w:rPr>
          <w:rFonts w:ascii="宋体" w:hAnsi="宋体" w:eastAsia="宋体" w:cs="宋体"/>
          <w:b/>
          <w:sz w:val="32"/>
          <w:szCs w:val="22"/>
          <w:highlight w:val="none"/>
        </w:rPr>
      </w:pPr>
      <w:r>
        <w:rPr>
          <w:rFonts w:hint="eastAsia" w:ascii="宋体" w:hAnsi="宋体" w:eastAsia="宋体" w:cs="宋体"/>
          <w:b/>
          <w:sz w:val="32"/>
          <w:szCs w:val="22"/>
          <w:highlight w:val="none"/>
        </w:rPr>
        <w:t>山东大学服务项目技术条款响应一览表</w:t>
      </w:r>
    </w:p>
    <w:tbl>
      <w:tblPr>
        <w:tblStyle w:val="7"/>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2"/>
        <w:gridCol w:w="1025"/>
        <w:gridCol w:w="5606"/>
        <w:gridCol w:w="1085"/>
      </w:tblGrid>
      <w:tr w14:paraId="7C00AE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475" w:type="pct"/>
            <w:tcBorders>
              <w:top w:val="single" w:color="auto" w:sz="4" w:space="0"/>
              <w:left w:val="single" w:color="auto" w:sz="4" w:space="0"/>
              <w:bottom w:val="single" w:color="auto" w:sz="4" w:space="0"/>
              <w:right w:val="single" w:color="auto" w:sz="4" w:space="0"/>
            </w:tcBorders>
            <w:vAlign w:val="center"/>
          </w:tcPr>
          <w:p w14:paraId="55D7143C">
            <w:pPr>
              <w:ind w:firstLine="0" w:firstLineChars="0"/>
              <w:jc w:val="center"/>
              <w:rPr>
                <w:rFonts w:ascii="宋体" w:hAnsi="宋体" w:eastAsia="宋体" w:cs="宋体"/>
                <w:highlight w:val="none"/>
              </w:rPr>
            </w:pPr>
            <w:r>
              <w:rPr>
                <w:rFonts w:hint="eastAsia" w:ascii="宋体" w:hAnsi="宋体" w:eastAsia="宋体" w:cs="宋体"/>
                <w:highlight w:val="none"/>
              </w:rPr>
              <w:t>序号</w:t>
            </w:r>
          </w:p>
        </w:tc>
        <w:tc>
          <w:tcPr>
            <w:tcW w:w="601" w:type="pct"/>
            <w:tcBorders>
              <w:top w:val="single" w:color="auto" w:sz="4" w:space="0"/>
              <w:left w:val="single" w:color="auto" w:sz="4" w:space="0"/>
              <w:bottom w:val="single" w:color="auto" w:sz="4" w:space="0"/>
              <w:right w:val="single" w:color="auto" w:sz="4" w:space="0"/>
            </w:tcBorders>
            <w:vAlign w:val="center"/>
          </w:tcPr>
          <w:p w14:paraId="37302D78">
            <w:pPr>
              <w:ind w:firstLine="0" w:firstLineChars="0"/>
              <w:jc w:val="center"/>
              <w:rPr>
                <w:rFonts w:ascii="宋体" w:hAnsi="宋体" w:eastAsia="宋体" w:cs="宋体"/>
                <w:highlight w:val="none"/>
              </w:rPr>
            </w:pPr>
            <w:r>
              <w:rPr>
                <w:rFonts w:hint="eastAsia" w:ascii="宋体" w:hAnsi="宋体" w:eastAsia="宋体" w:cs="宋体"/>
                <w:highlight w:val="none"/>
              </w:rPr>
              <w:t>名称</w:t>
            </w:r>
          </w:p>
        </w:tc>
        <w:tc>
          <w:tcPr>
            <w:tcW w:w="3286" w:type="pct"/>
            <w:tcBorders>
              <w:top w:val="single" w:color="auto" w:sz="4" w:space="0"/>
              <w:left w:val="single" w:color="auto" w:sz="4" w:space="0"/>
              <w:bottom w:val="single" w:color="auto" w:sz="4" w:space="0"/>
              <w:right w:val="single" w:color="auto" w:sz="4" w:space="0"/>
            </w:tcBorders>
            <w:vAlign w:val="center"/>
          </w:tcPr>
          <w:p w14:paraId="4E4D2F1B">
            <w:pPr>
              <w:ind w:firstLine="480"/>
              <w:jc w:val="center"/>
              <w:rPr>
                <w:rFonts w:ascii="宋体" w:hAnsi="宋体" w:eastAsia="宋体" w:cs="宋体"/>
                <w:highlight w:val="none"/>
              </w:rPr>
            </w:pPr>
            <w:r>
              <w:rPr>
                <w:rFonts w:hint="eastAsia" w:ascii="宋体" w:hAnsi="宋体" w:eastAsia="宋体" w:cs="宋体"/>
                <w:highlight w:val="none"/>
              </w:rPr>
              <w:t>技术规格指标</w:t>
            </w:r>
          </w:p>
        </w:tc>
        <w:tc>
          <w:tcPr>
            <w:tcW w:w="636" w:type="pct"/>
            <w:tcBorders>
              <w:top w:val="single" w:color="auto" w:sz="4" w:space="0"/>
              <w:left w:val="single" w:color="auto" w:sz="4" w:space="0"/>
              <w:bottom w:val="single" w:color="auto" w:sz="4" w:space="0"/>
              <w:right w:val="single" w:color="auto" w:sz="4" w:space="0"/>
            </w:tcBorders>
            <w:vAlign w:val="center"/>
          </w:tcPr>
          <w:p w14:paraId="021508D6">
            <w:pPr>
              <w:ind w:firstLine="0" w:firstLineChars="0"/>
              <w:jc w:val="center"/>
              <w:rPr>
                <w:rFonts w:ascii="宋体" w:hAnsi="宋体" w:eastAsia="宋体" w:cs="宋体"/>
                <w:highlight w:val="none"/>
              </w:rPr>
            </w:pPr>
            <w:r>
              <w:rPr>
                <w:rFonts w:hint="eastAsia" w:ascii="宋体" w:hAnsi="宋体" w:eastAsia="宋体" w:cs="宋体"/>
                <w:highlight w:val="none"/>
              </w:rPr>
              <w:t>数量</w:t>
            </w:r>
          </w:p>
        </w:tc>
      </w:tr>
      <w:tr w14:paraId="54F405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475" w:type="pct"/>
            <w:tcBorders>
              <w:top w:val="single" w:color="auto" w:sz="4" w:space="0"/>
              <w:left w:val="single" w:color="auto" w:sz="4" w:space="0"/>
              <w:bottom w:val="single" w:color="auto" w:sz="4" w:space="0"/>
              <w:right w:val="single" w:color="auto" w:sz="4" w:space="0"/>
            </w:tcBorders>
            <w:vAlign w:val="center"/>
          </w:tcPr>
          <w:p w14:paraId="4121AD98">
            <w:pPr>
              <w:ind w:firstLine="0" w:firstLineChars="0"/>
              <w:jc w:val="center"/>
              <w:rPr>
                <w:rFonts w:ascii="宋体" w:hAnsi="宋体" w:eastAsia="宋体" w:cs="宋体"/>
                <w:highlight w:val="none"/>
              </w:rPr>
            </w:pPr>
            <w:r>
              <w:rPr>
                <w:rFonts w:hint="eastAsia" w:ascii="宋体" w:hAnsi="宋体" w:eastAsia="宋体" w:cs="宋体"/>
                <w:highlight w:val="none"/>
              </w:rPr>
              <w:t>1</w:t>
            </w:r>
          </w:p>
        </w:tc>
        <w:tc>
          <w:tcPr>
            <w:tcW w:w="601" w:type="pct"/>
            <w:tcBorders>
              <w:top w:val="single" w:color="auto" w:sz="4" w:space="0"/>
              <w:left w:val="single" w:color="auto" w:sz="4" w:space="0"/>
              <w:bottom w:val="single" w:color="auto" w:sz="4" w:space="0"/>
              <w:right w:val="single" w:color="auto" w:sz="4" w:space="0"/>
            </w:tcBorders>
            <w:vAlign w:val="center"/>
          </w:tcPr>
          <w:p w14:paraId="440D89A5">
            <w:pPr>
              <w:ind w:firstLine="0" w:firstLineChars="0"/>
              <w:jc w:val="center"/>
              <w:rPr>
                <w:rFonts w:ascii="宋体" w:hAnsi="宋体" w:eastAsia="宋体" w:cs="宋体"/>
                <w:highlight w:val="none"/>
              </w:rPr>
            </w:pPr>
            <w:r>
              <w:rPr>
                <w:rFonts w:hint="eastAsia" w:ascii="宋体" w:hAnsi="宋体" w:eastAsia="宋体" w:cs="宋体"/>
                <w:highlight w:val="none"/>
              </w:rPr>
              <w:t>光学镜片加工</w:t>
            </w:r>
          </w:p>
        </w:tc>
        <w:tc>
          <w:tcPr>
            <w:tcW w:w="3286" w:type="pct"/>
            <w:tcBorders>
              <w:top w:val="single" w:color="auto" w:sz="4" w:space="0"/>
              <w:left w:val="single" w:color="auto" w:sz="4" w:space="0"/>
              <w:bottom w:val="single" w:color="auto" w:sz="4" w:space="0"/>
              <w:right w:val="single" w:color="auto" w:sz="4" w:space="0"/>
            </w:tcBorders>
            <w:vAlign w:val="center"/>
          </w:tcPr>
          <w:p w14:paraId="56664838">
            <w:pPr>
              <w:ind w:firstLine="480"/>
              <w:rPr>
                <w:rFonts w:ascii="宋体" w:hAnsi="宋体" w:eastAsia="宋体" w:cs="宋体"/>
                <w:highlight w:val="none"/>
              </w:rPr>
            </w:pPr>
            <w:r>
              <w:rPr>
                <w:rFonts w:hint="eastAsia" w:ascii="宋体" w:hAnsi="宋体" w:eastAsia="宋体" w:cs="宋体"/>
                <w:highlight w:val="none"/>
              </w:rPr>
              <w:t>（1）45°分束镜1光学参数</w:t>
            </w:r>
          </w:p>
          <w:p w14:paraId="2CED7EE9">
            <w:pPr>
              <w:ind w:firstLine="482"/>
              <w:rPr>
                <w:rFonts w:ascii="宋体" w:hAnsi="宋体" w:eastAsia="宋体" w:cs="宋体"/>
                <w:highlight w:val="none"/>
              </w:rPr>
            </w:pPr>
            <w:r>
              <w:rPr>
                <w:rFonts w:hint="eastAsia" w:ascii="宋体" w:hAnsi="宋体" w:eastAsia="宋体" w:cs="宋体"/>
                <w:b/>
                <w:bCs/>
                <w:highlight w:val="none"/>
              </w:rPr>
              <w:t>#</w:t>
            </w:r>
            <w:r>
              <w:rPr>
                <w:rFonts w:hint="eastAsia" w:ascii="宋体" w:hAnsi="宋体" w:eastAsia="宋体" w:cs="宋体"/>
                <w:highlight w:val="none"/>
              </w:rPr>
              <w:t>①通光口径：≥Φ500mm（45°放置，透射光束直径≥Φ350mm）；</w:t>
            </w:r>
          </w:p>
          <w:p w14:paraId="2E2A8012">
            <w:pPr>
              <w:ind w:firstLine="482"/>
              <w:rPr>
                <w:rFonts w:ascii="宋体" w:hAnsi="宋体" w:eastAsia="宋体" w:cs="宋体"/>
                <w:highlight w:val="none"/>
              </w:rPr>
            </w:pPr>
            <w:r>
              <w:rPr>
                <w:rFonts w:hint="eastAsia" w:ascii="宋体" w:hAnsi="宋体" w:eastAsia="宋体" w:cs="宋体"/>
                <w:b/>
                <w:bCs/>
                <w:highlight w:val="none"/>
              </w:rPr>
              <w:t>普通项1</w:t>
            </w:r>
            <w:r>
              <w:rPr>
                <w:rFonts w:hint="eastAsia" w:ascii="宋体" w:hAnsi="宋体" w:eastAsia="宋体" w:cs="宋体"/>
                <w:b/>
                <w:bCs/>
                <w:highlight w:val="none"/>
              </w:rPr>
              <w:t>：</w:t>
            </w:r>
            <w:r>
              <w:rPr>
                <w:rFonts w:hint="eastAsia" w:ascii="宋体" w:hAnsi="宋体" w:eastAsia="宋体" w:cs="宋体"/>
                <w:highlight w:val="none"/>
              </w:rPr>
              <w:t>②厚度：≥20mm；</w:t>
            </w:r>
          </w:p>
          <w:p w14:paraId="2F7FFAB2">
            <w:pPr>
              <w:ind w:firstLine="482"/>
              <w:rPr>
                <w:rFonts w:ascii="宋体" w:hAnsi="宋体" w:eastAsia="宋体" w:cs="宋体"/>
                <w:highlight w:val="none"/>
              </w:rPr>
            </w:pPr>
            <w:r>
              <w:rPr>
                <w:rFonts w:hint="eastAsia" w:ascii="宋体" w:hAnsi="宋体" w:eastAsia="宋体" w:cs="宋体"/>
                <w:b/>
                <w:bCs/>
                <w:highlight w:val="none"/>
              </w:rPr>
              <w:t>普通项2：</w:t>
            </w:r>
            <w:r>
              <w:rPr>
                <w:rFonts w:hint="eastAsia" w:ascii="宋体" w:hAnsi="宋体" w:eastAsia="宋体" w:cs="宋体"/>
                <w:highlight w:val="none"/>
              </w:rPr>
              <w:t>③透镜材质：低羟基熔石英材料（ZTQS-01B）。</w:t>
            </w:r>
          </w:p>
          <w:p w14:paraId="5BC1556E">
            <w:pPr>
              <w:ind w:firstLine="480"/>
              <w:rPr>
                <w:rFonts w:ascii="宋体" w:hAnsi="宋体" w:eastAsia="宋体" w:cs="宋体"/>
                <w:highlight w:val="none"/>
              </w:rPr>
            </w:pPr>
            <w:r>
              <w:rPr>
                <w:rFonts w:hint="eastAsia" w:ascii="宋体" w:hAnsi="宋体" w:eastAsia="宋体" w:cs="宋体"/>
                <w:highlight w:val="none"/>
              </w:rPr>
              <w:t>（2）45°分束镜2光学参数</w:t>
            </w:r>
          </w:p>
          <w:p w14:paraId="22F743D7">
            <w:pPr>
              <w:ind w:firstLine="482"/>
              <w:rPr>
                <w:rFonts w:ascii="宋体" w:hAnsi="宋体" w:eastAsia="宋体" w:cs="宋体"/>
                <w:highlight w:val="none"/>
              </w:rPr>
            </w:pPr>
            <w:r>
              <w:rPr>
                <w:rFonts w:hint="eastAsia" w:ascii="宋体" w:hAnsi="宋体" w:eastAsia="宋体" w:cs="宋体"/>
                <w:b/>
                <w:bCs/>
                <w:highlight w:val="none"/>
              </w:rPr>
              <w:t>#</w:t>
            </w:r>
            <w:r>
              <w:rPr>
                <w:rFonts w:hint="eastAsia" w:ascii="宋体" w:hAnsi="宋体" w:eastAsia="宋体" w:cs="宋体"/>
                <w:highlight w:val="none"/>
              </w:rPr>
              <w:t>①通光口径：≥Φ467mm（45°放置，透射光束直径≥Φ330mm）；</w:t>
            </w:r>
          </w:p>
          <w:p w14:paraId="02F251A5">
            <w:pPr>
              <w:ind w:firstLine="482"/>
              <w:rPr>
                <w:rFonts w:ascii="宋体" w:hAnsi="宋体" w:eastAsia="宋体" w:cs="宋体"/>
                <w:highlight w:val="none"/>
              </w:rPr>
            </w:pPr>
            <w:r>
              <w:rPr>
                <w:rFonts w:hint="eastAsia" w:ascii="宋体" w:hAnsi="宋体" w:eastAsia="宋体" w:cs="宋体"/>
                <w:b/>
                <w:bCs/>
                <w:highlight w:val="none"/>
              </w:rPr>
              <w:t>普通项3：</w:t>
            </w:r>
            <w:r>
              <w:rPr>
                <w:rFonts w:hint="eastAsia" w:ascii="宋体" w:hAnsi="宋体" w:eastAsia="宋体" w:cs="宋体"/>
                <w:highlight w:val="none"/>
              </w:rPr>
              <w:t>②厚度：≥30mm；</w:t>
            </w:r>
          </w:p>
          <w:p w14:paraId="2532E5CF">
            <w:pPr>
              <w:ind w:firstLine="482"/>
              <w:rPr>
                <w:rFonts w:ascii="宋体" w:hAnsi="宋体" w:eastAsia="宋体" w:cs="宋体"/>
                <w:highlight w:val="none"/>
              </w:rPr>
            </w:pPr>
            <w:r>
              <w:rPr>
                <w:rFonts w:hint="eastAsia" w:ascii="宋体" w:hAnsi="宋体" w:eastAsia="宋体" w:cs="宋体"/>
                <w:b/>
                <w:bCs/>
                <w:highlight w:val="none"/>
              </w:rPr>
              <w:t>普通项4：</w:t>
            </w:r>
            <w:r>
              <w:rPr>
                <w:rFonts w:hint="eastAsia" w:ascii="宋体" w:hAnsi="宋体" w:eastAsia="宋体" w:cs="宋体"/>
                <w:highlight w:val="none"/>
              </w:rPr>
              <w:t>③透镜材质：低羟基熔石英材料（ZTQS-01B）。</w:t>
            </w:r>
          </w:p>
          <w:p w14:paraId="2CA6F8E4">
            <w:pPr>
              <w:ind w:firstLine="480"/>
              <w:rPr>
                <w:rFonts w:ascii="宋体" w:hAnsi="宋体" w:eastAsia="宋体" w:cs="宋体"/>
                <w:highlight w:val="none"/>
              </w:rPr>
            </w:pPr>
            <w:r>
              <w:rPr>
                <w:rFonts w:hint="eastAsia" w:ascii="宋体" w:hAnsi="宋体" w:eastAsia="宋体" w:cs="宋体"/>
                <w:highlight w:val="none"/>
              </w:rPr>
              <w:t>（3）标准反射镜光学参数</w:t>
            </w:r>
          </w:p>
          <w:p w14:paraId="1CA70046">
            <w:pPr>
              <w:ind w:firstLine="482"/>
              <w:rPr>
                <w:rFonts w:ascii="宋体" w:hAnsi="宋体" w:eastAsia="宋体" w:cs="宋体"/>
                <w:highlight w:val="none"/>
              </w:rPr>
            </w:pPr>
            <w:r>
              <w:rPr>
                <w:rFonts w:hint="eastAsia" w:ascii="宋体" w:hAnsi="宋体" w:eastAsia="宋体" w:cs="宋体"/>
                <w:b/>
                <w:bCs/>
                <w:highlight w:val="none"/>
              </w:rPr>
              <w:t>#</w:t>
            </w:r>
            <w:r>
              <w:rPr>
                <w:rFonts w:hint="eastAsia" w:ascii="宋体" w:hAnsi="宋体" w:eastAsia="宋体" w:cs="宋体"/>
                <w:highlight w:val="none"/>
              </w:rPr>
              <w:t>①通光孔径：≥Φ330mm;</w:t>
            </w:r>
          </w:p>
          <w:p w14:paraId="4DC22ECF">
            <w:pPr>
              <w:ind w:firstLine="482"/>
              <w:rPr>
                <w:rFonts w:ascii="宋体" w:hAnsi="宋体" w:eastAsia="宋体" w:cs="宋体"/>
                <w:highlight w:val="none"/>
              </w:rPr>
            </w:pPr>
            <w:r>
              <w:rPr>
                <w:rFonts w:hint="eastAsia" w:ascii="宋体" w:hAnsi="宋体" w:eastAsia="宋体" w:cs="宋体"/>
                <w:b/>
                <w:bCs/>
                <w:highlight w:val="none"/>
              </w:rPr>
              <w:t>普通项5：</w:t>
            </w:r>
            <w:r>
              <w:rPr>
                <w:rFonts w:hint="eastAsia" w:ascii="宋体" w:hAnsi="宋体" w:eastAsia="宋体" w:cs="宋体"/>
                <w:highlight w:val="none"/>
              </w:rPr>
              <w:t>②厚度：≥22mm；</w:t>
            </w:r>
          </w:p>
          <w:p w14:paraId="36CCA618">
            <w:pPr>
              <w:ind w:firstLine="482"/>
              <w:rPr>
                <w:rFonts w:ascii="宋体" w:hAnsi="宋体" w:eastAsia="宋体" w:cs="宋体"/>
                <w:highlight w:val="none"/>
              </w:rPr>
            </w:pPr>
            <w:r>
              <w:rPr>
                <w:rFonts w:hint="eastAsia" w:ascii="宋体" w:hAnsi="宋体" w:eastAsia="宋体" w:cs="宋体"/>
                <w:b/>
                <w:bCs/>
                <w:highlight w:val="none"/>
              </w:rPr>
              <w:t>普通项6：</w:t>
            </w:r>
            <w:r>
              <w:rPr>
                <w:rFonts w:hint="eastAsia" w:ascii="宋体" w:hAnsi="宋体" w:eastAsia="宋体" w:cs="宋体"/>
                <w:highlight w:val="none"/>
              </w:rPr>
              <w:t>③材料：微晶玻璃。</w:t>
            </w:r>
          </w:p>
        </w:tc>
        <w:tc>
          <w:tcPr>
            <w:tcW w:w="636" w:type="pct"/>
            <w:tcBorders>
              <w:top w:val="single" w:color="auto" w:sz="4" w:space="0"/>
              <w:left w:val="single" w:color="auto" w:sz="4" w:space="0"/>
              <w:bottom w:val="single" w:color="auto" w:sz="4" w:space="0"/>
              <w:right w:val="single" w:color="auto" w:sz="4" w:space="0"/>
            </w:tcBorders>
            <w:vAlign w:val="center"/>
          </w:tcPr>
          <w:p w14:paraId="640CAA74">
            <w:pPr>
              <w:ind w:firstLine="0" w:firstLineChars="0"/>
              <w:jc w:val="both"/>
              <w:rPr>
                <w:rFonts w:ascii="宋体" w:hAnsi="宋体" w:eastAsia="宋体" w:cs="宋体"/>
                <w:highlight w:val="none"/>
              </w:rPr>
            </w:pPr>
            <w:r>
              <w:rPr>
                <w:rFonts w:hint="eastAsia" w:ascii="宋体" w:hAnsi="宋体" w:eastAsia="宋体" w:cs="宋体"/>
                <w:highlight w:val="none"/>
              </w:rPr>
              <w:t>4批（共7片）</w:t>
            </w:r>
          </w:p>
        </w:tc>
      </w:tr>
      <w:tr w14:paraId="09156B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475" w:type="pct"/>
            <w:tcBorders>
              <w:top w:val="single" w:color="auto" w:sz="4" w:space="0"/>
              <w:left w:val="single" w:color="auto" w:sz="4" w:space="0"/>
              <w:bottom w:val="single" w:color="auto" w:sz="4" w:space="0"/>
              <w:right w:val="single" w:color="auto" w:sz="4" w:space="0"/>
            </w:tcBorders>
            <w:vAlign w:val="center"/>
          </w:tcPr>
          <w:p w14:paraId="308E4A68">
            <w:pPr>
              <w:ind w:firstLine="0" w:firstLineChars="0"/>
              <w:jc w:val="center"/>
              <w:rPr>
                <w:rFonts w:ascii="宋体" w:hAnsi="宋体" w:eastAsia="宋体" w:cs="宋体"/>
                <w:highlight w:val="none"/>
              </w:rPr>
            </w:pPr>
            <w:r>
              <w:rPr>
                <w:rFonts w:hint="eastAsia" w:ascii="宋体" w:hAnsi="宋体" w:eastAsia="宋体" w:cs="宋体"/>
                <w:highlight w:val="none"/>
              </w:rPr>
              <w:t>2</w:t>
            </w:r>
          </w:p>
        </w:tc>
        <w:tc>
          <w:tcPr>
            <w:tcW w:w="601" w:type="pct"/>
            <w:tcBorders>
              <w:top w:val="single" w:color="auto" w:sz="4" w:space="0"/>
              <w:left w:val="single" w:color="auto" w:sz="4" w:space="0"/>
              <w:bottom w:val="single" w:color="auto" w:sz="4" w:space="0"/>
              <w:right w:val="single" w:color="auto" w:sz="4" w:space="0"/>
            </w:tcBorders>
            <w:vAlign w:val="center"/>
          </w:tcPr>
          <w:p w14:paraId="5DC94A93">
            <w:pPr>
              <w:ind w:firstLine="0" w:firstLineChars="0"/>
              <w:jc w:val="center"/>
              <w:rPr>
                <w:rFonts w:ascii="宋体" w:hAnsi="宋体" w:eastAsia="宋体" w:cs="宋体"/>
                <w:highlight w:val="none"/>
              </w:rPr>
            </w:pPr>
            <w:r>
              <w:rPr>
                <w:rFonts w:hint="eastAsia" w:ascii="宋体" w:hAnsi="宋体" w:eastAsia="宋体" w:cs="宋体"/>
                <w:highlight w:val="none"/>
              </w:rPr>
              <w:t>镜片镀膜</w:t>
            </w:r>
          </w:p>
        </w:tc>
        <w:tc>
          <w:tcPr>
            <w:tcW w:w="3286" w:type="pct"/>
            <w:tcBorders>
              <w:top w:val="single" w:color="auto" w:sz="4" w:space="0"/>
              <w:left w:val="single" w:color="auto" w:sz="4" w:space="0"/>
              <w:bottom w:val="single" w:color="auto" w:sz="4" w:space="0"/>
              <w:right w:val="single" w:color="auto" w:sz="4" w:space="0"/>
            </w:tcBorders>
            <w:vAlign w:val="center"/>
          </w:tcPr>
          <w:p w14:paraId="0E3EDE98">
            <w:pPr>
              <w:ind w:firstLine="480"/>
              <w:rPr>
                <w:rFonts w:ascii="宋体" w:hAnsi="宋体" w:eastAsia="宋体" w:cs="宋体"/>
                <w:highlight w:val="none"/>
              </w:rPr>
            </w:pPr>
            <w:r>
              <w:rPr>
                <w:rFonts w:hint="eastAsia" w:ascii="宋体" w:hAnsi="宋体" w:eastAsia="宋体" w:cs="宋体"/>
                <w:highlight w:val="none"/>
              </w:rPr>
              <w:t>（1）45°分束镜1镀膜、45°分束镜2镀膜要求：</w:t>
            </w:r>
          </w:p>
          <w:p w14:paraId="1CEE23FE">
            <w:pPr>
              <w:ind w:firstLine="480"/>
              <w:rPr>
                <w:rFonts w:ascii="宋体" w:hAnsi="宋体" w:eastAsia="宋体" w:cs="宋体"/>
                <w:highlight w:val="none"/>
              </w:rPr>
            </w:pPr>
            <w:r>
              <w:rPr>
                <w:rFonts w:hint="eastAsia" w:ascii="宋体" w:hAnsi="宋体" w:eastAsia="宋体" w:cs="宋体"/>
                <w:highlight w:val="none"/>
              </w:rPr>
              <w:t>★①单侧表面镀二向色膜，入射角45°±5°</w:t>
            </w:r>
          </w:p>
          <w:p w14:paraId="76E798A4">
            <w:pPr>
              <w:ind w:firstLine="480"/>
              <w:rPr>
                <w:rFonts w:ascii="宋体" w:hAnsi="宋体" w:eastAsia="宋体" w:cs="宋体"/>
                <w:highlight w:val="none"/>
              </w:rPr>
            </w:pPr>
            <w:r>
              <w:rPr>
                <w:rFonts w:hint="eastAsia" w:ascii="宋体" w:hAnsi="宋体" w:eastAsia="宋体" w:cs="宋体"/>
                <w:highlight w:val="none"/>
              </w:rPr>
              <w:t>R≥95%@633nm，T≥95%@1040nm~1080nm，T≥95%@1030nm &amp; 1018nm&amp;885nm &amp; 808nm；</w:t>
            </w:r>
          </w:p>
          <w:p w14:paraId="4C32B813">
            <w:pPr>
              <w:ind w:firstLine="482"/>
              <w:rPr>
                <w:rFonts w:ascii="宋体" w:hAnsi="宋体" w:eastAsia="宋体" w:cs="宋体"/>
                <w:highlight w:val="none"/>
              </w:rPr>
            </w:pPr>
            <w:r>
              <w:rPr>
                <w:rFonts w:hint="eastAsia" w:ascii="宋体" w:hAnsi="宋体" w:eastAsia="宋体" w:cs="宋体"/>
                <w:b/>
                <w:bCs/>
                <w:highlight w:val="none"/>
              </w:rPr>
              <w:t>#</w:t>
            </w:r>
            <w:r>
              <w:rPr>
                <w:rFonts w:hint="eastAsia" w:ascii="宋体" w:hAnsi="宋体" w:eastAsia="宋体" w:cs="宋体"/>
                <w:highlight w:val="none"/>
              </w:rPr>
              <w:t>②单块玻璃膜层耐强光功率密度10kw/cm</w:t>
            </w:r>
            <w:r>
              <w:rPr>
                <w:rFonts w:hint="eastAsia" w:ascii="宋体" w:hAnsi="宋体" w:eastAsia="宋体" w:cs="宋体"/>
                <w:highlight w:val="none"/>
                <w:vertAlign w:val="superscript"/>
              </w:rPr>
              <w:t>2</w:t>
            </w:r>
            <w:r>
              <w:rPr>
                <w:rFonts w:hint="eastAsia" w:ascii="宋体" w:hAnsi="宋体" w:eastAsia="宋体" w:cs="宋体"/>
                <w:highlight w:val="none"/>
              </w:rPr>
              <w:t>@1064nm连续光；激光连续辐照100s，温升≤10℃；透射波前像差：≤λ/4（PV，@λ=633nm）。</w:t>
            </w:r>
          </w:p>
          <w:p w14:paraId="65D2C09B">
            <w:pPr>
              <w:ind w:firstLine="480"/>
              <w:rPr>
                <w:rFonts w:ascii="宋体" w:hAnsi="宋体" w:eastAsia="宋体" w:cs="宋体"/>
                <w:highlight w:val="none"/>
              </w:rPr>
            </w:pPr>
            <w:r>
              <w:rPr>
                <w:rFonts w:hint="eastAsia" w:ascii="宋体" w:hAnsi="宋体" w:eastAsia="宋体" w:cs="宋体"/>
                <w:highlight w:val="none"/>
              </w:rPr>
              <w:t>（2）标准反射镜镀膜要求：</w:t>
            </w:r>
          </w:p>
          <w:p w14:paraId="6133ECDF">
            <w:pPr>
              <w:ind w:firstLine="480"/>
              <w:rPr>
                <w:rFonts w:ascii="宋体" w:hAnsi="宋体" w:eastAsia="宋体" w:cs="宋体"/>
                <w:highlight w:val="none"/>
              </w:rPr>
            </w:pPr>
            <w:r>
              <w:rPr>
                <w:rFonts w:hint="eastAsia" w:ascii="宋体" w:hAnsi="宋体" w:eastAsia="宋体" w:cs="宋体"/>
                <w:highlight w:val="none"/>
              </w:rPr>
              <w:t>★①R≥98%@633nm，金属膜+保护膜；</w:t>
            </w:r>
          </w:p>
          <w:p w14:paraId="1844ACA2">
            <w:pPr>
              <w:ind w:firstLine="482"/>
              <w:rPr>
                <w:rFonts w:ascii="宋体" w:hAnsi="宋体" w:eastAsia="宋体" w:cs="宋体"/>
                <w:highlight w:val="none"/>
              </w:rPr>
            </w:pPr>
            <w:r>
              <w:rPr>
                <w:rFonts w:hint="eastAsia" w:ascii="宋体" w:hAnsi="宋体" w:eastAsia="宋体" w:cs="宋体"/>
                <w:b/>
                <w:bCs/>
                <w:highlight w:val="none"/>
              </w:rPr>
              <w:t>#</w:t>
            </w:r>
            <w:r>
              <w:rPr>
                <w:rFonts w:hint="eastAsia" w:ascii="宋体" w:hAnsi="宋体" w:eastAsia="宋体" w:cs="宋体"/>
                <w:highlight w:val="none"/>
              </w:rPr>
              <w:t>②面形精度：≤λ/10（PV，@λ=633nm)。</w:t>
            </w:r>
          </w:p>
        </w:tc>
        <w:tc>
          <w:tcPr>
            <w:tcW w:w="636" w:type="pct"/>
            <w:tcBorders>
              <w:top w:val="single" w:color="auto" w:sz="4" w:space="0"/>
              <w:left w:val="single" w:color="auto" w:sz="4" w:space="0"/>
              <w:bottom w:val="single" w:color="auto" w:sz="4" w:space="0"/>
              <w:right w:val="single" w:color="auto" w:sz="4" w:space="0"/>
            </w:tcBorders>
            <w:vAlign w:val="center"/>
          </w:tcPr>
          <w:p w14:paraId="1D9F7342">
            <w:pPr>
              <w:ind w:firstLine="480"/>
              <w:jc w:val="center"/>
              <w:rPr>
                <w:rFonts w:ascii="宋体" w:hAnsi="宋体" w:eastAsia="宋体" w:cs="宋体"/>
                <w:highlight w:val="none"/>
              </w:rPr>
            </w:pPr>
            <w:r>
              <w:rPr>
                <w:rFonts w:hint="eastAsia" w:ascii="宋体" w:hAnsi="宋体" w:eastAsia="宋体" w:cs="宋体"/>
                <w:highlight w:val="none"/>
              </w:rPr>
              <w:t>4批（共7片）</w:t>
            </w:r>
          </w:p>
        </w:tc>
      </w:tr>
      <w:tr w14:paraId="47D437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475" w:type="pct"/>
            <w:tcBorders>
              <w:top w:val="single" w:color="auto" w:sz="4" w:space="0"/>
              <w:left w:val="single" w:color="auto" w:sz="4" w:space="0"/>
              <w:bottom w:val="single" w:color="auto" w:sz="4" w:space="0"/>
              <w:right w:val="single" w:color="auto" w:sz="4" w:space="0"/>
            </w:tcBorders>
            <w:vAlign w:val="center"/>
          </w:tcPr>
          <w:p w14:paraId="15C98350">
            <w:pPr>
              <w:ind w:firstLine="0" w:firstLineChars="0"/>
              <w:jc w:val="center"/>
              <w:rPr>
                <w:rFonts w:ascii="宋体" w:hAnsi="宋体" w:eastAsia="宋体" w:cs="宋体"/>
                <w:highlight w:val="none"/>
              </w:rPr>
            </w:pPr>
            <w:r>
              <w:rPr>
                <w:rFonts w:hint="eastAsia" w:ascii="宋体" w:hAnsi="宋体" w:eastAsia="宋体" w:cs="宋体"/>
                <w:highlight w:val="none"/>
              </w:rPr>
              <w:t>3</w:t>
            </w:r>
          </w:p>
        </w:tc>
        <w:tc>
          <w:tcPr>
            <w:tcW w:w="601" w:type="pct"/>
            <w:tcBorders>
              <w:top w:val="single" w:color="auto" w:sz="4" w:space="0"/>
              <w:left w:val="single" w:color="auto" w:sz="4" w:space="0"/>
              <w:bottom w:val="single" w:color="auto" w:sz="4" w:space="0"/>
              <w:right w:val="single" w:color="auto" w:sz="4" w:space="0"/>
            </w:tcBorders>
            <w:vAlign w:val="center"/>
          </w:tcPr>
          <w:p w14:paraId="6EBF52ED">
            <w:pPr>
              <w:ind w:firstLine="0" w:firstLineChars="0"/>
              <w:jc w:val="center"/>
              <w:rPr>
                <w:rFonts w:ascii="宋体" w:hAnsi="宋体" w:eastAsia="宋体" w:cs="宋体"/>
                <w:highlight w:val="none"/>
              </w:rPr>
            </w:pPr>
            <w:r>
              <w:rPr>
                <w:rFonts w:hint="eastAsia" w:ascii="宋体" w:hAnsi="宋体" w:eastAsia="宋体" w:cs="宋体"/>
                <w:highlight w:val="none"/>
              </w:rPr>
              <w:t>机械结构加工</w:t>
            </w:r>
          </w:p>
        </w:tc>
        <w:tc>
          <w:tcPr>
            <w:tcW w:w="3286" w:type="pct"/>
            <w:tcBorders>
              <w:top w:val="single" w:color="auto" w:sz="4" w:space="0"/>
              <w:left w:val="single" w:color="auto" w:sz="4" w:space="0"/>
              <w:bottom w:val="single" w:color="auto" w:sz="4" w:space="0"/>
              <w:right w:val="single" w:color="auto" w:sz="4" w:space="0"/>
            </w:tcBorders>
            <w:vAlign w:val="center"/>
          </w:tcPr>
          <w:p w14:paraId="3CDD3726">
            <w:pPr>
              <w:ind w:firstLine="480"/>
              <w:jc w:val="both"/>
              <w:rPr>
                <w:rFonts w:ascii="宋体" w:hAnsi="宋体" w:eastAsia="宋体" w:cs="宋体"/>
                <w:highlight w:val="none"/>
              </w:rPr>
            </w:pPr>
            <w:r>
              <w:rPr>
                <w:rFonts w:hint="eastAsia" w:ascii="宋体" w:hAnsi="宋体" w:eastAsia="宋体" w:cs="宋体"/>
                <w:highlight w:val="none"/>
              </w:rPr>
              <w:t>（1）整机1指标如下：</w:t>
            </w:r>
          </w:p>
          <w:p w14:paraId="0D9979C2">
            <w:pPr>
              <w:ind w:firstLine="482"/>
              <w:jc w:val="both"/>
              <w:rPr>
                <w:rFonts w:ascii="宋体" w:hAnsi="宋体" w:eastAsia="宋体" w:cs="宋体"/>
                <w:highlight w:val="none"/>
              </w:rPr>
            </w:pPr>
            <w:r>
              <w:rPr>
                <w:rFonts w:hint="eastAsia" w:ascii="宋体" w:hAnsi="宋体" w:eastAsia="宋体" w:cs="宋体"/>
                <w:b/>
                <w:bCs/>
                <w:highlight w:val="none"/>
              </w:rPr>
              <w:t>普通项7：</w:t>
            </w:r>
            <w:r>
              <w:rPr>
                <w:rFonts w:hint="eastAsia" w:ascii="宋体" w:hAnsi="宋体" w:eastAsia="宋体" w:cs="宋体"/>
                <w:highlight w:val="none"/>
              </w:rPr>
              <w:t>①中心光高：1500mm±10mm；</w:t>
            </w:r>
          </w:p>
          <w:p w14:paraId="53E0CFDB">
            <w:pPr>
              <w:ind w:firstLine="482"/>
              <w:jc w:val="both"/>
              <w:rPr>
                <w:rFonts w:ascii="宋体" w:hAnsi="宋体" w:eastAsia="宋体" w:cs="宋体"/>
                <w:highlight w:val="none"/>
              </w:rPr>
            </w:pPr>
            <w:r>
              <w:rPr>
                <w:rFonts w:hint="eastAsia" w:ascii="宋体" w:hAnsi="宋体" w:eastAsia="宋体" w:cs="宋体"/>
                <w:b/>
                <w:bCs/>
                <w:highlight w:val="none"/>
              </w:rPr>
              <w:t>普通项8：</w:t>
            </w:r>
            <w:r>
              <w:rPr>
                <w:rFonts w:hint="eastAsia" w:ascii="宋体" w:hAnsi="宋体" w:eastAsia="宋体" w:cs="宋体"/>
                <w:highlight w:val="none"/>
              </w:rPr>
              <w:t>②具备隔振调平功能；</w:t>
            </w:r>
          </w:p>
          <w:p w14:paraId="7292F03A">
            <w:pPr>
              <w:ind w:firstLine="482"/>
              <w:jc w:val="both"/>
              <w:rPr>
                <w:rFonts w:ascii="宋体" w:hAnsi="宋体" w:eastAsia="宋体" w:cs="宋体"/>
                <w:highlight w:val="none"/>
              </w:rPr>
            </w:pPr>
            <w:r>
              <w:rPr>
                <w:rFonts w:hint="eastAsia" w:ascii="宋体" w:hAnsi="宋体" w:eastAsia="宋体" w:cs="宋体"/>
                <w:b/>
                <w:bCs/>
                <w:highlight w:val="none"/>
              </w:rPr>
              <w:t>普通项9：</w:t>
            </w:r>
            <w:r>
              <w:rPr>
                <w:rFonts w:hint="eastAsia" w:ascii="宋体" w:hAnsi="宋体" w:eastAsia="宋体" w:cs="宋体"/>
                <w:highlight w:val="none"/>
              </w:rPr>
              <w:t>③组件底脚需具备平滑移动、稳定固定功能；</w:t>
            </w:r>
          </w:p>
          <w:p w14:paraId="0A16E1F3">
            <w:pPr>
              <w:ind w:firstLine="482"/>
              <w:jc w:val="both"/>
              <w:rPr>
                <w:rFonts w:ascii="宋体" w:hAnsi="宋体" w:eastAsia="宋体" w:cs="宋体"/>
                <w:highlight w:val="none"/>
              </w:rPr>
            </w:pPr>
            <w:r>
              <w:rPr>
                <w:rFonts w:hint="eastAsia" w:ascii="宋体" w:hAnsi="宋体" w:eastAsia="宋体" w:cs="宋体"/>
                <w:b/>
                <w:bCs/>
                <w:highlight w:val="none"/>
              </w:rPr>
              <w:t>普通项10：</w:t>
            </w:r>
            <w:r>
              <w:rPr>
                <w:rFonts w:hint="eastAsia" w:ascii="宋体" w:hAnsi="宋体" w:eastAsia="宋体" w:cs="宋体"/>
                <w:highlight w:val="none"/>
              </w:rPr>
              <w:t>④组件外侧由框架及罩壳封装用于密封遮光及防止灰尘干扰光路。</w:t>
            </w:r>
          </w:p>
          <w:p w14:paraId="2AE6EAF0">
            <w:pPr>
              <w:ind w:firstLine="482"/>
              <w:jc w:val="both"/>
              <w:rPr>
                <w:rFonts w:ascii="宋体" w:hAnsi="宋体" w:eastAsia="宋体" w:cs="宋体"/>
                <w:highlight w:val="none"/>
              </w:rPr>
            </w:pPr>
            <w:r>
              <w:rPr>
                <w:rFonts w:hint="eastAsia" w:ascii="宋体" w:hAnsi="宋体" w:eastAsia="宋体" w:cs="宋体"/>
                <w:b/>
                <w:bCs/>
                <w:highlight w:val="none"/>
              </w:rPr>
              <w:t>普通项11：</w:t>
            </w:r>
            <w:r>
              <w:rPr>
                <w:rFonts w:hint="eastAsia" w:ascii="宋体" w:hAnsi="宋体" w:eastAsia="宋体" w:cs="宋体"/>
                <w:highlight w:val="none"/>
              </w:rPr>
              <w:t>⑤镜架材质：铟瓦合金钢（4J32）；</w:t>
            </w:r>
          </w:p>
          <w:p w14:paraId="77CFD3D9">
            <w:pPr>
              <w:ind w:firstLine="482"/>
              <w:jc w:val="both"/>
              <w:rPr>
                <w:rFonts w:ascii="宋体" w:hAnsi="宋体" w:eastAsia="宋体" w:cs="宋体"/>
                <w:highlight w:val="none"/>
              </w:rPr>
            </w:pPr>
            <w:r>
              <w:rPr>
                <w:rFonts w:hint="eastAsia" w:ascii="宋体" w:hAnsi="宋体" w:eastAsia="宋体" w:cs="宋体"/>
                <w:b/>
                <w:bCs/>
                <w:highlight w:val="none"/>
              </w:rPr>
              <w:t>普通项12：</w:t>
            </w:r>
            <w:r>
              <w:rPr>
                <w:rFonts w:hint="eastAsia" w:ascii="宋体" w:hAnsi="宋体" w:eastAsia="宋体" w:cs="宋体"/>
                <w:highlight w:val="none"/>
              </w:rPr>
              <w:t>⑥镜架具备电动调节功能，可实现俯仰≥±5°、旋转≥±5°调节。</w:t>
            </w:r>
          </w:p>
          <w:p w14:paraId="7AFF23CA">
            <w:pPr>
              <w:ind w:firstLine="480"/>
              <w:jc w:val="both"/>
              <w:rPr>
                <w:rFonts w:ascii="宋体" w:hAnsi="宋体" w:eastAsia="宋体" w:cs="宋体"/>
                <w:highlight w:val="none"/>
              </w:rPr>
            </w:pPr>
            <w:r>
              <w:rPr>
                <w:rFonts w:hint="eastAsia" w:ascii="宋体" w:hAnsi="宋体" w:eastAsia="宋体" w:cs="宋体"/>
                <w:highlight w:val="none"/>
              </w:rPr>
              <w:t>（2）整机2指标如下：</w:t>
            </w:r>
          </w:p>
          <w:p w14:paraId="290CF53E">
            <w:pPr>
              <w:ind w:firstLine="482"/>
              <w:jc w:val="both"/>
              <w:rPr>
                <w:rFonts w:ascii="宋体" w:hAnsi="宋体" w:eastAsia="宋体" w:cs="宋体"/>
                <w:highlight w:val="none"/>
              </w:rPr>
            </w:pPr>
            <w:r>
              <w:rPr>
                <w:rFonts w:hint="eastAsia" w:ascii="宋体" w:hAnsi="宋体" w:eastAsia="宋体" w:cs="宋体"/>
                <w:b/>
                <w:bCs/>
                <w:highlight w:val="none"/>
              </w:rPr>
              <w:t>普通项13：</w:t>
            </w:r>
            <w:r>
              <w:rPr>
                <w:rFonts w:hint="eastAsia" w:ascii="宋体" w:hAnsi="宋体" w:eastAsia="宋体" w:cs="宋体"/>
                <w:highlight w:val="none"/>
              </w:rPr>
              <w:t>①中心光高：1245mm±20mm；</w:t>
            </w:r>
          </w:p>
          <w:p w14:paraId="712924E9">
            <w:pPr>
              <w:ind w:firstLine="482"/>
              <w:jc w:val="both"/>
              <w:rPr>
                <w:rFonts w:ascii="宋体" w:hAnsi="宋体" w:eastAsia="宋体" w:cs="宋体"/>
                <w:highlight w:val="none"/>
              </w:rPr>
            </w:pPr>
            <w:r>
              <w:rPr>
                <w:rFonts w:hint="eastAsia" w:ascii="宋体" w:hAnsi="宋体" w:eastAsia="宋体" w:cs="宋体"/>
                <w:b/>
                <w:bCs/>
                <w:highlight w:val="none"/>
              </w:rPr>
              <w:t>普通项14：</w:t>
            </w:r>
            <w:r>
              <w:rPr>
                <w:rFonts w:hint="eastAsia" w:ascii="宋体" w:hAnsi="宋体" w:eastAsia="宋体" w:cs="宋体"/>
                <w:highlight w:val="none"/>
              </w:rPr>
              <w:t>②整机参考宽度：500mm；</w:t>
            </w:r>
          </w:p>
          <w:p w14:paraId="5279F33B">
            <w:pPr>
              <w:ind w:firstLine="482"/>
              <w:jc w:val="both"/>
              <w:rPr>
                <w:rFonts w:ascii="宋体" w:hAnsi="宋体" w:eastAsia="宋体" w:cs="宋体"/>
                <w:highlight w:val="none"/>
              </w:rPr>
            </w:pPr>
            <w:r>
              <w:rPr>
                <w:rFonts w:hint="eastAsia" w:ascii="宋体" w:hAnsi="宋体" w:eastAsia="宋体" w:cs="宋体"/>
                <w:b/>
                <w:bCs/>
                <w:highlight w:val="none"/>
              </w:rPr>
              <w:t>普通项15：</w:t>
            </w:r>
            <w:r>
              <w:rPr>
                <w:rFonts w:hint="eastAsia" w:ascii="宋体" w:hAnsi="宋体" w:eastAsia="宋体" w:cs="宋体"/>
                <w:highlight w:val="none"/>
              </w:rPr>
              <w:t>③具备隔振调平功能；</w:t>
            </w:r>
          </w:p>
          <w:p w14:paraId="2B75108D">
            <w:pPr>
              <w:ind w:firstLine="482"/>
              <w:jc w:val="both"/>
              <w:rPr>
                <w:rFonts w:ascii="宋体" w:hAnsi="宋体" w:eastAsia="宋体" w:cs="宋体"/>
                <w:highlight w:val="none"/>
              </w:rPr>
            </w:pPr>
            <w:r>
              <w:rPr>
                <w:rFonts w:hint="eastAsia" w:ascii="宋体" w:hAnsi="宋体" w:eastAsia="宋体" w:cs="宋体"/>
                <w:b/>
                <w:bCs/>
                <w:highlight w:val="none"/>
              </w:rPr>
              <w:t>普通项16：</w:t>
            </w:r>
            <w:r>
              <w:rPr>
                <w:rFonts w:hint="eastAsia" w:ascii="宋体" w:hAnsi="宋体" w:eastAsia="宋体" w:cs="宋体"/>
                <w:highlight w:val="none"/>
              </w:rPr>
              <w:t>④模块底脚需具备升降功能，并预留孔位与垫高工装连接；</w:t>
            </w:r>
          </w:p>
          <w:p w14:paraId="4508BD33">
            <w:pPr>
              <w:ind w:firstLine="480"/>
              <w:jc w:val="both"/>
              <w:rPr>
                <w:rFonts w:ascii="宋体" w:hAnsi="宋体" w:eastAsia="宋体" w:cs="宋体"/>
                <w:highlight w:val="none"/>
              </w:rPr>
            </w:pPr>
            <w:r>
              <w:rPr>
                <w:rFonts w:hint="eastAsia" w:ascii="宋体" w:hAnsi="宋体" w:eastAsia="宋体" w:cs="宋体"/>
                <w:highlight w:val="none"/>
              </w:rPr>
              <w:t>★⑤整机2光学组件部分置于除雾组件内部，整机2内光学元件不起雾结露；</w:t>
            </w:r>
          </w:p>
          <w:p w14:paraId="7B4F2E68">
            <w:pPr>
              <w:ind w:firstLine="482"/>
              <w:jc w:val="both"/>
              <w:rPr>
                <w:rFonts w:ascii="宋体" w:hAnsi="宋体" w:eastAsia="宋体" w:cs="宋体"/>
                <w:highlight w:val="none"/>
              </w:rPr>
            </w:pPr>
            <w:r>
              <w:rPr>
                <w:rFonts w:hint="eastAsia" w:ascii="宋体" w:hAnsi="宋体" w:eastAsia="宋体" w:cs="宋体"/>
                <w:b/>
                <w:bCs/>
                <w:highlight w:val="none"/>
              </w:rPr>
              <w:t>普通项17：</w:t>
            </w:r>
            <w:r>
              <w:rPr>
                <w:rFonts w:hint="eastAsia" w:ascii="宋体" w:hAnsi="宋体" w:eastAsia="宋体" w:cs="宋体"/>
                <w:highlight w:val="none"/>
              </w:rPr>
              <w:t>⑥除雾组件存在打开、闭合两种状态，打开状态时可保证被测光束的有效传输，闭合状态时可维持整机2内光学元件温度处于露点以下，镜面不起雾结露。</w:t>
            </w:r>
          </w:p>
          <w:p w14:paraId="27B446AA">
            <w:pPr>
              <w:ind w:firstLine="482"/>
              <w:jc w:val="both"/>
              <w:rPr>
                <w:rFonts w:ascii="宋体" w:hAnsi="宋体" w:eastAsia="宋体" w:cs="宋体"/>
                <w:highlight w:val="none"/>
              </w:rPr>
            </w:pPr>
            <w:r>
              <w:rPr>
                <w:rFonts w:hint="eastAsia" w:ascii="宋体" w:hAnsi="宋体" w:eastAsia="宋体" w:cs="宋体"/>
                <w:b/>
                <w:bCs/>
                <w:highlight w:val="none"/>
              </w:rPr>
              <w:t>普通项18：</w:t>
            </w:r>
            <w:r>
              <w:rPr>
                <w:rFonts w:hint="eastAsia" w:ascii="宋体" w:hAnsi="宋体" w:eastAsia="宋体" w:cs="宋体"/>
                <w:highlight w:val="none"/>
              </w:rPr>
              <w:t>⑦镜架材质：铟瓦合金钢（4J32）；</w:t>
            </w:r>
          </w:p>
          <w:p w14:paraId="4A07BD67">
            <w:pPr>
              <w:ind w:firstLine="482"/>
              <w:jc w:val="both"/>
              <w:rPr>
                <w:rFonts w:ascii="宋体" w:hAnsi="宋体" w:eastAsia="宋体" w:cs="宋体"/>
                <w:highlight w:val="none"/>
              </w:rPr>
            </w:pPr>
            <w:r>
              <w:rPr>
                <w:rFonts w:hint="eastAsia" w:ascii="宋体" w:hAnsi="宋体" w:eastAsia="宋体" w:cs="宋体"/>
                <w:b/>
                <w:bCs/>
                <w:highlight w:val="none"/>
              </w:rPr>
              <w:t>普通项19：</w:t>
            </w:r>
            <w:r>
              <w:rPr>
                <w:rFonts w:hint="eastAsia" w:ascii="宋体" w:hAnsi="宋体" w:eastAsia="宋体" w:cs="宋体"/>
                <w:highlight w:val="none"/>
              </w:rPr>
              <w:t>⑧镜架具备电动调节功能，可实现俯仰≥±2°、旋转≥±2°调节。</w:t>
            </w:r>
          </w:p>
          <w:p w14:paraId="25F9E37F">
            <w:pPr>
              <w:ind w:firstLine="480"/>
              <w:rPr>
                <w:rFonts w:ascii="宋体" w:hAnsi="宋体" w:eastAsia="宋体" w:cs="宋体"/>
                <w:highlight w:val="none"/>
              </w:rPr>
            </w:pPr>
            <w:r>
              <w:rPr>
                <w:rFonts w:hint="eastAsia" w:ascii="宋体" w:hAnsi="宋体" w:eastAsia="宋体" w:cs="宋体"/>
                <w:highlight w:val="none"/>
              </w:rPr>
              <w:t>（3）标准反射镜机械加工指标：</w:t>
            </w:r>
          </w:p>
          <w:p w14:paraId="7E99591F">
            <w:pPr>
              <w:ind w:firstLine="482"/>
              <w:jc w:val="both"/>
              <w:rPr>
                <w:rFonts w:ascii="宋体" w:hAnsi="宋体" w:eastAsia="宋体" w:cs="宋体"/>
                <w:highlight w:val="none"/>
              </w:rPr>
            </w:pPr>
            <w:r>
              <w:rPr>
                <w:rFonts w:hint="eastAsia" w:ascii="宋体" w:hAnsi="宋体" w:eastAsia="宋体" w:cs="宋体"/>
                <w:b/>
                <w:bCs/>
                <w:highlight w:val="none"/>
              </w:rPr>
              <w:t>普通项20：</w:t>
            </w:r>
            <w:r>
              <w:rPr>
                <w:rFonts w:hint="eastAsia" w:ascii="宋体" w:hAnsi="宋体" w:eastAsia="宋体" w:cs="宋体"/>
                <w:highlight w:val="none"/>
              </w:rPr>
              <w:t>①镜架材质：铟瓦合金钢（4J32）；</w:t>
            </w:r>
          </w:p>
          <w:p w14:paraId="13FECEF2">
            <w:pPr>
              <w:ind w:firstLine="482"/>
              <w:jc w:val="both"/>
              <w:rPr>
                <w:rFonts w:ascii="宋体" w:hAnsi="宋体" w:eastAsia="宋体" w:cs="宋体"/>
                <w:highlight w:val="none"/>
              </w:rPr>
            </w:pPr>
            <w:r>
              <w:rPr>
                <w:rFonts w:hint="eastAsia" w:ascii="宋体" w:hAnsi="宋体" w:eastAsia="宋体" w:cs="宋体"/>
                <w:b/>
                <w:bCs/>
                <w:highlight w:val="none"/>
              </w:rPr>
              <w:t>普通项21：</w:t>
            </w:r>
            <w:r>
              <w:rPr>
                <w:rFonts w:hint="eastAsia" w:ascii="宋体" w:hAnsi="宋体" w:eastAsia="宋体" w:cs="宋体"/>
                <w:highlight w:val="none"/>
              </w:rPr>
              <w:t>②镜架具备电动调节功能，实现俯仰≥±5°、旋转≥±5°调节。</w:t>
            </w:r>
          </w:p>
        </w:tc>
        <w:tc>
          <w:tcPr>
            <w:tcW w:w="636" w:type="pct"/>
            <w:tcBorders>
              <w:top w:val="single" w:color="auto" w:sz="4" w:space="0"/>
              <w:left w:val="single" w:color="auto" w:sz="4" w:space="0"/>
              <w:bottom w:val="single" w:color="auto" w:sz="4" w:space="0"/>
              <w:right w:val="single" w:color="auto" w:sz="4" w:space="0"/>
            </w:tcBorders>
            <w:vAlign w:val="center"/>
          </w:tcPr>
          <w:p w14:paraId="3155E8E4">
            <w:pPr>
              <w:ind w:firstLine="480"/>
              <w:jc w:val="center"/>
              <w:rPr>
                <w:rFonts w:ascii="宋体" w:hAnsi="宋体" w:eastAsia="宋体" w:cs="宋体"/>
                <w:highlight w:val="none"/>
              </w:rPr>
            </w:pPr>
            <w:r>
              <w:rPr>
                <w:rFonts w:hint="eastAsia" w:ascii="宋体" w:hAnsi="宋体" w:eastAsia="宋体" w:cs="宋体"/>
                <w:highlight w:val="none"/>
              </w:rPr>
              <w:t>4批</w:t>
            </w:r>
          </w:p>
        </w:tc>
      </w:tr>
      <w:tr w14:paraId="2AB538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475" w:type="pct"/>
            <w:tcBorders>
              <w:top w:val="single" w:color="auto" w:sz="4" w:space="0"/>
              <w:left w:val="single" w:color="auto" w:sz="4" w:space="0"/>
              <w:bottom w:val="single" w:color="auto" w:sz="4" w:space="0"/>
              <w:right w:val="single" w:color="auto" w:sz="4" w:space="0"/>
            </w:tcBorders>
            <w:vAlign w:val="center"/>
          </w:tcPr>
          <w:p w14:paraId="2735EB0A">
            <w:pPr>
              <w:ind w:firstLine="0" w:firstLineChars="0"/>
              <w:jc w:val="center"/>
              <w:rPr>
                <w:rFonts w:ascii="宋体" w:hAnsi="宋体" w:eastAsia="宋体" w:cs="宋体"/>
                <w:highlight w:val="none"/>
              </w:rPr>
            </w:pPr>
          </w:p>
        </w:tc>
        <w:tc>
          <w:tcPr>
            <w:tcW w:w="601" w:type="pct"/>
            <w:tcBorders>
              <w:top w:val="single" w:color="auto" w:sz="4" w:space="0"/>
              <w:left w:val="single" w:color="auto" w:sz="4" w:space="0"/>
              <w:bottom w:val="single" w:color="auto" w:sz="4" w:space="0"/>
              <w:right w:val="single" w:color="auto" w:sz="4" w:space="0"/>
            </w:tcBorders>
            <w:vAlign w:val="center"/>
          </w:tcPr>
          <w:p w14:paraId="5A869ED8">
            <w:pPr>
              <w:ind w:firstLine="0" w:firstLineChars="0"/>
              <w:jc w:val="center"/>
              <w:rPr>
                <w:rFonts w:ascii="宋体" w:hAnsi="宋体" w:eastAsia="宋体" w:cs="宋体"/>
                <w:highlight w:val="none"/>
              </w:rPr>
            </w:pPr>
          </w:p>
        </w:tc>
        <w:tc>
          <w:tcPr>
            <w:tcW w:w="3286" w:type="pct"/>
            <w:tcBorders>
              <w:top w:val="single" w:color="auto" w:sz="4" w:space="0"/>
              <w:left w:val="single" w:color="auto" w:sz="4" w:space="0"/>
              <w:bottom w:val="single" w:color="auto" w:sz="4" w:space="0"/>
              <w:right w:val="single" w:color="auto" w:sz="4" w:space="0"/>
            </w:tcBorders>
            <w:vAlign w:val="center"/>
          </w:tcPr>
          <w:p w14:paraId="7988B7DB">
            <w:pPr>
              <w:ind w:firstLine="480"/>
              <w:jc w:val="both"/>
              <w:rPr>
                <w:rFonts w:ascii="宋体" w:hAnsi="宋体" w:eastAsia="宋体" w:cs="宋体"/>
                <w:highlight w:val="none"/>
              </w:rPr>
            </w:pPr>
            <w:r>
              <w:rPr>
                <w:rFonts w:hint="eastAsia" w:ascii="宋体" w:hAnsi="宋体" w:eastAsia="宋体" w:cs="宋体"/>
                <w:highlight w:val="none"/>
              </w:rPr>
              <w:t>★以上服务均应按采购人图纸要求及数量加工。</w:t>
            </w:r>
          </w:p>
        </w:tc>
        <w:tc>
          <w:tcPr>
            <w:tcW w:w="636" w:type="pct"/>
            <w:tcBorders>
              <w:top w:val="single" w:color="auto" w:sz="4" w:space="0"/>
              <w:left w:val="single" w:color="auto" w:sz="4" w:space="0"/>
              <w:bottom w:val="single" w:color="auto" w:sz="4" w:space="0"/>
              <w:right w:val="single" w:color="auto" w:sz="4" w:space="0"/>
            </w:tcBorders>
            <w:vAlign w:val="center"/>
          </w:tcPr>
          <w:p w14:paraId="0D024246">
            <w:pPr>
              <w:ind w:firstLine="480"/>
              <w:jc w:val="center"/>
              <w:rPr>
                <w:rFonts w:ascii="宋体" w:hAnsi="宋体" w:eastAsia="宋体" w:cs="宋体"/>
                <w:highlight w:val="none"/>
              </w:rPr>
            </w:pPr>
          </w:p>
        </w:tc>
      </w:tr>
      <w:tr w14:paraId="4B3EC0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475" w:type="pct"/>
            <w:tcBorders>
              <w:top w:val="single" w:color="auto" w:sz="4" w:space="0"/>
              <w:left w:val="single" w:color="auto" w:sz="4" w:space="0"/>
              <w:bottom w:val="single" w:color="auto" w:sz="4" w:space="0"/>
              <w:right w:val="single" w:color="auto" w:sz="4" w:space="0"/>
            </w:tcBorders>
            <w:vAlign w:val="center"/>
          </w:tcPr>
          <w:p w14:paraId="33637244">
            <w:pPr>
              <w:ind w:firstLine="0" w:firstLineChars="0"/>
              <w:jc w:val="center"/>
              <w:rPr>
                <w:rFonts w:ascii="宋体" w:hAnsi="宋体" w:eastAsia="宋体" w:cs="宋体"/>
                <w:highlight w:val="none"/>
              </w:rPr>
            </w:pPr>
            <w:r>
              <w:rPr>
                <w:rFonts w:hint="eastAsia" w:ascii="宋体" w:hAnsi="宋体" w:eastAsia="宋体" w:cs="宋体"/>
                <w:highlight w:val="none"/>
              </w:rPr>
              <w:t>4</w:t>
            </w:r>
          </w:p>
        </w:tc>
        <w:tc>
          <w:tcPr>
            <w:tcW w:w="601" w:type="pct"/>
            <w:tcBorders>
              <w:top w:val="single" w:color="auto" w:sz="4" w:space="0"/>
              <w:left w:val="single" w:color="auto" w:sz="4" w:space="0"/>
              <w:bottom w:val="single" w:color="auto" w:sz="4" w:space="0"/>
              <w:right w:val="single" w:color="auto" w:sz="4" w:space="0"/>
            </w:tcBorders>
            <w:vAlign w:val="center"/>
          </w:tcPr>
          <w:p w14:paraId="092358F9">
            <w:pPr>
              <w:ind w:firstLine="0" w:firstLineChars="0"/>
              <w:jc w:val="center"/>
              <w:rPr>
                <w:rFonts w:ascii="宋体" w:hAnsi="宋体" w:eastAsia="宋体" w:cs="宋体"/>
                <w:bCs/>
                <w:highlight w:val="none"/>
              </w:rPr>
            </w:pPr>
            <w:r>
              <w:rPr>
                <w:rFonts w:hint="eastAsia" w:ascii="宋体" w:hAnsi="宋体" w:eastAsia="宋体" w:cs="宋体"/>
                <w:bCs/>
                <w:highlight w:val="none"/>
              </w:rPr>
              <w:t>噪声环境实验测试</w:t>
            </w:r>
          </w:p>
        </w:tc>
        <w:tc>
          <w:tcPr>
            <w:tcW w:w="3286" w:type="pct"/>
            <w:tcBorders>
              <w:top w:val="single" w:color="auto" w:sz="4" w:space="0"/>
              <w:left w:val="single" w:color="auto" w:sz="4" w:space="0"/>
              <w:bottom w:val="single" w:color="auto" w:sz="4" w:space="0"/>
              <w:right w:val="single" w:color="auto" w:sz="4" w:space="0"/>
            </w:tcBorders>
            <w:vAlign w:val="center"/>
          </w:tcPr>
          <w:p w14:paraId="2C18F9C3">
            <w:pPr>
              <w:ind w:firstLine="482"/>
              <w:jc w:val="both"/>
              <w:rPr>
                <w:rFonts w:ascii="宋体" w:hAnsi="宋体" w:eastAsia="宋体" w:cs="宋体"/>
                <w:highlight w:val="none"/>
              </w:rPr>
            </w:pPr>
            <w:r>
              <w:rPr>
                <w:rFonts w:hint="eastAsia" w:ascii="宋体" w:hAnsi="宋体" w:eastAsia="宋体" w:cs="宋体"/>
                <w:b/>
                <w:bCs/>
                <w:highlight w:val="none"/>
              </w:rPr>
              <w:t>普通项22：</w:t>
            </w:r>
            <w:r>
              <w:rPr>
                <w:rFonts w:hint="eastAsia" w:ascii="宋体" w:hAnsi="宋体" w:eastAsia="宋体" w:cs="宋体"/>
                <w:highlight w:val="none"/>
              </w:rPr>
              <w:t>测试环境：在噪声频谱100Hz~2000Hz，声压等级≤100dB。</w:t>
            </w:r>
          </w:p>
          <w:p w14:paraId="5532753F">
            <w:pPr>
              <w:ind w:firstLine="480"/>
              <w:jc w:val="both"/>
              <w:rPr>
                <w:rFonts w:ascii="宋体" w:hAnsi="宋体" w:eastAsia="宋体" w:cs="宋体"/>
                <w:highlight w:val="none"/>
              </w:rPr>
            </w:pPr>
            <w:r>
              <w:rPr>
                <w:rFonts w:hint="eastAsia" w:ascii="宋体" w:hAnsi="宋体" w:eastAsia="宋体" w:cs="宋体"/>
                <w:highlight w:val="none"/>
              </w:rPr>
              <w:t>实验测试时间：≥90小时。</w:t>
            </w:r>
          </w:p>
          <w:p w14:paraId="0BC8CFB3">
            <w:pPr>
              <w:ind w:firstLine="480"/>
              <w:jc w:val="both"/>
              <w:rPr>
                <w:rFonts w:ascii="宋体" w:hAnsi="宋体" w:eastAsia="宋体" w:cs="宋体"/>
                <w:highlight w:val="none"/>
              </w:rPr>
            </w:pPr>
            <w:r>
              <w:rPr>
                <w:rFonts w:hint="eastAsia" w:ascii="宋体" w:hAnsi="宋体" w:eastAsia="宋体" w:cs="宋体"/>
                <w:highlight w:val="none"/>
              </w:rPr>
              <w:t>测试结果：要求器件无损坏，可以正常使用</w:t>
            </w:r>
          </w:p>
        </w:tc>
        <w:tc>
          <w:tcPr>
            <w:tcW w:w="636" w:type="pct"/>
            <w:vMerge w:val="restart"/>
            <w:tcBorders>
              <w:top w:val="single" w:color="auto" w:sz="4" w:space="0"/>
              <w:left w:val="single" w:color="auto" w:sz="4" w:space="0"/>
              <w:right w:val="single" w:color="auto" w:sz="4" w:space="0"/>
            </w:tcBorders>
            <w:vAlign w:val="center"/>
          </w:tcPr>
          <w:p w14:paraId="31D4C964">
            <w:pPr>
              <w:ind w:firstLine="0" w:firstLineChars="0"/>
              <w:jc w:val="both"/>
              <w:rPr>
                <w:rFonts w:ascii="宋体" w:hAnsi="宋体" w:eastAsia="宋体" w:cs="宋体"/>
                <w:highlight w:val="none"/>
              </w:rPr>
            </w:pPr>
            <w:r>
              <w:rPr>
                <w:rFonts w:hint="eastAsia" w:ascii="宋体" w:hAnsi="宋体" w:eastAsia="宋体" w:cs="宋体"/>
                <w:highlight w:val="none"/>
              </w:rPr>
              <w:t>投标时须提供相关测试方案并在测试完成后提供测试报告。</w:t>
            </w:r>
          </w:p>
        </w:tc>
      </w:tr>
      <w:tr w14:paraId="67AC7E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475" w:type="pct"/>
            <w:tcBorders>
              <w:top w:val="single" w:color="auto" w:sz="4" w:space="0"/>
              <w:left w:val="single" w:color="auto" w:sz="4" w:space="0"/>
              <w:bottom w:val="single" w:color="auto" w:sz="4" w:space="0"/>
              <w:right w:val="single" w:color="auto" w:sz="4" w:space="0"/>
            </w:tcBorders>
            <w:vAlign w:val="center"/>
          </w:tcPr>
          <w:p w14:paraId="415D20FB">
            <w:pPr>
              <w:ind w:firstLine="0" w:firstLineChars="0"/>
              <w:jc w:val="center"/>
              <w:rPr>
                <w:rFonts w:ascii="宋体" w:hAnsi="宋体" w:eastAsia="宋体" w:cs="宋体"/>
                <w:highlight w:val="none"/>
              </w:rPr>
            </w:pPr>
            <w:r>
              <w:rPr>
                <w:rFonts w:hint="eastAsia" w:ascii="宋体" w:hAnsi="宋体" w:eastAsia="宋体" w:cs="宋体"/>
                <w:highlight w:val="none"/>
              </w:rPr>
              <w:t>5</w:t>
            </w:r>
          </w:p>
        </w:tc>
        <w:tc>
          <w:tcPr>
            <w:tcW w:w="601" w:type="pct"/>
            <w:tcBorders>
              <w:top w:val="single" w:color="auto" w:sz="4" w:space="0"/>
              <w:left w:val="single" w:color="auto" w:sz="4" w:space="0"/>
              <w:bottom w:val="single" w:color="auto" w:sz="4" w:space="0"/>
              <w:right w:val="single" w:color="auto" w:sz="4" w:space="0"/>
            </w:tcBorders>
            <w:vAlign w:val="center"/>
          </w:tcPr>
          <w:p w14:paraId="2CC70E1C">
            <w:pPr>
              <w:ind w:firstLine="0" w:firstLineChars="0"/>
              <w:jc w:val="center"/>
              <w:rPr>
                <w:rFonts w:ascii="宋体" w:hAnsi="宋体" w:eastAsia="宋体" w:cs="宋体"/>
                <w:highlight w:val="none"/>
              </w:rPr>
            </w:pPr>
            <w:r>
              <w:rPr>
                <w:rFonts w:hint="eastAsia" w:ascii="宋体" w:hAnsi="宋体" w:eastAsia="宋体" w:cs="宋体"/>
                <w:highlight w:val="none"/>
              </w:rPr>
              <w:t>温湿振高环境实验测试</w:t>
            </w:r>
          </w:p>
        </w:tc>
        <w:tc>
          <w:tcPr>
            <w:tcW w:w="3286" w:type="pct"/>
            <w:tcBorders>
              <w:top w:val="single" w:color="auto" w:sz="4" w:space="0"/>
              <w:left w:val="single" w:color="auto" w:sz="4" w:space="0"/>
              <w:bottom w:val="single" w:color="auto" w:sz="4" w:space="0"/>
              <w:right w:val="single" w:color="auto" w:sz="4" w:space="0"/>
            </w:tcBorders>
            <w:vAlign w:val="center"/>
          </w:tcPr>
          <w:p w14:paraId="6B75023D">
            <w:pPr>
              <w:ind w:firstLine="482"/>
              <w:jc w:val="both"/>
              <w:rPr>
                <w:rFonts w:ascii="宋体" w:hAnsi="宋体" w:eastAsia="宋体" w:cs="宋体"/>
                <w:highlight w:val="none"/>
              </w:rPr>
            </w:pPr>
            <w:r>
              <w:rPr>
                <w:rFonts w:hint="eastAsia" w:ascii="宋体" w:hAnsi="宋体" w:eastAsia="宋体" w:cs="宋体"/>
                <w:b/>
                <w:bCs/>
                <w:highlight w:val="none"/>
              </w:rPr>
              <w:t>普通项23：</w:t>
            </w:r>
            <w:r>
              <w:rPr>
                <w:rFonts w:hint="eastAsia" w:ascii="宋体" w:hAnsi="宋体" w:eastAsia="宋体" w:cs="宋体"/>
                <w:highlight w:val="none"/>
              </w:rPr>
              <w:t>测试环境：在温度20℃~50℃，湿度20RH%~80RH%，气压20kPa~80kPa。</w:t>
            </w:r>
          </w:p>
          <w:p w14:paraId="02E3D59A">
            <w:pPr>
              <w:ind w:firstLine="480"/>
              <w:jc w:val="both"/>
              <w:rPr>
                <w:rFonts w:ascii="宋体" w:hAnsi="宋体" w:eastAsia="宋体" w:cs="宋体"/>
                <w:highlight w:val="none"/>
              </w:rPr>
            </w:pPr>
            <w:r>
              <w:rPr>
                <w:rFonts w:hint="eastAsia" w:ascii="宋体" w:hAnsi="宋体" w:eastAsia="宋体" w:cs="宋体"/>
                <w:highlight w:val="none"/>
              </w:rPr>
              <w:t>实验测试时间≥150小时</w:t>
            </w:r>
          </w:p>
          <w:p w14:paraId="798616BC">
            <w:pPr>
              <w:ind w:firstLine="480"/>
              <w:jc w:val="both"/>
              <w:rPr>
                <w:rFonts w:ascii="宋体" w:hAnsi="宋体" w:eastAsia="宋体" w:cs="宋体"/>
                <w:highlight w:val="none"/>
              </w:rPr>
            </w:pPr>
            <w:r>
              <w:rPr>
                <w:rFonts w:hint="eastAsia" w:ascii="宋体" w:hAnsi="宋体" w:eastAsia="宋体" w:cs="宋体"/>
                <w:highlight w:val="none"/>
              </w:rPr>
              <w:t>测试结果：要求器件无损坏，可以正常使用</w:t>
            </w:r>
          </w:p>
        </w:tc>
        <w:tc>
          <w:tcPr>
            <w:tcW w:w="636" w:type="pct"/>
            <w:vMerge w:val="continue"/>
            <w:tcBorders>
              <w:left w:val="single" w:color="auto" w:sz="4" w:space="0"/>
              <w:right w:val="single" w:color="auto" w:sz="4" w:space="0"/>
            </w:tcBorders>
            <w:vAlign w:val="center"/>
          </w:tcPr>
          <w:p w14:paraId="2823276E">
            <w:pPr>
              <w:ind w:firstLine="480"/>
              <w:jc w:val="center"/>
              <w:rPr>
                <w:rFonts w:ascii="宋体" w:hAnsi="宋体" w:eastAsia="宋体" w:cs="宋体"/>
                <w:highlight w:val="none"/>
              </w:rPr>
            </w:pPr>
          </w:p>
        </w:tc>
      </w:tr>
      <w:tr w14:paraId="09F235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475" w:type="pct"/>
            <w:tcBorders>
              <w:top w:val="single" w:color="auto" w:sz="4" w:space="0"/>
              <w:left w:val="single" w:color="auto" w:sz="4" w:space="0"/>
              <w:bottom w:val="single" w:color="auto" w:sz="4" w:space="0"/>
              <w:right w:val="single" w:color="auto" w:sz="4" w:space="0"/>
            </w:tcBorders>
            <w:vAlign w:val="center"/>
          </w:tcPr>
          <w:p w14:paraId="5F7FCE06">
            <w:pPr>
              <w:ind w:firstLine="0" w:firstLineChars="0"/>
              <w:jc w:val="center"/>
              <w:rPr>
                <w:rFonts w:ascii="宋体" w:hAnsi="宋体" w:eastAsia="宋体" w:cs="宋体"/>
                <w:highlight w:val="none"/>
              </w:rPr>
            </w:pPr>
            <w:r>
              <w:rPr>
                <w:rFonts w:hint="eastAsia" w:ascii="宋体" w:hAnsi="宋体" w:eastAsia="宋体" w:cs="宋体"/>
                <w:highlight w:val="none"/>
              </w:rPr>
              <w:t>6</w:t>
            </w:r>
          </w:p>
        </w:tc>
        <w:tc>
          <w:tcPr>
            <w:tcW w:w="601" w:type="pct"/>
            <w:tcBorders>
              <w:top w:val="single" w:color="auto" w:sz="4" w:space="0"/>
              <w:left w:val="single" w:color="auto" w:sz="4" w:space="0"/>
              <w:bottom w:val="single" w:color="auto" w:sz="4" w:space="0"/>
              <w:right w:val="single" w:color="auto" w:sz="4" w:space="0"/>
            </w:tcBorders>
            <w:vAlign w:val="center"/>
          </w:tcPr>
          <w:p w14:paraId="450F9E1C">
            <w:pPr>
              <w:ind w:firstLine="0" w:firstLineChars="0"/>
              <w:jc w:val="center"/>
              <w:rPr>
                <w:rFonts w:ascii="宋体" w:hAnsi="宋体" w:eastAsia="宋体" w:cs="宋体"/>
                <w:bCs/>
                <w:highlight w:val="none"/>
              </w:rPr>
            </w:pPr>
            <w:r>
              <w:rPr>
                <w:rFonts w:hint="eastAsia" w:ascii="宋体" w:hAnsi="宋体" w:eastAsia="宋体" w:cs="宋体"/>
                <w:bCs/>
                <w:highlight w:val="none"/>
              </w:rPr>
              <w:t>多轴振动环境实验测试</w:t>
            </w:r>
          </w:p>
        </w:tc>
        <w:tc>
          <w:tcPr>
            <w:tcW w:w="3286" w:type="pct"/>
            <w:tcBorders>
              <w:top w:val="single" w:color="auto" w:sz="4" w:space="0"/>
              <w:left w:val="single" w:color="auto" w:sz="4" w:space="0"/>
              <w:bottom w:val="single" w:color="auto" w:sz="4" w:space="0"/>
              <w:right w:val="single" w:color="auto" w:sz="4" w:space="0"/>
            </w:tcBorders>
            <w:vAlign w:val="center"/>
          </w:tcPr>
          <w:p w14:paraId="03318186">
            <w:pPr>
              <w:ind w:firstLine="482"/>
              <w:jc w:val="both"/>
              <w:rPr>
                <w:rFonts w:ascii="宋体" w:hAnsi="宋体" w:eastAsia="宋体" w:cs="宋体"/>
                <w:highlight w:val="none"/>
              </w:rPr>
            </w:pPr>
            <w:r>
              <w:rPr>
                <w:rFonts w:hint="eastAsia" w:ascii="宋体" w:hAnsi="宋体" w:eastAsia="宋体" w:cs="宋体"/>
                <w:b/>
                <w:bCs/>
                <w:highlight w:val="none"/>
              </w:rPr>
              <w:t>普通项24：</w:t>
            </w:r>
            <w:r>
              <w:rPr>
                <w:rFonts w:hint="eastAsia" w:ascii="宋体" w:hAnsi="宋体" w:eastAsia="宋体" w:cs="宋体"/>
                <w:highlight w:val="none"/>
              </w:rPr>
              <w:t>测试环境：在振动频谱范围1Hz ~60Hz，加速度均方根≤2g。</w:t>
            </w:r>
          </w:p>
          <w:p w14:paraId="1D42B3FE">
            <w:pPr>
              <w:ind w:firstLine="480"/>
              <w:jc w:val="both"/>
              <w:rPr>
                <w:rFonts w:ascii="宋体" w:hAnsi="宋体" w:eastAsia="宋体" w:cs="宋体"/>
                <w:highlight w:val="none"/>
              </w:rPr>
            </w:pPr>
            <w:r>
              <w:rPr>
                <w:rFonts w:hint="eastAsia" w:ascii="宋体" w:hAnsi="宋体" w:eastAsia="宋体" w:cs="宋体"/>
                <w:highlight w:val="none"/>
              </w:rPr>
              <w:t>实验测试时间≥90小时。</w:t>
            </w:r>
          </w:p>
          <w:p w14:paraId="22FFE79A">
            <w:pPr>
              <w:ind w:firstLine="480"/>
              <w:jc w:val="both"/>
              <w:rPr>
                <w:rFonts w:ascii="宋体" w:hAnsi="宋体" w:eastAsia="宋体" w:cs="宋体"/>
                <w:highlight w:val="none"/>
              </w:rPr>
            </w:pPr>
            <w:r>
              <w:rPr>
                <w:rFonts w:hint="eastAsia" w:ascii="宋体" w:hAnsi="宋体" w:eastAsia="宋体" w:cs="宋体"/>
                <w:highlight w:val="none"/>
              </w:rPr>
              <w:t>测试结果：要求器件无损坏，可以正常使用。</w:t>
            </w:r>
          </w:p>
        </w:tc>
        <w:tc>
          <w:tcPr>
            <w:tcW w:w="636" w:type="pct"/>
            <w:vMerge w:val="continue"/>
            <w:tcBorders>
              <w:left w:val="single" w:color="auto" w:sz="4" w:space="0"/>
              <w:right w:val="single" w:color="auto" w:sz="4" w:space="0"/>
            </w:tcBorders>
            <w:vAlign w:val="center"/>
          </w:tcPr>
          <w:p w14:paraId="4E64BEA2">
            <w:pPr>
              <w:ind w:firstLine="480"/>
              <w:jc w:val="center"/>
              <w:rPr>
                <w:rFonts w:ascii="宋体" w:hAnsi="宋体" w:eastAsia="宋体" w:cs="宋体"/>
                <w:highlight w:val="none"/>
              </w:rPr>
            </w:pPr>
          </w:p>
        </w:tc>
      </w:tr>
      <w:tr w14:paraId="52C452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475" w:type="pct"/>
            <w:tcBorders>
              <w:top w:val="single" w:color="auto" w:sz="4" w:space="0"/>
              <w:left w:val="single" w:color="auto" w:sz="4" w:space="0"/>
              <w:bottom w:val="single" w:color="auto" w:sz="4" w:space="0"/>
              <w:right w:val="single" w:color="auto" w:sz="4" w:space="0"/>
            </w:tcBorders>
            <w:vAlign w:val="center"/>
          </w:tcPr>
          <w:p w14:paraId="2C07CBDA">
            <w:pPr>
              <w:ind w:firstLine="0" w:firstLineChars="0"/>
              <w:jc w:val="center"/>
              <w:rPr>
                <w:rFonts w:ascii="宋体" w:hAnsi="宋体" w:eastAsia="宋体" w:cs="宋体"/>
                <w:highlight w:val="none"/>
              </w:rPr>
            </w:pPr>
            <w:r>
              <w:rPr>
                <w:rFonts w:hint="eastAsia" w:ascii="宋体" w:hAnsi="宋体" w:eastAsia="宋体" w:cs="宋体"/>
                <w:highlight w:val="none"/>
              </w:rPr>
              <w:t>7</w:t>
            </w:r>
          </w:p>
        </w:tc>
        <w:tc>
          <w:tcPr>
            <w:tcW w:w="601" w:type="pct"/>
            <w:tcBorders>
              <w:top w:val="single" w:color="auto" w:sz="4" w:space="0"/>
              <w:left w:val="single" w:color="auto" w:sz="4" w:space="0"/>
              <w:bottom w:val="single" w:color="auto" w:sz="4" w:space="0"/>
              <w:right w:val="single" w:color="auto" w:sz="4" w:space="0"/>
            </w:tcBorders>
            <w:vAlign w:val="center"/>
          </w:tcPr>
          <w:p w14:paraId="422428C3">
            <w:pPr>
              <w:ind w:firstLine="0" w:firstLineChars="0"/>
              <w:jc w:val="center"/>
              <w:rPr>
                <w:rFonts w:ascii="宋体" w:hAnsi="宋体" w:eastAsia="宋体" w:cs="宋体"/>
                <w:highlight w:val="none"/>
              </w:rPr>
            </w:pPr>
            <w:r>
              <w:rPr>
                <w:rFonts w:hint="eastAsia" w:ascii="宋体" w:hAnsi="宋体" w:eastAsia="宋体" w:cs="宋体"/>
                <w:highlight w:val="none"/>
              </w:rPr>
              <w:t>摆动-抖动环境实验测试</w:t>
            </w:r>
          </w:p>
        </w:tc>
        <w:tc>
          <w:tcPr>
            <w:tcW w:w="3286" w:type="pct"/>
            <w:tcBorders>
              <w:top w:val="single" w:color="auto" w:sz="4" w:space="0"/>
              <w:left w:val="single" w:color="auto" w:sz="4" w:space="0"/>
              <w:bottom w:val="single" w:color="auto" w:sz="4" w:space="0"/>
              <w:right w:val="single" w:color="auto" w:sz="4" w:space="0"/>
            </w:tcBorders>
            <w:vAlign w:val="center"/>
          </w:tcPr>
          <w:p w14:paraId="003C8E05">
            <w:pPr>
              <w:ind w:firstLine="482"/>
              <w:jc w:val="both"/>
              <w:rPr>
                <w:rFonts w:ascii="宋体" w:hAnsi="宋体" w:eastAsia="宋体" w:cs="宋体"/>
                <w:highlight w:val="none"/>
              </w:rPr>
            </w:pPr>
            <w:r>
              <w:rPr>
                <w:rFonts w:hint="eastAsia" w:ascii="宋体" w:hAnsi="宋体" w:eastAsia="宋体" w:cs="宋体"/>
                <w:b/>
                <w:bCs/>
                <w:highlight w:val="none"/>
              </w:rPr>
              <w:t>普通项25：</w:t>
            </w:r>
            <w:r>
              <w:rPr>
                <w:rFonts w:hint="eastAsia" w:ascii="宋体" w:hAnsi="宋体" w:eastAsia="宋体" w:cs="宋体"/>
                <w:highlight w:val="none"/>
              </w:rPr>
              <w:t>测试环境：在频谱范围20Hz ~80Hz，加速度均方根≤8g。</w:t>
            </w:r>
          </w:p>
          <w:p w14:paraId="2E210CBE">
            <w:pPr>
              <w:ind w:firstLine="480"/>
              <w:jc w:val="both"/>
              <w:rPr>
                <w:rFonts w:ascii="宋体" w:hAnsi="宋体" w:eastAsia="宋体" w:cs="宋体"/>
                <w:highlight w:val="none"/>
              </w:rPr>
            </w:pPr>
            <w:r>
              <w:rPr>
                <w:rFonts w:hint="eastAsia" w:ascii="宋体" w:hAnsi="宋体" w:eastAsia="宋体" w:cs="宋体"/>
                <w:highlight w:val="none"/>
              </w:rPr>
              <w:t>实验测试时间≥90小时。</w:t>
            </w:r>
          </w:p>
          <w:p w14:paraId="44F28DF8">
            <w:pPr>
              <w:ind w:firstLine="480"/>
              <w:jc w:val="both"/>
              <w:rPr>
                <w:rFonts w:ascii="宋体" w:hAnsi="宋体" w:eastAsia="宋体" w:cs="宋体"/>
                <w:highlight w:val="none"/>
              </w:rPr>
            </w:pPr>
            <w:r>
              <w:rPr>
                <w:rFonts w:hint="eastAsia" w:ascii="宋体" w:hAnsi="宋体" w:eastAsia="宋体" w:cs="宋体"/>
                <w:highlight w:val="none"/>
              </w:rPr>
              <w:t>测试结果：要求器件无损坏，可以正常使用。</w:t>
            </w:r>
          </w:p>
        </w:tc>
        <w:tc>
          <w:tcPr>
            <w:tcW w:w="636" w:type="pct"/>
            <w:vMerge w:val="continue"/>
            <w:tcBorders>
              <w:left w:val="single" w:color="auto" w:sz="4" w:space="0"/>
              <w:bottom w:val="single" w:color="auto" w:sz="4" w:space="0"/>
              <w:right w:val="single" w:color="auto" w:sz="4" w:space="0"/>
            </w:tcBorders>
            <w:vAlign w:val="center"/>
          </w:tcPr>
          <w:p w14:paraId="283D4D1E">
            <w:pPr>
              <w:ind w:firstLine="480"/>
              <w:jc w:val="center"/>
              <w:rPr>
                <w:rFonts w:ascii="宋体" w:hAnsi="宋体" w:eastAsia="宋体" w:cs="宋体"/>
                <w:highlight w:val="none"/>
              </w:rPr>
            </w:pPr>
          </w:p>
        </w:tc>
      </w:tr>
    </w:tbl>
    <w:p w14:paraId="50A02FE9">
      <w:pPr>
        <w:tabs>
          <w:tab w:val="left" w:pos="4320"/>
        </w:tabs>
        <w:ind w:firstLine="0" w:firstLineChars="0"/>
        <w:rPr>
          <w:rFonts w:ascii="宋体" w:hAnsi="宋体" w:eastAsia="宋体" w:cs="宋体"/>
          <w:b/>
          <w:color w:val="000000"/>
          <w:highlight w:val="none"/>
        </w:rPr>
      </w:pPr>
    </w:p>
    <w:p w14:paraId="2C5AD011">
      <w:pPr>
        <w:tabs>
          <w:tab w:val="left" w:pos="4320"/>
        </w:tabs>
        <w:ind w:firstLine="0" w:firstLineChars="0"/>
        <w:rPr>
          <w:rFonts w:ascii="宋体" w:hAnsi="宋体" w:eastAsia="宋体" w:cs="宋体"/>
          <w:b/>
          <w:color w:val="000000"/>
          <w:highlight w:val="none"/>
        </w:rPr>
      </w:pPr>
      <w:r>
        <w:rPr>
          <w:rFonts w:hint="eastAsia" w:ascii="宋体" w:hAnsi="宋体" w:eastAsia="宋体" w:cs="宋体"/>
          <w:b/>
          <w:color w:val="000000"/>
          <w:highlight w:val="none"/>
        </w:rPr>
        <w:t>注：本项目产品功能要求中的所有名词（除国家标准、行业标准已规定的之外），仅代表采购人对功能的需求，不代表该功能的名称被指定。</w:t>
      </w:r>
    </w:p>
    <w:p w14:paraId="32ECEE86">
      <w:pPr>
        <w:tabs>
          <w:tab w:val="left" w:pos="4320"/>
        </w:tabs>
        <w:ind w:firstLine="0" w:firstLineChars="0"/>
        <w:rPr>
          <w:rFonts w:ascii="宋体" w:hAnsi="宋体" w:eastAsia="宋体" w:cs="宋体"/>
          <w:b/>
          <w:color w:val="000000"/>
          <w:highlight w:val="none"/>
        </w:rPr>
      </w:pPr>
    </w:p>
    <w:p w14:paraId="4687560F">
      <w:pPr>
        <w:tabs>
          <w:tab w:val="left" w:pos="4320"/>
        </w:tabs>
        <w:ind w:firstLine="0" w:firstLineChars="0"/>
        <w:rPr>
          <w:rFonts w:ascii="宋体" w:hAnsi="宋体" w:eastAsia="宋体" w:cs="宋体"/>
          <w:b/>
          <w:color w:val="000000"/>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40" w:right="1797" w:bottom="1440" w:left="1797" w:header="851" w:footer="992" w:gutter="0"/>
          <w:cols w:space="720" w:num="1"/>
          <w:docGrid w:linePitch="312" w:charSpace="0"/>
        </w:sectPr>
      </w:pPr>
    </w:p>
    <w:p w14:paraId="50FD4CF3">
      <w:pPr>
        <w:adjustRightInd/>
        <w:snapToGrid/>
        <w:ind w:firstLine="0" w:firstLineChars="0"/>
        <w:jc w:val="both"/>
        <w:rPr>
          <w:rFonts w:ascii="宋体" w:hAnsi="宋体" w:eastAsia="宋体" w:cs="宋体"/>
          <w:b/>
          <w:sz w:val="32"/>
          <w:szCs w:val="22"/>
          <w:highlight w:val="none"/>
        </w:rPr>
      </w:pPr>
    </w:p>
    <w:p w14:paraId="207DD567">
      <w:pPr>
        <w:adjustRightInd/>
        <w:snapToGrid/>
        <w:ind w:firstLine="0" w:firstLineChars="0"/>
        <w:jc w:val="center"/>
        <w:rPr>
          <w:rFonts w:ascii="宋体" w:hAnsi="宋体" w:eastAsia="宋体" w:cs="宋体"/>
          <w:b/>
          <w:sz w:val="32"/>
          <w:szCs w:val="22"/>
          <w:highlight w:val="none"/>
        </w:rPr>
      </w:pPr>
      <w:r>
        <w:rPr>
          <w:rFonts w:hint="eastAsia" w:ascii="宋体" w:hAnsi="宋体" w:eastAsia="宋体" w:cs="宋体"/>
          <w:b/>
          <w:sz w:val="32"/>
          <w:szCs w:val="22"/>
          <w:highlight w:val="none"/>
        </w:rPr>
        <w:t>山东大学服务项目商务条款响应一览表</w:t>
      </w:r>
    </w:p>
    <w:tbl>
      <w:tblPr>
        <w:tblStyle w:val="7"/>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336"/>
        <w:gridCol w:w="1660"/>
        <w:gridCol w:w="5198"/>
      </w:tblGrid>
      <w:tr w14:paraId="7B2C0B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36" w:type="dxa"/>
            <w:tcBorders>
              <w:top w:val="single" w:color="auto" w:sz="4" w:space="0"/>
              <w:left w:val="single" w:color="auto" w:sz="4" w:space="0"/>
              <w:bottom w:val="single" w:color="auto" w:sz="4" w:space="0"/>
              <w:right w:val="single" w:color="auto" w:sz="4" w:space="0"/>
            </w:tcBorders>
            <w:vAlign w:val="center"/>
          </w:tcPr>
          <w:p w14:paraId="1670A311">
            <w:pPr>
              <w:ind w:firstLine="0" w:firstLineChars="0"/>
              <w:jc w:val="center"/>
              <w:rPr>
                <w:rFonts w:ascii="宋体" w:hAnsi="宋体" w:eastAsia="宋体" w:cs="宋体"/>
                <w:b/>
                <w:bCs/>
                <w:highlight w:val="none"/>
              </w:rPr>
            </w:pPr>
            <w:r>
              <w:rPr>
                <w:rFonts w:hint="eastAsia" w:ascii="宋体" w:hAnsi="宋体" w:eastAsia="宋体" w:cs="宋体"/>
                <w:b/>
                <w:bCs/>
                <w:highlight w:val="none"/>
              </w:rPr>
              <w:t>项目序号</w:t>
            </w:r>
          </w:p>
        </w:tc>
        <w:tc>
          <w:tcPr>
            <w:tcW w:w="1660" w:type="dxa"/>
            <w:tcBorders>
              <w:top w:val="single" w:color="auto" w:sz="4" w:space="0"/>
              <w:left w:val="single" w:color="auto" w:sz="4" w:space="0"/>
              <w:bottom w:val="single" w:color="auto" w:sz="4" w:space="0"/>
              <w:right w:val="single" w:color="auto" w:sz="4" w:space="0"/>
            </w:tcBorders>
            <w:vAlign w:val="center"/>
          </w:tcPr>
          <w:p w14:paraId="7A2C840F">
            <w:pPr>
              <w:ind w:firstLine="0" w:firstLineChars="0"/>
              <w:jc w:val="center"/>
              <w:rPr>
                <w:rFonts w:ascii="宋体" w:hAnsi="宋体" w:eastAsia="宋体" w:cs="宋体"/>
                <w:b/>
                <w:bCs/>
                <w:highlight w:val="none"/>
              </w:rPr>
            </w:pPr>
            <w:r>
              <w:rPr>
                <w:rFonts w:hint="eastAsia" w:ascii="宋体" w:hAnsi="宋体" w:eastAsia="宋体" w:cs="宋体"/>
                <w:b/>
                <w:bCs/>
                <w:highlight w:val="none"/>
              </w:rPr>
              <w:t>项目名称</w:t>
            </w:r>
          </w:p>
        </w:tc>
        <w:tc>
          <w:tcPr>
            <w:tcW w:w="5198" w:type="dxa"/>
            <w:tcBorders>
              <w:top w:val="single" w:color="auto" w:sz="4" w:space="0"/>
              <w:left w:val="single" w:color="auto" w:sz="4" w:space="0"/>
              <w:bottom w:val="single" w:color="auto" w:sz="4" w:space="0"/>
              <w:right w:val="single" w:color="auto" w:sz="4" w:space="0"/>
            </w:tcBorders>
            <w:vAlign w:val="center"/>
          </w:tcPr>
          <w:p w14:paraId="18D33F31">
            <w:pPr>
              <w:ind w:firstLine="0" w:firstLineChars="0"/>
              <w:jc w:val="center"/>
              <w:rPr>
                <w:rFonts w:ascii="宋体" w:hAnsi="宋体" w:eastAsia="宋体" w:cs="宋体"/>
                <w:b/>
                <w:bCs/>
                <w:highlight w:val="none"/>
              </w:rPr>
            </w:pPr>
            <w:r>
              <w:rPr>
                <w:rFonts w:hint="eastAsia" w:ascii="宋体" w:hAnsi="宋体" w:eastAsia="宋体" w:cs="宋体"/>
                <w:b/>
                <w:bCs/>
                <w:highlight w:val="none"/>
              </w:rPr>
              <w:t>招标人要求</w:t>
            </w:r>
          </w:p>
        </w:tc>
      </w:tr>
      <w:tr w14:paraId="097881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36" w:type="dxa"/>
            <w:tcBorders>
              <w:top w:val="single" w:color="auto" w:sz="4" w:space="0"/>
              <w:left w:val="single" w:color="auto" w:sz="4" w:space="0"/>
              <w:bottom w:val="single" w:color="auto" w:sz="4" w:space="0"/>
              <w:right w:val="single" w:color="auto" w:sz="4" w:space="0"/>
            </w:tcBorders>
            <w:vAlign w:val="center"/>
          </w:tcPr>
          <w:p w14:paraId="63C1F907">
            <w:pPr>
              <w:ind w:firstLine="0" w:firstLineChars="0"/>
              <w:jc w:val="center"/>
              <w:rPr>
                <w:rFonts w:ascii="宋体" w:hAnsi="宋体" w:eastAsia="宋体" w:cs="宋体"/>
                <w:b/>
                <w:bCs/>
                <w:highlight w:val="none"/>
              </w:rPr>
            </w:pPr>
            <w:r>
              <w:rPr>
                <w:rFonts w:hint="eastAsia" w:ascii="宋体" w:hAnsi="宋体" w:eastAsia="宋体" w:cs="宋体"/>
                <w:b/>
                <w:bCs/>
                <w:highlight w:val="none"/>
              </w:rPr>
              <w:t>1</w:t>
            </w:r>
          </w:p>
        </w:tc>
        <w:tc>
          <w:tcPr>
            <w:tcW w:w="1660" w:type="dxa"/>
            <w:tcBorders>
              <w:top w:val="single" w:color="auto" w:sz="4" w:space="0"/>
              <w:left w:val="single" w:color="auto" w:sz="4" w:space="0"/>
              <w:bottom w:val="single" w:color="auto" w:sz="4" w:space="0"/>
              <w:right w:val="single" w:color="auto" w:sz="4" w:space="0"/>
            </w:tcBorders>
            <w:vAlign w:val="center"/>
          </w:tcPr>
          <w:p w14:paraId="237B5EFB">
            <w:pPr>
              <w:ind w:firstLine="0" w:firstLineChars="0"/>
              <w:jc w:val="center"/>
              <w:rPr>
                <w:rFonts w:ascii="宋体" w:hAnsi="宋体" w:eastAsia="宋体" w:cs="宋体"/>
                <w:highlight w:val="none"/>
              </w:rPr>
            </w:pPr>
            <w:r>
              <w:rPr>
                <w:rFonts w:hint="eastAsia" w:ascii="宋体" w:hAnsi="宋体" w:eastAsia="宋体" w:cs="宋体"/>
                <w:highlight w:val="none"/>
              </w:rPr>
              <w:t>中标价</w:t>
            </w:r>
          </w:p>
        </w:tc>
        <w:tc>
          <w:tcPr>
            <w:tcW w:w="5198" w:type="dxa"/>
            <w:tcBorders>
              <w:top w:val="single" w:color="auto" w:sz="4" w:space="0"/>
              <w:left w:val="single" w:color="auto" w:sz="4" w:space="0"/>
              <w:bottom w:val="single" w:color="auto" w:sz="4" w:space="0"/>
              <w:right w:val="single" w:color="auto" w:sz="4" w:space="0"/>
            </w:tcBorders>
            <w:vAlign w:val="center"/>
          </w:tcPr>
          <w:p w14:paraId="4EF78A11">
            <w:pPr>
              <w:ind w:firstLine="0" w:firstLineChars="0"/>
              <w:rPr>
                <w:rFonts w:ascii="宋体" w:hAnsi="宋体" w:eastAsia="宋体" w:cs="宋体"/>
                <w:highlight w:val="none"/>
              </w:rPr>
            </w:pPr>
            <w:r>
              <w:rPr>
                <w:rFonts w:hint="eastAsia" w:ascii="宋体" w:hAnsi="宋体" w:eastAsia="宋体" w:cs="宋体"/>
                <w:highlight w:val="none"/>
              </w:rPr>
              <w:t>人民币</w:t>
            </w:r>
          </w:p>
        </w:tc>
      </w:tr>
      <w:tr w14:paraId="5AE2D5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36" w:type="dxa"/>
            <w:tcBorders>
              <w:top w:val="single" w:color="auto" w:sz="4" w:space="0"/>
              <w:left w:val="single" w:color="auto" w:sz="4" w:space="0"/>
              <w:bottom w:val="single" w:color="auto" w:sz="4" w:space="0"/>
              <w:right w:val="single" w:color="auto" w:sz="4" w:space="0"/>
            </w:tcBorders>
            <w:vAlign w:val="center"/>
          </w:tcPr>
          <w:p w14:paraId="6F0F9E3F">
            <w:pPr>
              <w:ind w:firstLine="0" w:firstLineChars="0"/>
              <w:jc w:val="center"/>
              <w:rPr>
                <w:rFonts w:ascii="宋体" w:hAnsi="宋体" w:eastAsia="宋体" w:cs="宋体"/>
                <w:b/>
                <w:bCs/>
                <w:highlight w:val="none"/>
              </w:rPr>
            </w:pPr>
            <w:r>
              <w:rPr>
                <w:rFonts w:hint="eastAsia" w:ascii="宋体" w:hAnsi="宋体" w:eastAsia="宋体" w:cs="宋体"/>
                <w:b/>
                <w:bCs/>
                <w:highlight w:val="none"/>
              </w:rPr>
              <w:t>2</w:t>
            </w:r>
          </w:p>
        </w:tc>
        <w:tc>
          <w:tcPr>
            <w:tcW w:w="1660" w:type="dxa"/>
            <w:tcBorders>
              <w:top w:val="single" w:color="auto" w:sz="4" w:space="0"/>
              <w:left w:val="single" w:color="auto" w:sz="4" w:space="0"/>
              <w:bottom w:val="single" w:color="auto" w:sz="4" w:space="0"/>
              <w:right w:val="single" w:color="auto" w:sz="4" w:space="0"/>
            </w:tcBorders>
            <w:vAlign w:val="center"/>
          </w:tcPr>
          <w:p w14:paraId="4536B96B">
            <w:pPr>
              <w:ind w:firstLine="0" w:firstLineChars="0"/>
              <w:jc w:val="center"/>
              <w:rPr>
                <w:rFonts w:ascii="宋体" w:hAnsi="宋体" w:eastAsia="宋体" w:cs="宋体"/>
                <w:highlight w:val="none"/>
              </w:rPr>
            </w:pPr>
            <w:r>
              <w:rPr>
                <w:rFonts w:hint="eastAsia" w:ascii="宋体" w:hAnsi="宋体" w:eastAsia="宋体" w:cs="宋体"/>
                <w:highlight w:val="none"/>
              </w:rPr>
              <w:t>预算金额</w:t>
            </w:r>
          </w:p>
        </w:tc>
        <w:tc>
          <w:tcPr>
            <w:tcW w:w="5198" w:type="dxa"/>
            <w:tcBorders>
              <w:top w:val="single" w:color="auto" w:sz="4" w:space="0"/>
              <w:left w:val="single" w:color="auto" w:sz="4" w:space="0"/>
              <w:bottom w:val="single" w:color="auto" w:sz="4" w:space="0"/>
              <w:right w:val="single" w:color="auto" w:sz="4" w:space="0"/>
            </w:tcBorders>
            <w:vAlign w:val="center"/>
          </w:tcPr>
          <w:p w14:paraId="5F741250">
            <w:pPr>
              <w:numPr>
                <w:ilvl w:val="0"/>
                <w:numId w:val="2"/>
              </w:numPr>
              <w:ind w:left="0" w:firstLine="0" w:firstLineChars="0"/>
              <w:rPr>
                <w:rFonts w:ascii="宋体" w:hAnsi="宋体" w:eastAsia="宋体" w:cs="宋体"/>
                <w:highlight w:val="none"/>
              </w:rPr>
            </w:pPr>
            <w:r>
              <w:rPr>
                <w:rFonts w:hint="eastAsia" w:ascii="宋体" w:hAnsi="宋体" w:eastAsia="宋体" w:cs="宋体"/>
                <w:highlight w:val="none"/>
              </w:rPr>
              <w:t>光学镜片加工预算金额36.4万元；</w:t>
            </w:r>
          </w:p>
          <w:p w14:paraId="02EF7C1B">
            <w:pPr>
              <w:numPr>
                <w:ilvl w:val="0"/>
                <w:numId w:val="2"/>
              </w:numPr>
              <w:ind w:left="0" w:firstLine="0" w:firstLineChars="0"/>
              <w:rPr>
                <w:rFonts w:ascii="宋体" w:hAnsi="宋体" w:eastAsia="宋体" w:cs="宋体"/>
                <w:highlight w:val="none"/>
              </w:rPr>
            </w:pPr>
            <w:r>
              <w:rPr>
                <w:rFonts w:hint="eastAsia" w:ascii="宋体" w:hAnsi="宋体" w:eastAsia="宋体" w:cs="宋体"/>
                <w:highlight w:val="none"/>
              </w:rPr>
              <w:t>镜片镀膜预算金额60万元；</w:t>
            </w:r>
          </w:p>
          <w:p w14:paraId="3878C0A5">
            <w:pPr>
              <w:numPr>
                <w:ilvl w:val="0"/>
                <w:numId w:val="2"/>
              </w:numPr>
              <w:ind w:left="0" w:firstLine="0" w:firstLineChars="0"/>
              <w:rPr>
                <w:rFonts w:ascii="宋体" w:hAnsi="宋体" w:eastAsia="宋体" w:cs="宋体"/>
                <w:highlight w:val="none"/>
              </w:rPr>
            </w:pPr>
            <w:r>
              <w:rPr>
                <w:rFonts w:hint="eastAsia" w:ascii="宋体" w:hAnsi="宋体" w:eastAsia="宋体" w:cs="宋体"/>
                <w:highlight w:val="none"/>
              </w:rPr>
              <w:t>机械结构加工预算金额28.8万元；</w:t>
            </w:r>
          </w:p>
          <w:p w14:paraId="0B835390">
            <w:pPr>
              <w:numPr>
                <w:ilvl w:val="0"/>
                <w:numId w:val="2"/>
              </w:numPr>
              <w:ind w:left="0" w:firstLine="0" w:firstLineChars="0"/>
              <w:rPr>
                <w:rFonts w:ascii="宋体" w:hAnsi="宋体" w:eastAsia="宋体" w:cs="宋体"/>
                <w:highlight w:val="none"/>
              </w:rPr>
            </w:pPr>
            <w:r>
              <w:rPr>
                <w:rFonts w:hint="eastAsia" w:ascii="宋体" w:hAnsi="宋体" w:eastAsia="宋体" w:cs="宋体"/>
                <w:highlight w:val="none"/>
              </w:rPr>
              <w:t>噪声环境实验测试预算金额13.5万元；</w:t>
            </w:r>
          </w:p>
          <w:p w14:paraId="482968B8">
            <w:pPr>
              <w:numPr>
                <w:ilvl w:val="0"/>
                <w:numId w:val="2"/>
              </w:numPr>
              <w:ind w:left="0" w:firstLine="0" w:firstLineChars="0"/>
              <w:rPr>
                <w:rFonts w:ascii="宋体" w:hAnsi="宋体" w:eastAsia="宋体" w:cs="宋体"/>
                <w:highlight w:val="none"/>
              </w:rPr>
            </w:pPr>
            <w:r>
              <w:rPr>
                <w:rFonts w:hint="eastAsia" w:ascii="宋体" w:hAnsi="宋体" w:eastAsia="宋体" w:cs="宋体"/>
                <w:highlight w:val="none"/>
              </w:rPr>
              <w:t>温湿振高环境实验测试预算金额30万元；</w:t>
            </w:r>
          </w:p>
          <w:p w14:paraId="77A33787">
            <w:pPr>
              <w:numPr>
                <w:ilvl w:val="0"/>
                <w:numId w:val="2"/>
              </w:numPr>
              <w:ind w:left="0" w:firstLine="0" w:firstLineChars="0"/>
              <w:rPr>
                <w:rFonts w:ascii="宋体" w:hAnsi="宋体" w:eastAsia="宋体" w:cs="宋体"/>
                <w:highlight w:val="none"/>
              </w:rPr>
            </w:pPr>
            <w:r>
              <w:rPr>
                <w:rFonts w:hint="eastAsia" w:ascii="宋体" w:hAnsi="宋体" w:eastAsia="宋体" w:cs="宋体"/>
                <w:highlight w:val="none"/>
              </w:rPr>
              <w:t>多轴振动环境实验测试预算金额10.8万元；</w:t>
            </w:r>
          </w:p>
          <w:p w14:paraId="4B962A55">
            <w:pPr>
              <w:numPr>
                <w:ilvl w:val="0"/>
                <w:numId w:val="2"/>
              </w:numPr>
              <w:ind w:left="0" w:firstLine="0" w:firstLineChars="0"/>
              <w:rPr>
                <w:rFonts w:ascii="宋体" w:hAnsi="宋体" w:eastAsia="宋体" w:cs="宋体"/>
                <w:highlight w:val="none"/>
              </w:rPr>
            </w:pPr>
            <w:r>
              <w:rPr>
                <w:rFonts w:hint="eastAsia" w:ascii="宋体" w:hAnsi="宋体" w:eastAsia="宋体" w:cs="宋体"/>
                <w:highlight w:val="none"/>
              </w:rPr>
              <w:t>摆动-抖动环境实验测试预算金额10.8万元。</w:t>
            </w:r>
          </w:p>
        </w:tc>
      </w:tr>
      <w:tr w14:paraId="0D90E3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36" w:type="dxa"/>
            <w:tcBorders>
              <w:top w:val="single" w:color="auto" w:sz="4" w:space="0"/>
              <w:left w:val="single" w:color="auto" w:sz="4" w:space="0"/>
              <w:bottom w:val="single" w:color="auto" w:sz="4" w:space="0"/>
              <w:right w:val="single" w:color="auto" w:sz="4" w:space="0"/>
            </w:tcBorders>
            <w:vAlign w:val="center"/>
          </w:tcPr>
          <w:p w14:paraId="4B16E2B9">
            <w:pPr>
              <w:ind w:firstLine="0" w:firstLineChars="0"/>
              <w:jc w:val="center"/>
              <w:rPr>
                <w:rFonts w:ascii="宋体" w:hAnsi="宋体" w:eastAsia="宋体" w:cs="宋体"/>
                <w:b/>
                <w:bCs/>
                <w:highlight w:val="none"/>
              </w:rPr>
            </w:pPr>
            <w:r>
              <w:rPr>
                <w:rFonts w:hint="eastAsia" w:ascii="宋体" w:hAnsi="宋体" w:eastAsia="宋体" w:cs="宋体"/>
                <w:b/>
                <w:bCs/>
                <w:highlight w:val="none"/>
              </w:rPr>
              <w:t>3</w:t>
            </w:r>
          </w:p>
        </w:tc>
        <w:tc>
          <w:tcPr>
            <w:tcW w:w="1660" w:type="dxa"/>
            <w:tcBorders>
              <w:top w:val="single" w:color="auto" w:sz="4" w:space="0"/>
              <w:left w:val="single" w:color="auto" w:sz="4" w:space="0"/>
              <w:bottom w:val="single" w:color="auto" w:sz="4" w:space="0"/>
              <w:right w:val="single" w:color="auto" w:sz="4" w:space="0"/>
            </w:tcBorders>
            <w:vAlign w:val="center"/>
          </w:tcPr>
          <w:p w14:paraId="4804B297">
            <w:pPr>
              <w:ind w:firstLine="0" w:firstLineChars="0"/>
              <w:jc w:val="center"/>
              <w:rPr>
                <w:rFonts w:ascii="宋体" w:hAnsi="宋体" w:eastAsia="宋体" w:cs="宋体"/>
                <w:highlight w:val="none"/>
              </w:rPr>
            </w:pPr>
            <w:r>
              <w:rPr>
                <w:rFonts w:hint="eastAsia" w:ascii="宋体" w:hAnsi="宋体" w:eastAsia="宋体" w:cs="宋体"/>
                <w:highlight w:val="none"/>
              </w:rPr>
              <w:t>交货时间</w:t>
            </w:r>
          </w:p>
        </w:tc>
        <w:tc>
          <w:tcPr>
            <w:tcW w:w="5198" w:type="dxa"/>
            <w:tcBorders>
              <w:top w:val="single" w:color="auto" w:sz="4" w:space="0"/>
              <w:left w:val="single" w:color="auto" w:sz="4" w:space="0"/>
              <w:bottom w:val="single" w:color="auto" w:sz="4" w:space="0"/>
              <w:right w:val="single" w:color="auto" w:sz="4" w:space="0"/>
            </w:tcBorders>
            <w:vAlign w:val="center"/>
          </w:tcPr>
          <w:p w14:paraId="77442D75">
            <w:pPr>
              <w:ind w:firstLine="0" w:firstLineChars="0"/>
              <w:rPr>
                <w:rFonts w:ascii="宋体" w:hAnsi="宋体" w:eastAsia="宋体" w:cs="宋体"/>
                <w:highlight w:val="none"/>
              </w:rPr>
            </w:pPr>
            <w:r>
              <w:rPr>
                <w:rFonts w:hint="eastAsia" w:ascii="宋体" w:hAnsi="宋体" w:eastAsia="宋体" w:cs="宋体"/>
                <w:highlight w:val="none"/>
              </w:rPr>
              <w:t>合同签订后45天内完成全部工作并出具测试报告。</w:t>
            </w:r>
          </w:p>
        </w:tc>
      </w:tr>
      <w:tr w14:paraId="0F698A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36" w:type="dxa"/>
            <w:tcBorders>
              <w:top w:val="single" w:color="auto" w:sz="4" w:space="0"/>
              <w:left w:val="single" w:color="auto" w:sz="4" w:space="0"/>
              <w:bottom w:val="single" w:color="auto" w:sz="4" w:space="0"/>
              <w:right w:val="single" w:color="auto" w:sz="4" w:space="0"/>
            </w:tcBorders>
            <w:vAlign w:val="center"/>
          </w:tcPr>
          <w:p w14:paraId="0A692BEB">
            <w:pPr>
              <w:ind w:firstLine="0" w:firstLineChars="0"/>
              <w:jc w:val="center"/>
              <w:rPr>
                <w:rFonts w:ascii="宋体" w:hAnsi="宋体" w:eastAsia="宋体" w:cs="宋体"/>
                <w:b/>
                <w:bCs/>
                <w:highlight w:val="none"/>
              </w:rPr>
            </w:pPr>
            <w:r>
              <w:rPr>
                <w:rFonts w:hint="eastAsia" w:ascii="宋体" w:hAnsi="宋体" w:eastAsia="宋体" w:cs="宋体"/>
                <w:b/>
                <w:bCs/>
                <w:highlight w:val="none"/>
              </w:rPr>
              <w:t>4</w:t>
            </w:r>
          </w:p>
        </w:tc>
        <w:tc>
          <w:tcPr>
            <w:tcW w:w="1660" w:type="dxa"/>
            <w:tcBorders>
              <w:top w:val="single" w:color="auto" w:sz="4" w:space="0"/>
              <w:left w:val="single" w:color="auto" w:sz="4" w:space="0"/>
              <w:bottom w:val="single" w:color="auto" w:sz="4" w:space="0"/>
              <w:right w:val="single" w:color="auto" w:sz="4" w:space="0"/>
            </w:tcBorders>
            <w:vAlign w:val="center"/>
          </w:tcPr>
          <w:p w14:paraId="7FC68AAB">
            <w:pPr>
              <w:ind w:firstLine="0" w:firstLineChars="0"/>
              <w:jc w:val="center"/>
              <w:rPr>
                <w:rFonts w:ascii="宋体" w:hAnsi="宋体" w:eastAsia="宋体" w:cs="宋体"/>
                <w:highlight w:val="none"/>
              </w:rPr>
            </w:pPr>
            <w:r>
              <w:rPr>
                <w:rFonts w:hint="eastAsia" w:ascii="宋体" w:hAnsi="宋体" w:eastAsia="宋体" w:cs="宋体"/>
                <w:highlight w:val="none"/>
              </w:rPr>
              <w:t>付款方式</w:t>
            </w:r>
          </w:p>
        </w:tc>
        <w:tc>
          <w:tcPr>
            <w:tcW w:w="5198" w:type="dxa"/>
            <w:tcBorders>
              <w:top w:val="single" w:color="auto" w:sz="4" w:space="0"/>
              <w:left w:val="single" w:color="auto" w:sz="4" w:space="0"/>
              <w:bottom w:val="single" w:color="auto" w:sz="4" w:space="0"/>
              <w:right w:val="single" w:color="auto" w:sz="4" w:space="0"/>
            </w:tcBorders>
            <w:vAlign w:val="center"/>
          </w:tcPr>
          <w:p w14:paraId="7EC2BA14">
            <w:pPr>
              <w:ind w:firstLine="0" w:firstLineChars="0"/>
              <w:rPr>
                <w:rFonts w:ascii="宋体" w:hAnsi="宋体" w:eastAsia="宋体" w:cs="宋体"/>
                <w:highlight w:val="none"/>
              </w:rPr>
            </w:pPr>
            <w:r>
              <w:rPr>
                <w:rFonts w:hint="eastAsia" w:ascii="宋体" w:hAnsi="宋体" w:eastAsia="宋体" w:cs="宋体"/>
                <w:highlight w:val="none"/>
              </w:rPr>
              <w:t>合同签订后，一周内提供详细的加工、镀膜及测试方案，方案经采购人评估通过后支付合同金额60%；项目通过验收后支付合同金额30%；质保期满后支付合同金额10%。</w:t>
            </w:r>
          </w:p>
        </w:tc>
      </w:tr>
      <w:tr w14:paraId="512070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36" w:type="dxa"/>
            <w:tcBorders>
              <w:top w:val="single" w:color="auto" w:sz="4" w:space="0"/>
              <w:left w:val="single" w:color="auto" w:sz="4" w:space="0"/>
              <w:bottom w:val="single" w:color="auto" w:sz="4" w:space="0"/>
              <w:right w:val="single" w:color="auto" w:sz="4" w:space="0"/>
            </w:tcBorders>
            <w:vAlign w:val="center"/>
          </w:tcPr>
          <w:p w14:paraId="5EE4C703">
            <w:pPr>
              <w:ind w:firstLine="0" w:firstLineChars="0"/>
              <w:jc w:val="center"/>
              <w:rPr>
                <w:rFonts w:ascii="宋体" w:hAnsi="宋体" w:eastAsia="宋体" w:cs="宋体"/>
                <w:b/>
                <w:bCs/>
                <w:highlight w:val="none"/>
              </w:rPr>
            </w:pPr>
            <w:r>
              <w:rPr>
                <w:rFonts w:hint="eastAsia" w:ascii="宋体" w:hAnsi="宋体" w:eastAsia="宋体" w:cs="宋体"/>
                <w:b/>
                <w:bCs/>
                <w:highlight w:val="none"/>
              </w:rPr>
              <w:t>5</w:t>
            </w:r>
          </w:p>
        </w:tc>
        <w:tc>
          <w:tcPr>
            <w:tcW w:w="1660" w:type="dxa"/>
            <w:tcBorders>
              <w:top w:val="single" w:color="auto" w:sz="4" w:space="0"/>
              <w:left w:val="single" w:color="auto" w:sz="4" w:space="0"/>
              <w:bottom w:val="single" w:color="auto" w:sz="4" w:space="0"/>
              <w:right w:val="single" w:color="auto" w:sz="4" w:space="0"/>
            </w:tcBorders>
            <w:vAlign w:val="center"/>
          </w:tcPr>
          <w:p w14:paraId="09B3B2AF">
            <w:pPr>
              <w:ind w:firstLine="0" w:firstLineChars="0"/>
              <w:jc w:val="center"/>
              <w:rPr>
                <w:rFonts w:ascii="宋体" w:hAnsi="宋体" w:eastAsia="宋体" w:cs="宋体"/>
                <w:highlight w:val="none"/>
              </w:rPr>
            </w:pPr>
            <w:r>
              <w:rPr>
                <w:rFonts w:hint="eastAsia" w:ascii="宋体" w:hAnsi="宋体" w:eastAsia="宋体" w:cs="宋体"/>
                <w:highlight w:val="none"/>
              </w:rPr>
              <w:t>交付物</w:t>
            </w:r>
          </w:p>
        </w:tc>
        <w:tc>
          <w:tcPr>
            <w:tcW w:w="5198" w:type="dxa"/>
            <w:tcBorders>
              <w:top w:val="single" w:color="auto" w:sz="4" w:space="0"/>
              <w:left w:val="single" w:color="auto" w:sz="4" w:space="0"/>
              <w:bottom w:val="single" w:color="auto" w:sz="4" w:space="0"/>
              <w:right w:val="single" w:color="auto" w:sz="4" w:space="0"/>
            </w:tcBorders>
            <w:vAlign w:val="center"/>
          </w:tcPr>
          <w:p w14:paraId="4DDA88F7">
            <w:pPr>
              <w:tabs>
                <w:tab w:val="left" w:pos="360"/>
              </w:tabs>
              <w:ind w:firstLine="0" w:firstLineChars="0"/>
              <w:rPr>
                <w:rFonts w:ascii="宋体" w:hAnsi="宋体" w:eastAsia="宋体" w:cs="宋体"/>
                <w:highlight w:val="none"/>
              </w:rPr>
            </w:pPr>
            <w:r>
              <w:rPr>
                <w:rFonts w:hint="eastAsia" w:ascii="宋体" w:hAnsi="宋体" w:eastAsia="宋体" w:cs="宋体"/>
                <w:highlight w:val="none"/>
              </w:rPr>
              <w:t>A.加工并镀膜后的光学镜片4批（共7片）（数量以图纸要求数量为准）；</w:t>
            </w:r>
          </w:p>
          <w:p w14:paraId="53C537B5">
            <w:pPr>
              <w:tabs>
                <w:tab w:val="left" w:pos="360"/>
              </w:tabs>
              <w:ind w:firstLine="0" w:firstLineChars="0"/>
              <w:rPr>
                <w:rFonts w:ascii="宋体" w:hAnsi="宋体" w:eastAsia="宋体" w:cs="宋体"/>
                <w:highlight w:val="none"/>
              </w:rPr>
            </w:pPr>
            <w:r>
              <w:rPr>
                <w:rFonts w:hint="eastAsia" w:ascii="宋体" w:hAnsi="宋体" w:eastAsia="宋体" w:cs="宋体"/>
                <w:highlight w:val="none"/>
              </w:rPr>
              <w:t>B.机械机构件4批（数量以图纸要求数量为准）；</w:t>
            </w:r>
          </w:p>
          <w:p w14:paraId="4FF6FBA3">
            <w:pPr>
              <w:tabs>
                <w:tab w:val="left" w:pos="360"/>
              </w:tabs>
              <w:ind w:firstLine="0" w:firstLineChars="0"/>
              <w:rPr>
                <w:rFonts w:ascii="宋体" w:hAnsi="宋体" w:eastAsia="宋体" w:cs="宋体"/>
                <w:highlight w:val="none"/>
              </w:rPr>
            </w:pPr>
            <w:r>
              <w:rPr>
                <w:rFonts w:hint="eastAsia" w:ascii="宋体" w:hAnsi="宋体" w:eastAsia="宋体" w:cs="宋体"/>
                <w:highlight w:val="none"/>
              </w:rPr>
              <w:t>C.《噪声环境实验测试报告》1份、《温湿振高环境实验测试报告》1份、《多轴振动环境实验测试报告》1份、《摆动-抖动环境实验测试报告》1份。</w:t>
            </w:r>
          </w:p>
        </w:tc>
      </w:tr>
      <w:tr w14:paraId="79AF39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36" w:type="dxa"/>
            <w:tcBorders>
              <w:top w:val="single" w:color="auto" w:sz="4" w:space="0"/>
              <w:left w:val="single" w:color="auto" w:sz="4" w:space="0"/>
              <w:bottom w:val="single" w:color="auto" w:sz="4" w:space="0"/>
              <w:right w:val="single" w:color="auto" w:sz="4" w:space="0"/>
            </w:tcBorders>
            <w:vAlign w:val="center"/>
          </w:tcPr>
          <w:p w14:paraId="6491B1F0">
            <w:pPr>
              <w:ind w:firstLine="0" w:firstLineChars="0"/>
              <w:jc w:val="center"/>
              <w:rPr>
                <w:rFonts w:ascii="宋体" w:hAnsi="宋体" w:eastAsia="宋体" w:cs="宋体"/>
                <w:b/>
                <w:bCs/>
                <w:highlight w:val="none"/>
              </w:rPr>
            </w:pPr>
            <w:r>
              <w:rPr>
                <w:rFonts w:hint="eastAsia" w:ascii="宋体" w:hAnsi="宋体" w:eastAsia="宋体" w:cs="宋体"/>
                <w:b/>
                <w:bCs/>
                <w:highlight w:val="none"/>
              </w:rPr>
              <w:t>6</w:t>
            </w:r>
          </w:p>
        </w:tc>
        <w:tc>
          <w:tcPr>
            <w:tcW w:w="1660" w:type="dxa"/>
            <w:tcBorders>
              <w:top w:val="single" w:color="auto" w:sz="4" w:space="0"/>
              <w:left w:val="single" w:color="auto" w:sz="4" w:space="0"/>
              <w:bottom w:val="single" w:color="auto" w:sz="4" w:space="0"/>
              <w:right w:val="single" w:color="auto" w:sz="4" w:space="0"/>
            </w:tcBorders>
            <w:vAlign w:val="center"/>
          </w:tcPr>
          <w:p w14:paraId="446435A1">
            <w:pPr>
              <w:pStyle w:val="11"/>
              <w:widowControl w:val="0"/>
              <w:spacing w:before="0" w:beforeAutospacing="0" w:after="0" w:afterAutospacing="0"/>
              <w:ind w:firstLine="0" w:firstLineChars="0"/>
              <w:rPr>
                <w:rFonts w:eastAsia="宋体"/>
                <w:kern w:val="2"/>
                <w:highlight w:val="none"/>
              </w:rPr>
            </w:pPr>
            <w:r>
              <w:rPr>
                <w:rFonts w:hint="eastAsia" w:eastAsia="宋体"/>
                <w:kern w:val="2"/>
                <w:highlight w:val="none"/>
              </w:rPr>
              <w:t>安装验收</w:t>
            </w:r>
          </w:p>
        </w:tc>
        <w:tc>
          <w:tcPr>
            <w:tcW w:w="5198" w:type="dxa"/>
            <w:tcBorders>
              <w:top w:val="single" w:color="auto" w:sz="4" w:space="0"/>
              <w:left w:val="single" w:color="auto" w:sz="4" w:space="0"/>
              <w:bottom w:val="single" w:color="auto" w:sz="4" w:space="0"/>
              <w:right w:val="single" w:color="auto" w:sz="4" w:space="0"/>
            </w:tcBorders>
          </w:tcPr>
          <w:p w14:paraId="536A3B7A">
            <w:pPr>
              <w:tabs>
                <w:tab w:val="left" w:pos="360"/>
              </w:tabs>
              <w:ind w:firstLine="0" w:firstLineChars="0"/>
              <w:rPr>
                <w:rFonts w:ascii="宋体" w:hAnsi="宋体" w:eastAsia="宋体" w:cs="宋体"/>
                <w:highlight w:val="none"/>
              </w:rPr>
            </w:pPr>
            <w:r>
              <w:rPr>
                <w:rFonts w:hint="eastAsia" w:ascii="宋体" w:hAnsi="宋体" w:eastAsia="宋体" w:cs="宋体"/>
                <w:highlight w:val="none"/>
              </w:rPr>
              <w:t>A．验收由专家组和中标人联合在山东大学进行，验收条件按照合同规定执行。该验收单作为支付中标人货款的依据。</w:t>
            </w:r>
          </w:p>
          <w:p w14:paraId="2D7896EE">
            <w:pPr>
              <w:tabs>
                <w:tab w:val="left" w:pos="360"/>
              </w:tabs>
              <w:ind w:firstLine="0" w:firstLineChars="0"/>
              <w:rPr>
                <w:rFonts w:ascii="宋体" w:hAnsi="宋体" w:eastAsia="宋体" w:cs="宋体"/>
                <w:highlight w:val="none"/>
              </w:rPr>
            </w:pPr>
            <w:r>
              <w:rPr>
                <w:rFonts w:hint="eastAsia" w:ascii="宋体" w:hAnsi="宋体" w:eastAsia="宋体" w:cs="宋体"/>
                <w:highlight w:val="none"/>
              </w:rPr>
              <w:t>B．乙方应提供各种文档资料和中文电子版说明书以及调试仪器所需要的工具。</w:t>
            </w:r>
          </w:p>
          <w:p w14:paraId="526EA4A5">
            <w:pPr>
              <w:tabs>
                <w:tab w:val="left" w:pos="360"/>
              </w:tabs>
              <w:ind w:firstLine="0" w:firstLineChars="0"/>
              <w:rPr>
                <w:rFonts w:hint="eastAsia" w:ascii="宋体" w:hAnsi="宋体" w:eastAsia="宋体" w:cs="宋体"/>
                <w:highlight w:val="none"/>
              </w:rPr>
            </w:pPr>
            <w:r>
              <w:rPr>
                <w:rFonts w:hint="eastAsia" w:ascii="宋体" w:hAnsi="宋体" w:eastAsia="宋体" w:cs="宋体"/>
                <w:highlight w:val="none"/>
              </w:rPr>
              <w:t>C．乙方派专门人员将仪器安装并调试好，达到说明书技术指标的要求。</w:t>
            </w:r>
          </w:p>
        </w:tc>
      </w:tr>
      <w:tr w14:paraId="038AC5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trPr>
        <w:tc>
          <w:tcPr>
            <w:tcW w:w="1336" w:type="dxa"/>
            <w:tcBorders>
              <w:top w:val="single" w:color="auto" w:sz="4" w:space="0"/>
              <w:left w:val="single" w:color="auto" w:sz="4" w:space="0"/>
              <w:bottom w:val="single" w:color="auto" w:sz="4" w:space="0"/>
              <w:right w:val="single" w:color="auto" w:sz="4" w:space="0"/>
            </w:tcBorders>
            <w:vAlign w:val="center"/>
          </w:tcPr>
          <w:p w14:paraId="522B1795">
            <w:pPr>
              <w:ind w:firstLine="0" w:firstLineChars="0"/>
              <w:jc w:val="center"/>
              <w:rPr>
                <w:rFonts w:ascii="宋体" w:hAnsi="宋体" w:eastAsia="宋体" w:cs="宋体"/>
                <w:b/>
                <w:bCs/>
                <w:highlight w:val="none"/>
              </w:rPr>
            </w:pPr>
            <w:r>
              <w:rPr>
                <w:rFonts w:hint="eastAsia" w:ascii="宋体" w:hAnsi="宋体" w:eastAsia="宋体" w:cs="宋体"/>
                <w:b/>
                <w:bCs/>
                <w:highlight w:val="none"/>
              </w:rPr>
              <w:t>7</w:t>
            </w:r>
          </w:p>
        </w:tc>
        <w:tc>
          <w:tcPr>
            <w:tcW w:w="1660" w:type="dxa"/>
            <w:tcBorders>
              <w:top w:val="single" w:color="auto" w:sz="4" w:space="0"/>
              <w:left w:val="single" w:color="auto" w:sz="4" w:space="0"/>
              <w:bottom w:val="single" w:color="auto" w:sz="4" w:space="0"/>
              <w:right w:val="single" w:color="auto" w:sz="4" w:space="0"/>
            </w:tcBorders>
            <w:vAlign w:val="center"/>
          </w:tcPr>
          <w:p w14:paraId="5A3493C2">
            <w:pPr>
              <w:pStyle w:val="11"/>
              <w:widowControl w:val="0"/>
              <w:spacing w:before="0" w:beforeAutospacing="0" w:after="0" w:afterAutospacing="0"/>
              <w:ind w:firstLine="0" w:firstLineChars="0"/>
              <w:rPr>
                <w:rFonts w:eastAsia="宋体"/>
                <w:kern w:val="2"/>
                <w:highlight w:val="none"/>
              </w:rPr>
            </w:pPr>
            <w:r>
              <w:rPr>
                <w:rFonts w:hint="eastAsia" w:eastAsia="宋体"/>
                <w:kern w:val="2"/>
                <w:highlight w:val="none"/>
              </w:rPr>
              <w:t>培训</w:t>
            </w:r>
          </w:p>
        </w:tc>
        <w:tc>
          <w:tcPr>
            <w:tcW w:w="5198" w:type="dxa"/>
            <w:tcBorders>
              <w:top w:val="single" w:color="auto" w:sz="4" w:space="0"/>
              <w:left w:val="single" w:color="auto" w:sz="4" w:space="0"/>
              <w:bottom w:val="single" w:color="auto" w:sz="4" w:space="0"/>
              <w:right w:val="single" w:color="auto" w:sz="4" w:space="0"/>
            </w:tcBorders>
          </w:tcPr>
          <w:p w14:paraId="2E155125">
            <w:pPr>
              <w:tabs>
                <w:tab w:val="left" w:pos="360"/>
              </w:tabs>
              <w:ind w:firstLine="0" w:firstLineChars="0"/>
              <w:rPr>
                <w:rFonts w:ascii="宋体" w:hAnsi="宋体" w:eastAsia="宋体" w:cs="宋体"/>
                <w:highlight w:val="none"/>
              </w:rPr>
            </w:pPr>
            <w:r>
              <w:rPr>
                <w:rFonts w:hint="eastAsia" w:ascii="宋体" w:hAnsi="宋体" w:eastAsia="宋体" w:cs="宋体"/>
                <w:highlight w:val="none"/>
              </w:rPr>
              <w:t>A．乙方应对用户人员进行技术培训。使其能掌握有关设备的使用、维护和管理等工作要求。</w:t>
            </w:r>
          </w:p>
          <w:p w14:paraId="02D6BFDA">
            <w:pPr>
              <w:tabs>
                <w:tab w:val="left" w:pos="360"/>
              </w:tabs>
              <w:ind w:firstLine="0" w:firstLineChars="0"/>
              <w:rPr>
                <w:rFonts w:ascii="宋体" w:hAnsi="宋体" w:eastAsia="宋体" w:cs="宋体"/>
                <w:highlight w:val="none"/>
              </w:rPr>
            </w:pPr>
            <w:r>
              <w:rPr>
                <w:rFonts w:hint="eastAsia" w:ascii="宋体" w:hAnsi="宋体" w:eastAsia="宋体" w:cs="宋体"/>
                <w:highlight w:val="none"/>
              </w:rPr>
              <w:t>B．及时提供相关领域新技术与新信息，终生提供相关实验室技术咨询。（相关费用包含在投标报价中）</w:t>
            </w:r>
          </w:p>
        </w:tc>
      </w:tr>
      <w:tr w14:paraId="096A2F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336" w:type="dxa"/>
            <w:tcBorders>
              <w:top w:val="single" w:color="auto" w:sz="4" w:space="0"/>
              <w:left w:val="single" w:color="auto" w:sz="4" w:space="0"/>
              <w:bottom w:val="single" w:color="auto" w:sz="4" w:space="0"/>
              <w:right w:val="single" w:color="auto" w:sz="4" w:space="0"/>
            </w:tcBorders>
            <w:vAlign w:val="center"/>
          </w:tcPr>
          <w:p w14:paraId="7DCD0E4D">
            <w:pPr>
              <w:ind w:firstLine="0" w:firstLineChars="0"/>
              <w:jc w:val="center"/>
              <w:rPr>
                <w:rFonts w:ascii="宋体" w:hAnsi="宋体" w:eastAsia="宋体" w:cs="宋体"/>
                <w:b/>
                <w:bCs/>
                <w:highlight w:val="none"/>
              </w:rPr>
            </w:pPr>
            <w:r>
              <w:rPr>
                <w:rFonts w:hint="eastAsia" w:ascii="宋体" w:hAnsi="宋体" w:eastAsia="宋体" w:cs="宋体"/>
                <w:b/>
                <w:bCs/>
                <w:highlight w:val="none"/>
              </w:rPr>
              <w:t>8</w:t>
            </w:r>
          </w:p>
        </w:tc>
        <w:tc>
          <w:tcPr>
            <w:tcW w:w="1660" w:type="dxa"/>
            <w:tcBorders>
              <w:top w:val="single" w:color="auto" w:sz="4" w:space="0"/>
              <w:left w:val="single" w:color="auto" w:sz="4" w:space="0"/>
              <w:bottom w:val="single" w:color="auto" w:sz="4" w:space="0"/>
              <w:right w:val="single" w:color="auto" w:sz="4" w:space="0"/>
            </w:tcBorders>
            <w:vAlign w:val="center"/>
          </w:tcPr>
          <w:p w14:paraId="3EAA9C1F">
            <w:pPr>
              <w:ind w:firstLine="0" w:firstLineChars="0"/>
              <w:jc w:val="center"/>
              <w:rPr>
                <w:rFonts w:ascii="宋体" w:hAnsi="宋体" w:eastAsia="宋体" w:cs="宋体"/>
                <w:highlight w:val="none"/>
              </w:rPr>
            </w:pPr>
            <w:r>
              <w:rPr>
                <w:rFonts w:hint="eastAsia" w:ascii="宋体" w:hAnsi="宋体" w:eastAsia="宋体" w:cs="宋体"/>
                <w:highlight w:val="none"/>
              </w:rPr>
              <w:t>机械结构</w:t>
            </w:r>
          </w:p>
          <w:p w14:paraId="32341B11">
            <w:pPr>
              <w:ind w:firstLine="0" w:firstLineChars="0"/>
              <w:jc w:val="center"/>
              <w:rPr>
                <w:rFonts w:ascii="宋体" w:hAnsi="宋体" w:eastAsia="宋体" w:cs="宋体"/>
                <w:highlight w:val="none"/>
              </w:rPr>
            </w:pPr>
            <w:r>
              <w:rPr>
                <w:rFonts w:hint="eastAsia" w:ascii="宋体" w:hAnsi="宋体" w:eastAsia="宋体" w:cs="宋体"/>
                <w:highlight w:val="none"/>
              </w:rPr>
              <w:t>质保与维修</w:t>
            </w:r>
          </w:p>
        </w:tc>
        <w:tc>
          <w:tcPr>
            <w:tcW w:w="5198" w:type="dxa"/>
            <w:tcBorders>
              <w:top w:val="single" w:color="auto" w:sz="4" w:space="0"/>
              <w:left w:val="single" w:color="auto" w:sz="4" w:space="0"/>
              <w:bottom w:val="single" w:color="auto" w:sz="4" w:space="0"/>
              <w:right w:val="single" w:color="auto" w:sz="4" w:space="0"/>
            </w:tcBorders>
          </w:tcPr>
          <w:p w14:paraId="13FF31CC">
            <w:pPr>
              <w:tabs>
                <w:tab w:val="left" w:pos="360"/>
              </w:tabs>
              <w:ind w:firstLine="0" w:firstLineChars="0"/>
              <w:rPr>
                <w:rFonts w:ascii="宋体" w:hAnsi="宋体" w:eastAsia="宋体" w:cs="宋体"/>
                <w:highlight w:val="none"/>
              </w:rPr>
            </w:pPr>
            <w:r>
              <w:rPr>
                <w:rFonts w:hint="eastAsia" w:ascii="宋体" w:hAnsi="宋体" w:eastAsia="宋体" w:cs="宋体"/>
                <w:highlight w:val="none"/>
              </w:rPr>
              <w:t>A．质保期 1 年，质保期内，出现因制造质量及配套产品质量问题等引起的故障，由乙方负责并提供无偿质保和更换。</w:t>
            </w:r>
          </w:p>
          <w:p w14:paraId="402611B0">
            <w:pPr>
              <w:tabs>
                <w:tab w:val="left" w:pos="360"/>
              </w:tabs>
              <w:ind w:firstLine="0" w:firstLineChars="0"/>
              <w:rPr>
                <w:rFonts w:ascii="宋体" w:hAnsi="宋体" w:eastAsia="宋体" w:cs="宋体"/>
                <w:highlight w:val="none"/>
              </w:rPr>
            </w:pPr>
            <w:r>
              <w:rPr>
                <w:rFonts w:hint="eastAsia" w:ascii="宋体" w:hAnsi="宋体" w:eastAsia="宋体" w:cs="宋体"/>
                <w:highlight w:val="none"/>
              </w:rPr>
              <w:t>B．乙方应在验收合格之日起到保修期满前一个月内，进行一次现场全面检查，并写出正式报告。如发现问题应负责解决。（相关费用包含在投标报价中）</w:t>
            </w:r>
          </w:p>
          <w:p w14:paraId="0F8157B8">
            <w:pPr>
              <w:tabs>
                <w:tab w:val="left" w:pos="360"/>
              </w:tabs>
              <w:ind w:firstLine="0" w:firstLineChars="0"/>
              <w:rPr>
                <w:rFonts w:ascii="宋体" w:hAnsi="宋体" w:eastAsia="宋体" w:cs="宋体"/>
                <w:highlight w:val="none"/>
              </w:rPr>
            </w:pPr>
            <w:r>
              <w:rPr>
                <w:rFonts w:hint="eastAsia" w:ascii="宋体" w:hAnsi="宋体" w:eastAsia="宋体" w:cs="宋体"/>
                <w:highlight w:val="none"/>
              </w:rPr>
              <w:t>C．乙方需提供负责售后服务的部门或单位的名称和联系方式，终身维修。</w:t>
            </w:r>
          </w:p>
          <w:p w14:paraId="700EEBF5">
            <w:pPr>
              <w:tabs>
                <w:tab w:val="left" w:pos="360"/>
              </w:tabs>
              <w:ind w:firstLine="0" w:firstLineChars="0"/>
              <w:rPr>
                <w:rFonts w:ascii="宋体" w:hAnsi="宋体" w:eastAsia="宋体" w:cs="宋体"/>
                <w:highlight w:val="none"/>
              </w:rPr>
            </w:pPr>
            <w:r>
              <w:rPr>
                <w:rFonts w:hint="eastAsia" w:ascii="宋体" w:hAnsi="宋体" w:eastAsia="宋体" w:cs="宋体"/>
                <w:highlight w:val="none"/>
              </w:rPr>
              <w:t>D．质保期内，乙方接到用户通知后，必须在 4 小时内响应并给予答复，48 小时内派人到达用户现场，排除和解决系统故障;属乙方责任的质量问题，如乙方不按时响应并提供技术服务，用户有权另行委托其它单位或人员提供技术服务，服务产生的费用乙方应补交。</w:t>
            </w:r>
          </w:p>
          <w:p w14:paraId="077F061A">
            <w:pPr>
              <w:tabs>
                <w:tab w:val="left" w:pos="360"/>
              </w:tabs>
              <w:ind w:firstLine="0" w:firstLineChars="0"/>
              <w:rPr>
                <w:rFonts w:ascii="宋体" w:hAnsi="宋体" w:eastAsia="宋体" w:cs="宋体"/>
                <w:highlight w:val="none"/>
              </w:rPr>
            </w:pPr>
            <w:r>
              <w:rPr>
                <w:rFonts w:hint="eastAsia" w:ascii="宋体" w:hAnsi="宋体" w:eastAsia="宋体" w:cs="宋体"/>
                <w:highlight w:val="none"/>
              </w:rPr>
              <w:t>E．质保期满后，当用户要求乙方提供技术服务时，乙方在接到用户通知后 24 小时内响应，72 小时内指派人员到达现场，和用户方人员共同排除和解决系统故障，提供有偿保修，仅收成本费。技术服务产生费用由用户支付。</w:t>
            </w:r>
          </w:p>
          <w:p w14:paraId="2F19BCBB">
            <w:pPr>
              <w:tabs>
                <w:tab w:val="left" w:pos="360"/>
              </w:tabs>
              <w:ind w:firstLine="0" w:firstLineChars="0"/>
              <w:rPr>
                <w:rFonts w:ascii="宋体" w:hAnsi="宋体" w:eastAsia="宋体" w:cs="宋体"/>
                <w:highlight w:val="none"/>
              </w:rPr>
            </w:pPr>
            <w:r>
              <w:rPr>
                <w:rFonts w:hint="eastAsia" w:ascii="宋体" w:hAnsi="宋体" w:eastAsia="宋体" w:cs="宋体"/>
                <w:highlight w:val="none"/>
              </w:rPr>
              <w:t>F．乙方必须列明保修期后的各项收费标准，需购买的附件和零配件的价格应按主机合同的折扣率给予优惠。</w:t>
            </w:r>
          </w:p>
        </w:tc>
      </w:tr>
    </w:tbl>
    <w:p w14:paraId="382FF541">
      <w:pPr>
        <w:tabs>
          <w:tab w:val="left" w:pos="4320"/>
        </w:tabs>
        <w:ind w:firstLine="0" w:firstLineChars="0"/>
        <w:rPr>
          <w:rFonts w:ascii="宋体" w:hAnsi="宋体" w:eastAsia="宋体" w:cs="宋体"/>
          <w:b/>
          <w:color w:val="000000"/>
          <w:highlight w:val="none"/>
        </w:rPr>
      </w:pPr>
    </w:p>
    <w:p w14:paraId="29BE39F4">
      <w:pPr>
        <w:rPr>
          <w:highlight w:val="none"/>
        </w:rPr>
      </w:pPr>
      <w:bookmarkStart w:id="10" w:name="_GoBack"/>
      <w:bookmarkEnd w:id="1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EAF33">
    <w:pPr>
      <w:pStyle w:val="5"/>
      <w:framePr w:wrap="around" w:vAnchor="text" w:hAnchor="margin" w:xAlign="center" w:y="1"/>
      <w:ind w:firstLine="360"/>
      <w:rPr>
        <w:rStyle w:val="9"/>
      </w:rPr>
    </w:pPr>
    <w:r>
      <w:rPr>
        <w:rStyle w:val="9"/>
      </w:rPr>
      <w:fldChar w:fldCharType="begin"/>
    </w:r>
    <w:r>
      <w:rPr>
        <w:rStyle w:val="9"/>
      </w:rPr>
      <w:instrText xml:space="preserve">PAGE  </w:instrText>
    </w:r>
    <w:r>
      <w:rPr>
        <w:rStyle w:val="9"/>
      </w:rPr>
      <w:fldChar w:fldCharType="separate"/>
    </w:r>
    <w:r>
      <w:rPr>
        <w:rStyle w:val="9"/>
      </w:rPr>
      <w:t>3</w:t>
    </w:r>
    <w:r>
      <w:rPr>
        <w:rStyle w:val="9"/>
      </w:rPr>
      <w:fldChar w:fldCharType="end"/>
    </w:r>
  </w:p>
  <w:p w14:paraId="45243482">
    <w:pPr>
      <w:pStyle w:val="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28D18">
    <w:pPr>
      <w:pStyle w:val="5"/>
      <w:framePr w:wrap="around" w:vAnchor="text" w:hAnchor="margin" w:xAlign="center" w:y="1"/>
      <w:ind w:firstLine="360"/>
      <w:rPr>
        <w:rStyle w:val="9"/>
      </w:rPr>
    </w:pPr>
    <w:r>
      <w:rPr>
        <w:rStyle w:val="9"/>
      </w:rPr>
      <w:fldChar w:fldCharType="begin"/>
    </w:r>
    <w:r>
      <w:rPr>
        <w:rStyle w:val="9"/>
      </w:rPr>
      <w:instrText xml:space="preserve">PAGE  </w:instrText>
    </w:r>
    <w:r>
      <w:rPr>
        <w:rStyle w:val="9"/>
      </w:rPr>
      <w:fldChar w:fldCharType="separate"/>
    </w:r>
    <w:r>
      <w:rPr>
        <w:rStyle w:val="9"/>
      </w:rPr>
      <w:t>1</w:t>
    </w:r>
    <w:r>
      <w:rPr>
        <w:rStyle w:val="9"/>
      </w:rPr>
      <w:fldChar w:fldCharType="end"/>
    </w:r>
  </w:p>
  <w:p w14:paraId="75CB9C7F">
    <w:pPr>
      <w:pStyle w:val="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DDE7F">
    <w:pPr>
      <w:pStyle w:val="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E4F39">
    <w:pPr>
      <w:pStyle w:val="6"/>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ECBCB">
    <w:pPr>
      <w:pStyle w:val="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A9467">
    <w:pPr>
      <w:pStyle w:val="6"/>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2C45C2"/>
    <w:multiLevelType w:val="singleLevel"/>
    <w:tmpl w:val="082C45C2"/>
    <w:lvl w:ilvl="0" w:tentative="0">
      <w:start w:val="2"/>
      <w:numFmt w:val="chineseCounting"/>
      <w:suff w:val="nothing"/>
      <w:lvlText w:val="%1、"/>
      <w:lvlJc w:val="left"/>
      <w:rPr>
        <w:rFonts w:hint="eastAsia"/>
      </w:rPr>
    </w:lvl>
  </w:abstractNum>
  <w:abstractNum w:abstractNumId="1">
    <w:nsid w:val="67D06E5E"/>
    <w:multiLevelType w:val="multilevel"/>
    <w:tmpl w:val="67D06E5E"/>
    <w:lvl w:ilvl="0" w:tentative="0">
      <w:start w:val="1"/>
      <w:numFmt w:val="upperLetter"/>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E3855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60" w:lineRule="auto"/>
      <w:ind w:firstLine="200" w:firstLineChars="200"/>
    </w:pPr>
    <w:rPr>
      <w:rFonts w:ascii="Times New Roman" w:hAnsi="Times New Roman" w:eastAsia="仿宋" w:cs="Times New Roman"/>
      <w:kern w:val="2"/>
      <w:sz w:val="24"/>
      <w:szCs w:val="24"/>
      <w:lang w:val="en-US" w:eastAsia="zh-CN" w:bidi="ar-SA"/>
    </w:rPr>
  </w:style>
  <w:style w:type="paragraph" w:styleId="3">
    <w:name w:val="heading 2"/>
    <w:basedOn w:val="1"/>
    <w:next w:val="1"/>
    <w:qFormat/>
    <w:uiPriority w:val="0"/>
    <w:pPr>
      <w:keepNext/>
      <w:keepLines/>
      <w:ind w:firstLine="0" w:firstLineChars="0"/>
      <w:outlineLvl w:val="1"/>
    </w:pPr>
    <w:rPr>
      <w:rFonts w:ascii="Arial" w:hAnsi="Arial"/>
      <w:b/>
      <w:bCs/>
      <w:kern w:val="0"/>
      <w:szCs w:val="32"/>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正式文本"/>
    <w:basedOn w:val="1"/>
    <w:qFormat/>
    <w:uiPriority w:val="0"/>
    <w:pPr>
      <w:spacing w:line="540" w:lineRule="exact"/>
    </w:pPr>
    <w:rPr>
      <w:rFonts w:ascii="宋体" w:hAnsi="Arial Narrow"/>
      <w:sz w:val="28"/>
    </w:rPr>
  </w:style>
  <w:style w:type="paragraph" w:styleId="4">
    <w:name w:val="Body Text"/>
    <w:basedOn w:val="1"/>
    <w:qFormat/>
    <w:uiPriority w:val="1"/>
    <w:pPr>
      <w:spacing w:after="120"/>
    </w:pPr>
    <w:rPr>
      <w:kern w:val="0"/>
      <w:sz w:val="20"/>
    </w:rPr>
  </w:style>
  <w:style w:type="paragraph" w:styleId="5">
    <w:name w:val="footer"/>
    <w:basedOn w:val="1"/>
    <w:qFormat/>
    <w:uiPriority w:val="99"/>
    <w:pPr>
      <w:tabs>
        <w:tab w:val="center" w:pos="4153"/>
        <w:tab w:val="right" w:pos="8306"/>
      </w:tabs>
    </w:pPr>
    <w:rPr>
      <w:kern w:val="0"/>
      <w:sz w:val="18"/>
      <w:szCs w:val="18"/>
    </w:rPr>
  </w:style>
  <w:style w:type="paragraph" w:styleId="6">
    <w:name w:val="header"/>
    <w:basedOn w:val="1"/>
    <w:qFormat/>
    <w:uiPriority w:val="99"/>
    <w:pPr>
      <w:pBdr>
        <w:bottom w:val="single" w:color="auto" w:sz="6" w:space="1"/>
      </w:pBdr>
      <w:tabs>
        <w:tab w:val="center" w:pos="4153"/>
        <w:tab w:val="right" w:pos="8306"/>
      </w:tabs>
      <w:jc w:val="center"/>
    </w:pPr>
    <w:rPr>
      <w:kern w:val="0"/>
      <w:sz w:val="18"/>
      <w:szCs w:val="18"/>
    </w:rPr>
  </w:style>
  <w:style w:type="character" w:styleId="9">
    <w:name w:val="page number"/>
    <w:qFormat/>
    <w:uiPriority w:val="0"/>
    <w:rPr>
      <w:rFonts w:cs="Times New Roman"/>
    </w:rPr>
  </w:style>
  <w:style w:type="paragraph" w:customStyle="1" w:styleId="10">
    <w:name w:val="正文1"/>
    <w:basedOn w:val="4"/>
    <w:autoRedefine/>
    <w:qFormat/>
    <w:uiPriority w:val="0"/>
    <w:pPr>
      <w:spacing w:after="0"/>
      <w:ind w:firstLine="482"/>
    </w:pPr>
    <w:rPr>
      <w:rFonts w:ascii="仿宋" w:hAnsi="仿宋"/>
      <w:b/>
      <w:bCs/>
      <w:sz w:val="24"/>
    </w:rPr>
  </w:style>
  <w:style w:type="paragraph" w:customStyle="1" w:styleId="11">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2025-11-23T13:39:23Z</dcterms:created>
  <dc:creator>86158</dc:creator>
  <cp:lastModifiedBy>86158</cp:lastModifiedBy>
  <dcterms:modified xsi:type="dcterms:W3CDTF">2025-11-23T13:39:52Z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eyJoZGlkIjoiOTdkNjk1YzZmMDM2ODg2NTk3MzBhODYzNDIyNTMwMDQiLCJ1c2VySWQiOiI1MDczMjE1MDIifQ==</vt:lpwstr>
  </property>
  <property fmtid="{D5CDD505-2E9C-101B-9397-08002B2CF9AE}" pid="4" name="ICV">
    <vt:lpwstr>359B1CD3864444E18C18E7E8787E8312_12</vt:lpwstr>
  </property>
</Properties>
</file>