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E5329">
      <w:pPr>
        <w:jc w:val="center"/>
        <w:rPr>
          <w:rFonts w:hint="eastAsia" w:ascii="宋体" w:hAnsi="宋体" w:cs="宋体"/>
          <w:b/>
          <w:bCs/>
          <w:sz w:val="32"/>
        </w:rPr>
      </w:pPr>
      <w:r>
        <w:rPr>
          <w:rFonts w:hint="eastAsia" w:ascii="宋体" w:hAnsi="宋体" w:cs="宋体"/>
          <w:b/>
          <w:bCs/>
          <w:sz w:val="32"/>
        </w:rPr>
        <w:t>山东大学采购技术条款响应一览表</w:t>
      </w:r>
    </w:p>
    <w:tbl>
      <w:tblPr>
        <w:tblStyle w:val="1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86"/>
        <w:gridCol w:w="1403"/>
        <w:gridCol w:w="5480"/>
        <w:gridCol w:w="953"/>
      </w:tblGrid>
      <w:tr w14:paraId="14815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64D3CC52">
            <w:pPr>
              <w:jc w:val="center"/>
              <w:rPr>
                <w:rFonts w:hint="eastAsia" w:ascii="宋体" w:hAnsi="宋体" w:cs="宋体"/>
                <w:sz w:val="24"/>
              </w:rPr>
            </w:pPr>
          </w:p>
          <w:p w14:paraId="68527A15">
            <w:pPr>
              <w:jc w:val="center"/>
              <w:rPr>
                <w:rFonts w:hint="eastAsia" w:ascii="宋体" w:hAnsi="宋体" w:cs="宋体"/>
                <w:sz w:val="24"/>
              </w:rPr>
            </w:pPr>
            <w:r>
              <w:rPr>
                <w:rFonts w:hint="eastAsia" w:ascii="宋体" w:hAnsi="宋体" w:cs="宋体"/>
                <w:sz w:val="24"/>
              </w:rPr>
              <w:t>招标要求（用户填写）</w:t>
            </w:r>
          </w:p>
          <w:p w14:paraId="7BFF9FA5">
            <w:pPr>
              <w:jc w:val="center"/>
              <w:rPr>
                <w:rFonts w:hint="eastAsia" w:ascii="宋体" w:hAnsi="宋体" w:cs="宋体"/>
                <w:sz w:val="24"/>
              </w:rPr>
            </w:pPr>
          </w:p>
        </w:tc>
      </w:tr>
      <w:tr w14:paraId="00C528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5443C5CD">
            <w:pPr>
              <w:jc w:val="center"/>
              <w:rPr>
                <w:rFonts w:hint="eastAsia" w:ascii="宋体" w:hAnsi="宋体" w:cs="宋体"/>
              </w:rPr>
            </w:pPr>
            <w:r>
              <w:rPr>
                <w:rFonts w:hint="eastAsia" w:ascii="宋体" w:hAnsi="宋体" w:cs="宋体"/>
              </w:rPr>
              <w:t>序号</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7E6A56B9">
            <w:pPr>
              <w:jc w:val="center"/>
              <w:rPr>
                <w:rFonts w:hint="eastAsia" w:ascii="宋体" w:hAnsi="宋体" w:cs="宋体"/>
              </w:rPr>
            </w:pPr>
            <w:r>
              <w:rPr>
                <w:rFonts w:hint="eastAsia" w:ascii="宋体" w:hAnsi="宋体" w:cs="宋体"/>
              </w:rPr>
              <w:t>名称</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0EF684B0">
            <w:pPr>
              <w:jc w:val="center"/>
              <w:rPr>
                <w:rFonts w:hint="eastAsia" w:ascii="宋体" w:hAnsi="宋体" w:cs="宋体"/>
              </w:rPr>
            </w:pPr>
            <w:r>
              <w:rPr>
                <w:rFonts w:hint="eastAsia" w:ascii="宋体" w:hAnsi="宋体" w:cs="宋体"/>
              </w:rPr>
              <w:t>技术规格指标</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4891C6F7">
            <w:pPr>
              <w:jc w:val="center"/>
              <w:rPr>
                <w:rFonts w:hint="eastAsia" w:ascii="宋体" w:hAnsi="宋体" w:cs="宋体"/>
              </w:rPr>
            </w:pPr>
            <w:r>
              <w:rPr>
                <w:rFonts w:hint="eastAsia" w:ascii="宋体" w:hAnsi="宋体" w:cs="宋体"/>
              </w:rPr>
              <w:t>数量</w:t>
            </w:r>
          </w:p>
        </w:tc>
      </w:tr>
      <w:tr w14:paraId="1E41EA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2F10F190">
            <w:pPr>
              <w:jc w:val="center"/>
              <w:rPr>
                <w:rFonts w:hint="eastAsia" w:ascii="宋体" w:hAnsi="宋体" w:cs="宋体"/>
              </w:rPr>
            </w:pPr>
            <w:r>
              <w:rPr>
                <w:rFonts w:hint="eastAsia" w:ascii="宋体" w:hAnsi="宋体" w:cs="宋体"/>
              </w:rPr>
              <w:t>1</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2C55C08B">
            <w:pPr>
              <w:jc w:val="center"/>
              <w:rPr>
                <w:rFonts w:hint="eastAsia" w:ascii="宋体" w:hAnsi="宋体" w:cs="宋体"/>
              </w:rPr>
            </w:pPr>
            <w:r>
              <w:rPr>
                <w:rFonts w:hint="eastAsia" w:ascii="宋体" w:hAnsi="宋体" w:cs="宋体"/>
              </w:rPr>
              <w:t>总体加工要求</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14904B6F">
            <w:pPr>
              <w:rPr>
                <w:rFonts w:hint="eastAsia" w:ascii="宋体" w:hAnsi="宋体" w:cs="宋体"/>
              </w:rPr>
            </w:pPr>
            <w:r>
              <w:rPr>
                <w:rFonts w:hint="eastAsia" w:ascii="宋体" w:hAnsi="宋体" w:cs="宋体"/>
              </w:rPr>
              <w:t>（1）采购人负责提供试验装置技术方案、技术指导和加工材料及主要零部件。成交供应商应根据采购人要求完成加工图纸编制，并负责试验装置的加工制作、焊接、装配、液压电气集成、调试及试验测试。</w:t>
            </w:r>
          </w:p>
          <w:p w14:paraId="4C372D2F">
            <w:pPr>
              <w:rPr>
                <w:rFonts w:hint="eastAsia" w:ascii="宋体" w:hAnsi="宋体" w:cs="宋体"/>
              </w:rPr>
            </w:pPr>
            <w:r>
              <w:rPr>
                <w:rFonts w:hint="eastAsia" w:ascii="宋体" w:hAnsi="宋体" w:cs="宋体"/>
              </w:rPr>
              <w:t>（2）通过加工制作、装配及系统集成，形成一台套拱-锚-喷试验装置。</w:t>
            </w:r>
          </w:p>
          <w:p w14:paraId="35A669D1">
            <w:pPr>
              <w:rPr>
                <w:rFonts w:hint="eastAsia" w:ascii="宋体" w:hAnsi="宋体" w:cs="宋体"/>
              </w:rPr>
            </w:pPr>
            <w:r>
              <w:rPr>
                <w:rFonts w:hint="eastAsia" w:ascii="宋体" w:hAnsi="宋体" w:cs="宋体"/>
              </w:rPr>
              <w:t>（3）加工形成的试验装置应实现打锚、立拱、喷砼3个工序的协调集成，各作业机构能够独立及协作运行，并能够按照采购人制定的试验方案开展协同一体化集成作业。</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2E638E8A">
            <w:pPr>
              <w:jc w:val="center"/>
              <w:rPr>
                <w:rFonts w:hint="eastAsia" w:ascii="宋体" w:hAnsi="宋体" w:cs="宋体"/>
              </w:rPr>
            </w:pPr>
            <w:r>
              <w:rPr>
                <w:rFonts w:hint="eastAsia" w:ascii="宋体" w:hAnsi="宋体" w:cs="宋体"/>
              </w:rPr>
              <w:t>1</w:t>
            </w:r>
          </w:p>
        </w:tc>
      </w:tr>
      <w:tr w14:paraId="4D702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147D02C6">
            <w:pPr>
              <w:jc w:val="center"/>
              <w:rPr>
                <w:rFonts w:hint="eastAsia" w:ascii="宋体" w:hAnsi="宋体" w:cs="宋体"/>
              </w:rPr>
            </w:pPr>
            <w:r>
              <w:rPr>
                <w:rFonts w:hint="eastAsia" w:ascii="宋体" w:hAnsi="宋体" w:cs="宋体"/>
              </w:rPr>
              <w:t>2</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596C639F">
            <w:pPr>
              <w:jc w:val="center"/>
              <w:rPr>
                <w:rFonts w:hint="eastAsia" w:ascii="宋体" w:hAnsi="宋体" w:cs="宋体"/>
              </w:rPr>
            </w:pPr>
            <w:r>
              <w:rPr>
                <w:rFonts w:hint="eastAsia" w:ascii="宋体" w:hAnsi="宋体" w:cs="宋体"/>
              </w:rPr>
              <w:t>整机结构件加工及行走系统集成</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052FFABD">
            <w:pPr>
              <w:rPr>
                <w:rFonts w:hint="eastAsia" w:ascii="宋体" w:hAnsi="宋体" w:cs="宋体"/>
              </w:rPr>
            </w:pPr>
            <w:r>
              <w:rPr>
                <w:rFonts w:hint="eastAsia" w:ascii="宋体" w:hAnsi="宋体" w:cs="宋体"/>
              </w:rPr>
              <w:t>（1）完成台架、履带底盘结构、动力系统、支撑结构、工作臂安装座及相关连接结构的加工、焊接、装配和集成，形成试验装置主体结构及行走系统。</w:t>
            </w:r>
          </w:p>
          <w:p w14:paraId="4CB6EB28">
            <w:pPr>
              <w:rPr>
                <w:rFonts w:hint="eastAsia" w:ascii="宋体" w:hAnsi="宋体" w:cs="宋体"/>
              </w:rPr>
            </w:pPr>
            <w:r>
              <w:rPr>
                <w:rFonts w:hint="eastAsia" w:ascii="宋体" w:hAnsi="宋体" w:cs="宋体"/>
              </w:rPr>
              <w:t>（2）具体加工范围包括台架主梁、横梁、立柱、履带连接座、支撑结构、工作臂安装座及相关连接。</w:t>
            </w:r>
          </w:p>
          <w:p w14:paraId="5DC4BD0A">
            <w:pPr>
              <w:rPr>
                <w:rFonts w:hint="eastAsia" w:ascii="宋体" w:hAnsi="宋体" w:cs="宋体"/>
              </w:rPr>
            </w:pPr>
            <w:r>
              <w:rPr>
                <w:rFonts w:hint="eastAsia" w:ascii="宋体" w:hAnsi="宋体" w:cs="宋体"/>
              </w:rPr>
              <w:t>（3）加工装配完成后的装置外形包络尺寸：长度≤16000mm、宽度≤9500mm、高度≤6350mm。</w:t>
            </w:r>
          </w:p>
          <w:p w14:paraId="4123CFC3">
            <w:pPr>
              <w:rPr>
                <w:rFonts w:hint="eastAsia" w:ascii="宋体" w:hAnsi="宋体" w:cs="宋体"/>
              </w:rPr>
            </w:pPr>
            <w:r>
              <w:rPr>
                <w:rFonts w:hint="eastAsia" w:ascii="宋体" w:hAnsi="宋体" w:cs="宋体"/>
              </w:rPr>
              <w:t>（4）加工装配完成后的装置总质量≤160t。</w:t>
            </w:r>
          </w:p>
          <w:p w14:paraId="4ED3C533">
            <w:pPr>
              <w:rPr>
                <w:rFonts w:hint="eastAsia" w:ascii="宋体" w:hAnsi="宋体" w:cs="宋体"/>
              </w:rPr>
            </w:pPr>
            <w:r>
              <w:rPr>
                <w:rFonts w:hint="eastAsia" w:ascii="宋体" w:hAnsi="宋体" w:cs="宋体"/>
              </w:rPr>
              <w:t>（5）加工形成的装置应满足宽度11～17.5m、高度7.5～11.5m作业断面的使用要求。</w:t>
            </w:r>
          </w:p>
          <w:p w14:paraId="525F3037">
            <w:pPr>
              <w:rPr>
                <w:rFonts w:hint="eastAsia" w:ascii="宋体" w:hAnsi="宋体" w:cs="宋体"/>
              </w:rPr>
            </w:pPr>
            <w:r>
              <w:rPr>
                <w:rFonts w:hint="eastAsia" w:ascii="宋体" w:hAnsi="宋体" w:cs="宋体"/>
              </w:rPr>
              <w:t>（6）完成履带式行走底盘及相关连接结构的安装集成，履带立柱中心距为6200mm。</w:t>
            </w:r>
          </w:p>
          <w:p w14:paraId="0BE23EA6">
            <w:pPr>
              <w:rPr>
                <w:rFonts w:hint="eastAsia" w:ascii="宋体" w:hAnsi="宋体" w:cs="宋体"/>
              </w:rPr>
            </w:pPr>
            <w:r>
              <w:rPr>
                <w:rFonts w:hint="eastAsia" w:ascii="宋体" w:hAnsi="宋体" w:cs="宋体"/>
              </w:rPr>
              <w:t>（7）行走系统安装调试完成后，最高行驶速度≥0.5km/h，最大爬坡度≥16%。</w:t>
            </w:r>
          </w:p>
          <w:p w14:paraId="78C69369">
            <w:pPr>
              <w:rPr>
                <w:rFonts w:hint="eastAsia" w:ascii="宋体" w:hAnsi="宋体" w:cs="宋体"/>
              </w:rPr>
            </w:pPr>
            <w:r>
              <w:rPr>
                <w:rFonts w:hint="eastAsia" w:ascii="宋体" w:hAnsi="宋体" w:cs="宋体"/>
              </w:rPr>
              <w:t>（8）装置工作时，掌子面距台架前端的停车距离为9±0.5m。</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12BBA13A">
            <w:pPr>
              <w:jc w:val="center"/>
              <w:rPr>
                <w:rFonts w:hint="eastAsia" w:ascii="宋体" w:hAnsi="宋体" w:cs="宋体"/>
              </w:rPr>
            </w:pPr>
            <w:r>
              <w:rPr>
                <w:rFonts w:hint="eastAsia" w:ascii="宋体" w:hAnsi="宋体" w:cs="宋体"/>
              </w:rPr>
              <w:t>1</w:t>
            </w:r>
          </w:p>
        </w:tc>
      </w:tr>
      <w:tr w14:paraId="3F7930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647977F2">
            <w:pPr>
              <w:jc w:val="center"/>
              <w:rPr>
                <w:rFonts w:hint="eastAsia" w:ascii="宋体" w:hAnsi="宋体" w:cs="宋体"/>
              </w:rPr>
            </w:pPr>
            <w:r>
              <w:rPr>
                <w:rFonts w:hint="eastAsia" w:ascii="宋体" w:hAnsi="宋体" w:cs="宋体"/>
              </w:rPr>
              <w:t>3</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0B1210FD">
            <w:pPr>
              <w:jc w:val="center"/>
              <w:rPr>
                <w:rFonts w:hint="eastAsia" w:ascii="宋体" w:hAnsi="宋体" w:cs="宋体"/>
              </w:rPr>
            </w:pPr>
            <w:r>
              <w:rPr>
                <w:rFonts w:hint="eastAsia" w:ascii="宋体" w:hAnsi="宋体" w:cs="宋体"/>
              </w:rPr>
              <w:t>工作臂加工制作及立拱功能</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3EB95966">
            <w:pPr>
              <w:rPr>
                <w:rFonts w:hint="eastAsia" w:ascii="宋体" w:hAnsi="宋体" w:cs="宋体"/>
              </w:rPr>
            </w:pPr>
            <w:r>
              <w:rPr>
                <w:rFonts w:hint="eastAsia" w:ascii="宋体" w:hAnsi="宋体" w:cs="宋体"/>
              </w:rPr>
              <w:t>（1）完成左拱锚臂、主立拱臂和右拱锚臂的结构件下料、机械加工、焊接、装配及集成，形成3个立拱及辅助作业工作臂。</w:t>
            </w:r>
          </w:p>
          <w:p w14:paraId="231A65AE">
            <w:pPr>
              <w:rPr>
                <w:rFonts w:hint="eastAsia" w:ascii="宋体" w:hAnsi="宋体" w:cs="宋体"/>
              </w:rPr>
            </w:pPr>
            <w:r>
              <w:rPr>
                <w:rFonts w:hint="eastAsia" w:ascii="宋体" w:hAnsi="宋体" w:cs="宋体"/>
              </w:rPr>
              <w:t>（2）完成各工作臂与台架及对应回转、俯仰、伸缩、抓取等机构的装配，并保证安装位置、运动空间、连接关系及接口尺寸满足技术要求。</w:t>
            </w:r>
          </w:p>
          <w:p w14:paraId="0F4FB7D3">
            <w:pPr>
              <w:rPr>
                <w:rFonts w:hint="eastAsia" w:ascii="宋体" w:hAnsi="宋体" w:cs="宋体"/>
              </w:rPr>
            </w:pPr>
            <w:r>
              <w:rPr>
                <w:rFonts w:hint="eastAsia" w:ascii="宋体" w:hAnsi="宋体" w:cs="宋体"/>
              </w:rPr>
              <w:t>（3）加工装配完成后的主立拱臂应能够与左、右拱锚臂协同完成拱架抓取、转运、举升、定位及辅助拼装作业。</w:t>
            </w:r>
          </w:p>
          <w:p w14:paraId="7EFD10EE">
            <w:pPr>
              <w:rPr>
                <w:rFonts w:hint="eastAsia" w:ascii="宋体" w:hAnsi="宋体" w:cs="宋体"/>
              </w:rPr>
            </w:pPr>
            <w:r>
              <w:rPr>
                <w:rFonts w:hint="eastAsia" w:ascii="宋体" w:hAnsi="宋体" w:cs="宋体"/>
              </w:rPr>
              <w:t>（4）主立拱臂最大举升能力≥4.5t，举升高度≥11.5m。</w:t>
            </w:r>
          </w:p>
          <w:p w14:paraId="7081D995">
            <w:pPr>
              <w:rPr>
                <w:rFonts w:ascii="宋体" w:hAnsi="宋体" w:cs="宋体"/>
              </w:rPr>
            </w:pPr>
            <w:r>
              <w:rPr>
                <w:rFonts w:hint="eastAsia" w:ascii="宋体" w:hAnsi="宋体" w:cs="宋体"/>
              </w:rPr>
              <w:t>（5）左、右拱锚臂单臂最大举升能力均≥1.5t，举升高度≥11.5m。</w:t>
            </w:r>
          </w:p>
          <w:p w14:paraId="5B3C6058">
            <w:pPr>
              <w:rPr>
                <w:rFonts w:hint="eastAsia" w:ascii="宋体" w:hAnsi="宋体" w:cs="宋体"/>
              </w:rPr>
            </w:pPr>
            <w:r>
              <w:rPr>
                <w:rFonts w:hint="eastAsia" w:ascii="宋体" w:hAnsi="宋体" w:cs="宋体"/>
              </w:rPr>
              <w:t>（6）各工作臂应满足相应运动范围要求，完成：</w:t>
            </w:r>
          </w:p>
          <w:p w14:paraId="3A3F8936">
            <w:pPr>
              <w:rPr>
                <w:rFonts w:hint="eastAsia" w:ascii="宋体" w:hAnsi="宋体" w:cs="宋体"/>
              </w:rPr>
            </w:pPr>
            <w:r>
              <w:rPr>
                <w:rFonts w:hint="eastAsia" w:ascii="宋体" w:hAnsi="宋体" w:cs="宋体"/>
              </w:rPr>
              <w:t>回转范围：11～17.5m；</w:t>
            </w:r>
          </w:p>
          <w:p w14:paraId="568AECEF">
            <w:pPr>
              <w:rPr>
                <w:rFonts w:hint="eastAsia" w:ascii="宋体" w:hAnsi="宋体" w:cs="宋体"/>
              </w:rPr>
            </w:pPr>
            <w:r>
              <w:rPr>
                <w:rFonts w:hint="eastAsia" w:ascii="宋体" w:hAnsi="宋体" w:cs="宋体"/>
              </w:rPr>
              <w:t>俯仰范围：7.5～11.5m；</w:t>
            </w:r>
          </w:p>
          <w:p w14:paraId="2AED9510">
            <w:pPr>
              <w:rPr>
                <w:rFonts w:hint="eastAsia" w:ascii="宋体" w:hAnsi="宋体" w:cs="宋体"/>
              </w:rPr>
            </w:pPr>
            <w:r>
              <w:rPr>
                <w:rFonts w:hint="eastAsia" w:ascii="宋体" w:hAnsi="宋体" w:cs="宋体"/>
              </w:rPr>
              <w:t>伸缩范围：≥12m；</w:t>
            </w:r>
          </w:p>
          <w:p w14:paraId="7D8948E4">
            <w:pPr>
              <w:rPr>
                <w:rFonts w:hint="eastAsia" w:ascii="宋体" w:hAnsi="宋体" w:cs="宋体"/>
              </w:rPr>
            </w:pPr>
            <w:r>
              <w:rPr>
                <w:rFonts w:hint="eastAsia" w:ascii="宋体" w:hAnsi="宋体" w:cs="宋体"/>
              </w:rPr>
              <w:t>抓取能力：主立拱臂≥4.5t，左、右拱锚臂均≥1.5t；定位精度：±100</w:t>
            </w:r>
            <w:r>
              <w:rPr>
                <w:rFonts w:ascii="宋体" w:hAnsi="宋体" w:cs="宋体"/>
              </w:rPr>
              <w:t>mm</w:t>
            </w:r>
            <w:r>
              <w:rPr>
                <w:rFonts w:hint="eastAsia" w:ascii="宋体" w:hAnsi="宋体" w:cs="宋体"/>
              </w:rPr>
              <w:t>。</w:t>
            </w:r>
          </w:p>
          <w:p w14:paraId="6540176B">
            <w:pPr>
              <w:rPr>
                <w:rFonts w:hint="eastAsia" w:ascii="宋体" w:hAnsi="宋体" w:cs="宋体"/>
              </w:rPr>
            </w:pPr>
            <w:r>
              <w:rPr>
                <w:rFonts w:hint="eastAsia" w:ascii="宋体" w:hAnsi="宋体" w:cs="宋体"/>
              </w:rPr>
              <w:t>（7）各工作臂动作应连续、平稳，不得出现影响正常试验的爬行、冲击、抖动、卡滞及异常下沉。</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27CB3759">
            <w:pPr>
              <w:jc w:val="center"/>
              <w:rPr>
                <w:rFonts w:hint="eastAsia" w:ascii="宋体" w:hAnsi="宋体" w:cs="宋体"/>
              </w:rPr>
            </w:pPr>
            <w:r>
              <w:rPr>
                <w:rFonts w:hint="eastAsia" w:ascii="宋体" w:hAnsi="宋体" w:cs="宋体"/>
              </w:rPr>
              <w:t>1</w:t>
            </w:r>
          </w:p>
        </w:tc>
      </w:tr>
      <w:tr w14:paraId="4C955D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662E9C5D">
            <w:pPr>
              <w:jc w:val="center"/>
              <w:rPr>
                <w:rFonts w:hint="eastAsia" w:ascii="宋体" w:hAnsi="宋体" w:cs="宋体"/>
              </w:rPr>
            </w:pPr>
            <w:r>
              <w:rPr>
                <w:rFonts w:hint="eastAsia" w:ascii="宋体" w:hAnsi="宋体" w:cs="宋体"/>
              </w:rPr>
              <w:t>4</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09C69C25">
            <w:pPr>
              <w:jc w:val="center"/>
              <w:rPr>
                <w:rFonts w:hint="eastAsia" w:ascii="宋体" w:hAnsi="宋体" w:cs="宋体"/>
                <w:bCs/>
              </w:rPr>
            </w:pPr>
            <w:r>
              <w:rPr>
                <w:rFonts w:hint="eastAsia" w:ascii="宋体" w:hAnsi="宋体" w:cs="宋体"/>
                <w:bCs/>
              </w:rPr>
              <w:t>钻锚注机构加工集成及打锚功能</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337F169A">
            <w:pPr>
              <w:rPr>
                <w:rFonts w:hint="eastAsia" w:ascii="宋体" w:hAnsi="宋体" w:cs="宋体"/>
              </w:rPr>
            </w:pPr>
            <w:r>
              <w:rPr>
                <w:rFonts w:hint="eastAsia" w:ascii="宋体" w:hAnsi="宋体" w:cs="宋体"/>
              </w:rPr>
              <w:t>（1）完成钻锚注臂、推进梁、钻孔机构、锚杆推送机构、锚固机构、注浆接口及相关连接结构的加工、装配和集成。</w:t>
            </w:r>
          </w:p>
          <w:p w14:paraId="409D225A">
            <w:pPr>
              <w:rPr>
                <w:rFonts w:hint="eastAsia" w:ascii="宋体" w:hAnsi="宋体" w:cs="宋体"/>
              </w:rPr>
            </w:pPr>
            <w:r>
              <w:rPr>
                <w:rFonts w:hint="eastAsia" w:ascii="宋体" w:hAnsi="宋体" w:cs="宋体"/>
              </w:rPr>
              <w:t>（2）加工集成完成后的钻锚注机构应能够按照设计流程完成钻孔、退钻、锚杆推送、锚杆安装、预紧或锚固、螺母锁紧及注浆作业。</w:t>
            </w:r>
          </w:p>
          <w:p w14:paraId="3F580A50">
            <w:pPr>
              <w:rPr>
                <w:rFonts w:hint="eastAsia" w:ascii="宋体" w:hAnsi="宋体" w:cs="宋体"/>
              </w:rPr>
            </w:pPr>
            <w:r>
              <w:rPr>
                <w:rFonts w:hint="eastAsia" w:ascii="宋体" w:hAnsi="宋体" w:cs="宋体"/>
              </w:rPr>
              <w:t>（3）锚固扭矩＞350N·m。</w:t>
            </w:r>
          </w:p>
          <w:p w14:paraId="1E2D8763">
            <w:pPr>
              <w:rPr>
                <w:rFonts w:hint="eastAsia" w:ascii="宋体" w:hAnsi="宋体" w:cs="宋体"/>
              </w:rPr>
            </w:pPr>
            <w:r>
              <w:rPr>
                <w:rFonts w:hint="eastAsia" w:ascii="宋体" w:hAnsi="宋体" w:cs="宋体"/>
              </w:rPr>
              <w:t>（4）钻机转速＞500r/min。</w:t>
            </w:r>
          </w:p>
          <w:p w14:paraId="048AC480">
            <w:pPr>
              <w:rPr>
                <w:rFonts w:hint="eastAsia" w:ascii="宋体" w:hAnsi="宋体" w:cs="宋体"/>
              </w:rPr>
            </w:pPr>
            <w:r>
              <w:rPr>
                <w:rFonts w:hint="eastAsia" w:ascii="宋体" w:hAnsi="宋体" w:cs="宋体"/>
              </w:rPr>
              <w:t>（5）推进力＞12kN。</w:t>
            </w:r>
          </w:p>
          <w:p w14:paraId="3D79EE2C">
            <w:pPr>
              <w:rPr>
                <w:rFonts w:hint="eastAsia" w:ascii="宋体" w:hAnsi="宋体" w:cs="宋体"/>
              </w:rPr>
            </w:pPr>
            <w:r>
              <w:rPr>
                <w:rFonts w:hint="eastAsia" w:ascii="宋体" w:hAnsi="宋体" w:cs="宋体"/>
              </w:rPr>
              <w:t>（6）钻孔直径范围：Φ33～Φ76mm。</w:t>
            </w:r>
          </w:p>
          <w:p w14:paraId="60094E36">
            <w:pPr>
              <w:rPr>
                <w:rFonts w:hint="eastAsia" w:ascii="宋体" w:hAnsi="宋体" w:cs="宋体"/>
              </w:rPr>
            </w:pPr>
            <w:r>
              <w:rPr>
                <w:rFonts w:hint="eastAsia" w:ascii="宋体" w:hAnsi="宋体" w:cs="宋体"/>
              </w:rPr>
              <w:t>（7）钻锚注臂单杆最大钻孔深度≥4.5m。</w:t>
            </w:r>
          </w:p>
          <w:p w14:paraId="37F17800">
            <w:pPr>
              <w:rPr>
                <w:rFonts w:hint="eastAsia" w:ascii="宋体" w:hAnsi="宋体" w:cs="宋体"/>
              </w:rPr>
            </w:pPr>
            <w:r>
              <w:rPr>
                <w:rFonts w:hint="eastAsia" w:ascii="宋体" w:hAnsi="宋体" w:cs="宋体"/>
              </w:rPr>
              <w:t>（8）左、右拱锚臂单杆最大钻孔深度≥4.0m。</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4E12B8BA">
            <w:pPr>
              <w:jc w:val="center"/>
              <w:rPr>
                <w:rFonts w:hint="eastAsia" w:ascii="宋体" w:hAnsi="宋体" w:cs="宋体"/>
              </w:rPr>
            </w:pPr>
            <w:r>
              <w:rPr>
                <w:rFonts w:hint="eastAsia" w:ascii="宋体" w:hAnsi="宋体" w:cs="宋体"/>
              </w:rPr>
              <w:t>1</w:t>
            </w:r>
          </w:p>
        </w:tc>
      </w:tr>
      <w:tr w14:paraId="56F0C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331DD10C">
            <w:pPr>
              <w:jc w:val="center"/>
              <w:rPr>
                <w:rFonts w:hint="eastAsia" w:ascii="宋体" w:hAnsi="宋体" w:cs="宋体"/>
              </w:rPr>
            </w:pPr>
            <w:r>
              <w:rPr>
                <w:rFonts w:hint="eastAsia" w:ascii="宋体" w:hAnsi="宋体" w:cs="宋体"/>
              </w:rPr>
              <w:t>5</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4C33BA27">
            <w:pPr>
              <w:jc w:val="center"/>
              <w:rPr>
                <w:rFonts w:hint="eastAsia" w:ascii="宋体" w:hAnsi="宋体" w:cs="宋体"/>
              </w:rPr>
            </w:pPr>
            <w:r>
              <w:rPr>
                <w:rFonts w:hint="eastAsia" w:ascii="宋体" w:hAnsi="宋体" w:cs="宋体"/>
              </w:rPr>
              <w:t>喷浆机构加工集成及喷砼功能</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5E128C94">
            <w:pPr>
              <w:rPr>
                <w:rFonts w:hint="eastAsia" w:ascii="宋体" w:hAnsi="宋体" w:cs="宋体"/>
              </w:rPr>
            </w:pPr>
            <w:r>
              <w:rPr>
                <w:rFonts w:hint="eastAsia" w:ascii="宋体" w:hAnsi="宋体" w:cs="宋体"/>
              </w:rPr>
              <w:t>（1）完成喷浆臂结构件、回转机构、俯仰机构、伸缩机构、喷头连接机构、管路支撑结构及相关部件的加工、装配和集成。</w:t>
            </w:r>
          </w:p>
          <w:p w14:paraId="60C693E7">
            <w:pPr>
              <w:rPr>
                <w:rFonts w:hint="eastAsia" w:ascii="宋体" w:hAnsi="宋体" w:cs="宋体"/>
              </w:rPr>
            </w:pPr>
            <w:r>
              <w:rPr>
                <w:rFonts w:hint="eastAsia" w:ascii="宋体" w:hAnsi="宋体" w:cs="宋体"/>
              </w:rPr>
              <w:t>（2）加工集成完成后的喷浆臂应能够覆盖宽度11～17.5m、高度7.5～11.5m的作业断面，并完成喷射混凝土试验作业。</w:t>
            </w:r>
          </w:p>
          <w:p w14:paraId="430D0776">
            <w:pPr>
              <w:rPr>
                <w:rFonts w:hint="eastAsia" w:ascii="宋体" w:hAnsi="宋体" w:cs="宋体"/>
              </w:rPr>
            </w:pPr>
            <w:r>
              <w:rPr>
                <w:rFonts w:hint="eastAsia" w:ascii="宋体" w:hAnsi="宋体" w:cs="宋体"/>
              </w:rPr>
              <w:t>（3）喷浆臂应能够实现回转、俯仰、伸缩、喷头翻转、偏摆及刷动等设计动作。</w:t>
            </w:r>
          </w:p>
          <w:p w14:paraId="1678D97E">
            <w:pPr>
              <w:rPr>
                <w:rFonts w:hint="eastAsia" w:ascii="宋体" w:hAnsi="宋体" w:cs="宋体"/>
              </w:rPr>
            </w:pPr>
            <w:r>
              <w:rPr>
                <w:rFonts w:hint="eastAsia" w:ascii="宋体" w:hAnsi="宋体" w:cs="宋体"/>
              </w:rPr>
              <w:t>（4）喷射混凝土系统最大理论喷射方量≥40m³/h。</w:t>
            </w:r>
          </w:p>
          <w:p w14:paraId="1807C9DE">
            <w:pPr>
              <w:rPr>
                <w:rFonts w:hint="eastAsia" w:ascii="宋体" w:hAnsi="宋体" w:cs="宋体"/>
              </w:rPr>
            </w:pPr>
            <w:r>
              <w:rPr>
                <w:rFonts w:hint="eastAsia" w:ascii="宋体" w:hAnsi="宋体" w:cs="宋体"/>
              </w:rPr>
              <w:t>（5）喷射骨料最大粒径≤25mm。</w:t>
            </w:r>
          </w:p>
          <w:p w14:paraId="419AFF91">
            <w:pPr>
              <w:rPr>
                <w:rFonts w:hint="eastAsia" w:ascii="宋体" w:hAnsi="宋体" w:cs="宋体"/>
              </w:rPr>
            </w:pPr>
            <w:r>
              <w:rPr>
                <w:rFonts w:hint="eastAsia" w:ascii="宋体" w:hAnsi="宋体" w:cs="宋体"/>
              </w:rPr>
              <w:t>（6）料斗有效容积≥0.3m³，速凝剂箱有效容积≥2m³。</w:t>
            </w:r>
          </w:p>
          <w:p w14:paraId="5A1E2145">
            <w:pPr>
              <w:rPr>
                <w:rFonts w:hint="eastAsia" w:ascii="宋体" w:hAnsi="宋体" w:cs="宋体"/>
              </w:rPr>
            </w:pPr>
            <w:r>
              <w:rPr>
                <w:rFonts w:hint="eastAsia" w:ascii="宋体" w:hAnsi="宋体" w:cs="宋体"/>
              </w:rPr>
              <w:t>（7）喷浆管路及其支撑结构应安装固定可靠，不得与臂架运动发生干涉；试验过程中不得出现影响正常工作的泄漏、异常振动、管路松动及接头脱落。</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2339DAD4">
            <w:pPr>
              <w:jc w:val="center"/>
              <w:rPr>
                <w:rFonts w:hint="eastAsia" w:ascii="宋体" w:hAnsi="宋体" w:cs="宋体"/>
              </w:rPr>
            </w:pPr>
            <w:r>
              <w:rPr>
                <w:rFonts w:hint="eastAsia" w:ascii="宋体" w:hAnsi="宋体" w:cs="宋体"/>
              </w:rPr>
              <w:t>1</w:t>
            </w:r>
          </w:p>
        </w:tc>
      </w:tr>
      <w:tr w14:paraId="7EAC8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37C14125">
            <w:pPr>
              <w:jc w:val="center"/>
              <w:rPr>
                <w:rFonts w:hint="eastAsia" w:ascii="宋体" w:hAnsi="宋体" w:cs="宋体"/>
              </w:rPr>
            </w:pPr>
            <w:r>
              <w:rPr>
                <w:rFonts w:hint="eastAsia" w:ascii="宋体" w:hAnsi="宋体" w:cs="宋体"/>
              </w:rPr>
              <w:t>6</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4B3DC53C">
            <w:pPr>
              <w:jc w:val="center"/>
              <w:rPr>
                <w:rFonts w:hint="eastAsia" w:ascii="宋体" w:hAnsi="宋体" w:cs="宋体"/>
                <w:bCs/>
              </w:rPr>
            </w:pPr>
            <w:r>
              <w:rPr>
                <w:rFonts w:hint="eastAsia" w:ascii="宋体" w:hAnsi="宋体" w:cs="宋体"/>
                <w:bCs/>
              </w:rPr>
              <w:t>液压电气安装集成及安全要求</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486541F8">
            <w:pPr>
              <w:rPr>
                <w:rFonts w:hint="eastAsia" w:ascii="宋体" w:hAnsi="宋体" w:cs="宋体"/>
              </w:rPr>
            </w:pPr>
            <w:r>
              <w:rPr>
                <w:rFonts w:hint="eastAsia" w:ascii="宋体" w:hAnsi="宋体" w:cs="宋体"/>
              </w:rPr>
              <w:t>（1）完成液压元件、阀组、执行机构、液压管路及相关支撑结构的安装和集成。</w:t>
            </w:r>
          </w:p>
          <w:p w14:paraId="764DC467">
            <w:pPr>
              <w:rPr>
                <w:rFonts w:hint="eastAsia" w:ascii="宋体" w:hAnsi="宋体" w:cs="宋体"/>
              </w:rPr>
            </w:pPr>
            <w:r>
              <w:rPr>
                <w:rFonts w:hint="eastAsia" w:ascii="宋体" w:hAnsi="宋体" w:cs="宋体"/>
              </w:rPr>
              <w:t>（2）液压系统安装调试完成后，应满足行走、支撑及各工作臂回转、俯仰、伸缩、抓取、钻进、推进、锚固和喷浆等动作要求；各机构动作应连续、平稳，保压可靠，不得出现影响正常运行的泄漏、异常冲击、压力不足或动作失控现象。</w:t>
            </w:r>
          </w:p>
          <w:p w14:paraId="6ECBEC92">
            <w:pPr>
              <w:rPr>
                <w:rFonts w:hint="eastAsia" w:ascii="宋体" w:hAnsi="宋体" w:cs="宋体"/>
              </w:rPr>
            </w:pPr>
            <w:r>
              <w:rPr>
                <w:rFonts w:hint="eastAsia" w:ascii="宋体" w:hAnsi="宋体" w:cs="宋体"/>
              </w:rPr>
              <w:t>（3）完成控制柜、传感器、执行元件、线缆、遥控系统及相关电气部件的安装、接线和集成。</w:t>
            </w:r>
          </w:p>
          <w:p w14:paraId="512735AE">
            <w:pPr>
              <w:rPr>
                <w:rFonts w:hint="eastAsia" w:ascii="宋体" w:hAnsi="宋体" w:cs="宋体"/>
              </w:rPr>
            </w:pPr>
            <w:r>
              <w:rPr>
                <w:rFonts w:hint="eastAsia" w:ascii="宋体" w:hAnsi="宋体" w:cs="宋体"/>
              </w:rPr>
              <w:t>（4）装置工作电压为AC 380V，采用三相五线制供电；控制方式采用无线遥控与本地应急操作相结合的方式。</w:t>
            </w:r>
          </w:p>
          <w:p w14:paraId="460FBB5A">
            <w:pPr>
              <w:rPr>
                <w:rFonts w:hint="eastAsia" w:ascii="宋体" w:hAnsi="宋体" w:cs="宋体"/>
              </w:rPr>
            </w:pPr>
            <w:r>
              <w:rPr>
                <w:rFonts w:hint="eastAsia" w:ascii="宋体" w:hAnsi="宋体" w:cs="宋体"/>
              </w:rPr>
              <w:t>（5）按照采购人设计要求完成急停、限位、液压锁止、动作互锁、过载保护、漏电保护和接地保护等安全保护功能的安装和调试。</w:t>
            </w:r>
          </w:p>
          <w:p w14:paraId="34920BE2">
            <w:pPr>
              <w:rPr>
                <w:rFonts w:hint="eastAsia" w:ascii="宋体" w:hAnsi="宋体" w:cs="宋体"/>
              </w:rPr>
            </w:pPr>
            <w:r>
              <w:rPr>
                <w:rFonts w:hint="eastAsia" w:ascii="宋体" w:hAnsi="宋体" w:cs="宋体"/>
              </w:rPr>
              <w:t>（6）液压管路、电气线缆及相关元件应布置整齐、固定可靠、标识清晰，不得与运动部件发生干涉；管路连接处不得出现影响正常使用的渗漏，电气接线应满足相关技术要求。</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784C1B53">
            <w:pPr>
              <w:jc w:val="center"/>
              <w:rPr>
                <w:rFonts w:hint="eastAsia" w:ascii="宋体" w:hAnsi="宋体" w:cs="宋体"/>
              </w:rPr>
            </w:pPr>
            <w:r>
              <w:rPr>
                <w:rFonts w:hint="eastAsia" w:ascii="宋体" w:hAnsi="宋体" w:cs="宋体"/>
              </w:rPr>
              <w:t>1</w:t>
            </w:r>
          </w:p>
        </w:tc>
      </w:tr>
      <w:tr w14:paraId="5BDC15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03" w:type="pct"/>
            <w:tcBorders>
              <w:top w:val="single" w:color="auto" w:sz="4" w:space="0"/>
              <w:left w:val="single" w:color="auto" w:sz="4" w:space="0"/>
              <w:bottom w:val="single" w:color="auto" w:sz="4" w:space="0"/>
              <w:right w:val="single" w:color="auto" w:sz="4" w:space="0"/>
            </w:tcBorders>
            <w:noWrap w:val="0"/>
            <w:vAlign w:val="center"/>
          </w:tcPr>
          <w:p w14:paraId="3B7F64D0">
            <w:pPr>
              <w:jc w:val="center"/>
              <w:rPr>
                <w:rFonts w:hint="eastAsia" w:ascii="宋体" w:hAnsi="宋体" w:cs="宋体"/>
              </w:rPr>
            </w:pPr>
            <w:r>
              <w:rPr>
                <w:rFonts w:hint="eastAsia" w:ascii="宋体" w:hAnsi="宋体" w:cs="宋体"/>
              </w:rPr>
              <w:t>7</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03EAB7D6">
            <w:pPr>
              <w:jc w:val="center"/>
              <w:rPr>
                <w:rFonts w:ascii="宋体" w:hAnsi="宋体" w:cs="宋体"/>
                <w:bCs/>
              </w:rPr>
            </w:pPr>
            <w:r>
              <w:rPr>
                <w:rFonts w:hint="eastAsia" w:ascii="宋体" w:hAnsi="宋体" w:cs="宋体"/>
                <w:bCs/>
              </w:rPr>
              <w:t>控制系统及集成</w:t>
            </w:r>
          </w:p>
        </w:tc>
        <w:tc>
          <w:tcPr>
            <w:tcW w:w="3215" w:type="pct"/>
            <w:tcBorders>
              <w:top w:val="single" w:color="auto" w:sz="4" w:space="0"/>
              <w:left w:val="single" w:color="auto" w:sz="4" w:space="0"/>
              <w:bottom w:val="single" w:color="auto" w:sz="4" w:space="0"/>
              <w:right w:val="single" w:color="auto" w:sz="4" w:space="0"/>
            </w:tcBorders>
            <w:noWrap w:val="0"/>
            <w:vAlign w:val="center"/>
          </w:tcPr>
          <w:p w14:paraId="51604ACD">
            <w:pPr>
              <w:rPr>
                <w:rFonts w:hint="eastAsia" w:ascii="宋体" w:hAnsi="宋体" w:cs="宋体"/>
              </w:rPr>
            </w:pPr>
            <w:r>
              <w:rPr>
                <w:rFonts w:hint="eastAsia" w:ascii="宋体" w:hAnsi="宋体" w:cs="宋体"/>
              </w:rPr>
              <w:t>（1）完成中央控制台及分控单元1套的安装、接线、集成及调试。</w:t>
            </w:r>
          </w:p>
          <w:p w14:paraId="293AA5DB">
            <w:pPr>
              <w:rPr>
                <w:rFonts w:ascii="宋体" w:hAnsi="宋体" w:cs="宋体"/>
              </w:rPr>
            </w:pPr>
            <w:r>
              <w:rPr>
                <w:rFonts w:ascii="宋体" w:hAnsi="宋体" w:cs="宋体"/>
              </w:rPr>
              <w:t>（2）</w:t>
            </w:r>
            <w:r>
              <w:rPr>
                <w:rFonts w:hint="eastAsia" w:ascii="宋体" w:hAnsi="宋体" w:cs="宋体"/>
              </w:rPr>
              <w:t>完成无线控制终端1台的安装及调试，无线通信支持2.4GHz Wi-Fi。</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13BD8404">
            <w:pPr>
              <w:jc w:val="center"/>
              <w:rPr>
                <w:rFonts w:hint="eastAsia" w:ascii="宋体" w:hAnsi="宋体" w:cs="宋体"/>
              </w:rPr>
            </w:pPr>
          </w:p>
        </w:tc>
      </w:tr>
    </w:tbl>
    <w:p w14:paraId="4870D7C5">
      <w:pPr>
        <w:jc w:val="center"/>
        <w:rPr>
          <w:rFonts w:hint="eastAsia" w:ascii="宋体" w:hAnsi="宋体" w:cs="宋体"/>
          <w:b/>
          <w:bCs/>
          <w:sz w:val="32"/>
        </w:rPr>
      </w:pPr>
    </w:p>
    <w:p w14:paraId="4274FC62">
      <w:pPr>
        <w:jc w:val="center"/>
        <w:rPr>
          <w:rFonts w:hint="eastAsia" w:ascii="宋体" w:hAnsi="宋体" w:cs="宋体"/>
          <w:b/>
          <w:bCs/>
          <w:sz w:val="32"/>
        </w:rPr>
      </w:pPr>
      <w:r>
        <w:rPr>
          <w:rFonts w:hint="eastAsia" w:ascii="宋体" w:hAnsi="宋体" w:cs="宋体"/>
          <w:b/>
          <w:bCs/>
          <w:sz w:val="32"/>
        </w:rPr>
        <w:br w:type="page"/>
      </w:r>
      <w:r>
        <w:rPr>
          <w:rFonts w:hint="eastAsia" w:ascii="宋体" w:hAnsi="宋体" w:cs="宋体"/>
          <w:b/>
          <w:bCs/>
          <w:sz w:val="32"/>
        </w:rPr>
        <w:t>山东大学采购商务条款响应一览表</w:t>
      </w:r>
    </w:p>
    <w:tbl>
      <w:tblPr>
        <w:tblStyle w:val="10"/>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08"/>
        <w:gridCol w:w="1641"/>
        <w:gridCol w:w="5568"/>
      </w:tblGrid>
      <w:tr w14:paraId="1B263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1FA1F22E">
            <w:pPr>
              <w:jc w:val="center"/>
              <w:rPr>
                <w:rFonts w:hint="eastAsia" w:ascii="宋体" w:hAnsi="宋体" w:cs="宋体"/>
                <w:b/>
                <w:bCs/>
                <w:sz w:val="28"/>
              </w:rPr>
            </w:pPr>
            <w:r>
              <w:rPr>
                <w:rFonts w:hint="eastAsia" w:ascii="宋体" w:hAnsi="宋体" w:cs="宋体"/>
                <w:b/>
                <w:bCs/>
                <w:sz w:val="28"/>
              </w:rPr>
              <w:t>项目序号</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0DA806C8">
            <w:pPr>
              <w:jc w:val="center"/>
              <w:rPr>
                <w:rFonts w:hint="eastAsia" w:ascii="宋体" w:hAnsi="宋体" w:cs="宋体"/>
                <w:b/>
                <w:bCs/>
                <w:sz w:val="28"/>
              </w:rPr>
            </w:pPr>
            <w:r>
              <w:rPr>
                <w:rFonts w:hint="eastAsia" w:ascii="宋体" w:hAnsi="宋体" w:cs="宋体"/>
                <w:b/>
                <w:bCs/>
                <w:sz w:val="28"/>
              </w:rPr>
              <w:t>项目名称</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0A8B5DD6">
            <w:pPr>
              <w:jc w:val="center"/>
              <w:rPr>
                <w:rFonts w:hint="eastAsia" w:ascii="宋体" w:hAnsi="宋体" w:cs="宋体"/>
                <w:b/>
                <w:bCs/>
                <w:sz w:val="28"/>
              </w:rPr>
            </w:pPr>
            <w:r>
              <w:rPr>
                <w:rFonts w:hint="eastAsia" w:ascii="宋体" w:hAnsi="宋体" w:cs="宋体"/>
                <w:b/>
                <w:bCs/>
                <w:sz w:val="28"/>
              </w:rPr>
              <w:t>招标人要求</w:t>
            </w:r>
          </w:p>
        </w:tc>
      </w:tr>
      <w:tr w14:paraId="6B43C6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13D7A08E">
            <w:pPr>
              <w:jc w:val="center"/>
              <w:rPr>
                <w:rFonts w:hint="eastAsia" w:ascii="宋体" w:hAnsi="宋体" w:cs="宋体"/>
                <w:b/>
                <w:bCs/>
                <w:sz w:val="24"/>
              </w:rPr>
            </w:pPr>
            <w:r>
              <w:rPr>
                <w:rFonts w:hint="eastAsia" w:ascii="宋体" w:hAnsi="宋体" w:cs="宋体"/>
                <w:b/>
                <w:bCs/>
                <w:sz w:val="24"/>
              </w:rPr>
              <w:t>1</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2522A9FB">
            <w:pPr>
              <w:jc w:val="center"/>
              <w:rPr>
                <w:rFonts w:hint="eastAsia" w:ascii="宋体" w:hAnsi="宋体" w:cs="宋体"/>
                <w:sz w:val="24"/>
              </w:rPr>
            </w:pPr>
            <w:r>
              <w:rPr>
                <w:rFonts w:hint="eastAsia" w:ascii="宋体" w:hAnsi="宋体" w:cs="宋体"/>
                <w:sz w:val="24"/>
              </w:rPr>
              <w:t>成交价</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5B6CBC20">
            <w:pPr>
              <w:rPr>
                <w:rFonts w:hint="eastAsia" w:ascii="宋体" w:hAnsi="宋体" w:cs="宋体"/>
              </w:rPr>
            </w:pPr>
            <w:r>
              <w:rPr>
                <w:rFonts w:hint="eastAsia" w:ascii="宋体" w:hAnsi="宋体" w:cs="宋体"/>
              </w:rPr>
              <w:t>人民币</w:t>
            </w:r>
          </w:p>
        </w:tc>
      </w:tr>
      <w:tr w14:paraId="1B3834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3780950B">
            <w:pPr>
              <w:jc w:val="center"/>
              <w:rPr>
                <w:rFonts w:hint="eastAsia" w:ascii="宋体" w:hAnsi="宋体" w:cs="宋体"/>
                <w:b/>
                <w:bCs/>
                <w:sz w:val="24"/>
              </w:rPr>
            </w:pPr>
            <w:r>
              <w:rPr>
                <w:rFonts w:hint="eastAsia" w:ascii="宋体" w:hAnsi="宋体" w:cs="宋体"/>
                <w:b/>
                <w:bCs/>
                <w:sz w:val="24"/>
              </w:rPr>
              <w:t>2</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61FF3E91">
            <w:pPr>
              <w:jc w:val="center"/>
              <w:rPr>
                <w:rFonts w:hint="eastAsia" w:ascii="宋体" w:hAnsi="宋体" w:cs="宋体"/>
                <w:sz w:val="24"/>
              </w:rPr>
            </w:pPr>
            <w:r>
              <w:rPr>
                <w:rFonts w:hint="eastAsia" w:ascii="宋体" w:hAnsi="宋体" w:cs="宋体"/>
                <w:sz w:val="24"/>
              </w:rPr>
              <w:t>交货时间</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6F7BB6EB">
            <w:pPr>
              <w:rPr>
                <w:rFonts w:hint="eastAsia" w:ascii="宋体" w:hAnsi="宋体" w:cs="宋体"/>
              </w:rPr>
            </w:pPr>
            <w:r>
              <w:rPr>
                <w:rFonts w:hint="eastAsia" w:ascii="宋体" w:hAnsi="宋体" w:cs="宋体"/>
              </w:rPr>
              <w:t>自合同签订之日起30个日历天内</w:t>
            </w:r>
          </w:p>
        </w:tc>
      </w:tr>
      <w:tr w14:paraId="32F2F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737C8C02">
            <w:pPr>
              <w:jc w:val="center"/>
              <w:rPr>
                <w:rFonts w:hint="eastAsia" w:ascii="宋体" w:hAnsi="宋体" w:cs="宋体"/>
                <w:b/>
                <w:bCs/>
                <w:sz w:val="24"/>
              </w:rPr>
            </w:pPr>
            <w:r>
              <w:rPr>
                <w:rFonts w:hint="eastAsia" w:ascii="宋体" w:hAnsi="宋体" w:cs="宋体"/>
                <w:b/>
                <w:bCs/>
                <w:sz w:val="24"/>
              </w:rPr>
              <w:t>3</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1C8EB00C">
            <w:pPr>
              <w:jc w:val="center"/>
              <w:rPr>
                <w:rFonts w:hint="eastAsia" w:ascii="宋体" w:hAnsi="宋体" w:cs="宋体"/>
                <w:sz w:val="24"/>
              </w:rPr>
            </w:pPr>
            <w:r>
              <w:rPr>
                <w:rFonts w:hint="eastAsia" w:ascii="宋体" w:hAnsi="宋体" w:cs="宋体"/>
                <w:sz w:val="24"/>
              </w:rPr>
              <w:t>付款方式</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1835BB03">
            <w:pPr>
              <w:numPr>
                <w:ilvl w:val="0"/>
                <w:numId w:val="0"/>
              </w:numPr>
              <w:rPr>
                <w:rFonts w:hint="eastAsia" w:ascii="宋体" w:hAnsi="宋体" w:cs="宋体"/>
              </w:rPr>
            </w:pPr>
            <w:r>
              <w:rPr>
                <w:rFonts w:hint="eastAsia" w:ascii="宋体" w:hAnsi="宋体" w:cs="宋体"/>
                <w:kern w:val="2"/>
                <w:sz w:val="21"/>
                <w:szCs w:val="24"/>
                <w:lang w:val="en-US" w:eastAsia="zh-CN" w:bidi="ar-SA"/>
              </w:rPr>
              <w:t>（1）</w:t>
            </w:r>
            <w:r>
              <w:rPr>
                <w:rFonts w:hint="eastAsia" w:ascii="宋体" w:hAnsi="宋体" w:cs="宋体"/>
              </w:rPr>
              <w:t>合同生效后，成交供应商根据采购人提供的总体技术方案及技术要求完成加工图纸编制及方案交底，经采购人书面确认后，采购人支付合同金额的50%作为预付款。</w:t>
            </w:r>
          </w:p>
          <w:p w14:paraId="2DA2FC94">
            <w:pPr>
              <w:numPr>
                <w:ilvl w:val="0"/>
                <w:numId w:val="0"/>
              </w:numPr>
              <w:rPr>
                <w:rFonts w:hint="eastAsia" w:ascii="宋体" w:hAnsi="宋体" w:cs="宋体"/>
              </w:rPr>
            </w:pPr>
            <w:r>
              <w:rPr>
                <w:rFonts w:hint="eastAsia" w:ascii="宋体" w:hAnsi="宋体" w:cs="宋体"/>
                <w:kern w:val="2"/>
                <w:sz w:val="21"/>
                <w:szCs w:val="24"/>
                <w:lang w:val="en-US" w:eastAsia="zh-CN" w:bidi="ar-SA"/>
              </w:rPr>
              <w:t>（2）</w:t>
            </w:r>
            <w:r>
              <w:rPr>
                <w:rFonts w:hint="eastAsia" w:ascii="宋体" w:hAnsi="宋体" w:cs="宋体"/>
              </w:rPr>
              <w:t>主体结构件、主要工作臂结构件加工完成，并经采购人中期检查确认后，支付合同金额的30%。</w:t>
            </w:r>
          </w:p>
          <w:p w14:paraId="5B3B079C">
            <w:pPr>
              <w:rPr>
                <w:rFonts w:hint="eastAsia" w:ascii="宋体" w:hAnsi="宋体" w:cs="宋体"/>
              </w:rPr>
            </w:pPr>
            <w:r>
              <w:rPr>
                <w:rFonts w:hint="eastAsia" w:ascii="宋体" w:hAnsi="宋体" w:cs="宋体"/>
              </w:rPr>
              <w:t>（3）全部加工、装配、液压电气安装集成和调试工作完成，最终验收合格，成交供应商提交全部技术资料、验收资料、合法有效发票后，支付合同金额的20%，合同价款结清。</w:t>
            </w:r>
          </w:p>
        </w:tc>
      </w:tr>
      <w:tr w14:paraId="45DFE9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7EC107FF">
            <w:pPr>
              <w:jc w:val="center"/>
              <w:rPr>
                <w:rFonts w:hint="eastAsia" w:ascii="宋体" w:hAnsi="宋体" w:cs="宋体"/>
                <w:b/>
                <w:bCs/>
                <w:sz w:val="24"/>
              </w:rPr>
            </w:pPr>
            <w:r>
              <w:rPr>
                <w:rFonts w:hint="eastAsia" w:ascii="宋体" w:hAnsi="宋体" w:cs="宋体"/>
                <w:b/>
                <w:bCs/>
                <w:sz w:val="24"/>
              </w:rPr>
              <w:t>4</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36901A7F">
            <w:pPr>
              <w:pStyle w:val="17"/>
              <w:widowControl w:val="0"/>
              <w:spacing w:before="0" w:beforeAutospacing="0" w:after="0" w:afterAutospacing="0"/>
              <w:rPr>
                <w:rFonts w:hint="eastAsia" w:cs="宋体"/>
                <w:kern w:val="2"/>
              </w:rPr>
            </w:pPr>
            <w:r>
              <w:rPr>
                <w:rFonts w:hint="eastAsia" w:cs="宋体"/>
                <w:kern w:val="2"/>
              </w:rPr>
              <w:t>安装验收</w:t>
            </w:r>
          </w:p>
        </w:tc>
        <w:tc>
          <w:tcPr>
            <w:tcW w:w="3268" w:type="pct"/>
            <w:tcBorders>
              <w:top w:val="single" w:color="auto" w:sz="4" w:space="0"/>
              <w:left w:val="single" w:color="auto" w:sz="4" w:space="0"/>
              <w:bottom w:val="single" w:color="auto" w:sz="4" w:space="0"/>
              <w:right w:val="single" w:color="auto" w:sz="4" w:space="0"/>
            </w:tcBorders>
            <w:noWrap w:val="0"/>
            <w:vAlign w:val="top"/>
          </w:tcPr>
          <w:p w14:paraId="73BFD7DC">
            <w:pPr>
              <w:rPr>
                <w:rFonts w:hint="eastAsia" w:ascii="宋体" w:hAnsi="宋体" w:cs="宋体"/>
              </w:rPr>
            </w:pPr>
            <w:r>
              <w:rPr>
                <w:rFonts w:hint="eastAsia" w:ascii="宋体" w:hAnsi="宋体" w:cs="宋体"/>
              </w:rPr>
              <w:t>（1）成交供应商应在其厂内完成试验装置的加工制作、焊接、装配、液压电气安装集成、自检和调试，具备验收条件后向采购人提交书面验收申请。</w:t>
            </w:r>
          </w:p>
          <w:p w14:paraId="248498E9">
            <w:pPr>
              <w:rPr>
                <w:rFonts w:hint="eastAsia" w:ascii="宋体" w:hAnsi="宋体" w:cs="宋体"/>
              </w:rPr>
            </w:pPr>
            <w:r>
              <w:rPr>
                <w:rFonts w:hint="eastAsia" w:ascii="宋体" w:hAnsi="宋体" w:cs="宋体"/>
              </w:rPr>
              <w:t>（2）验收以采购文件技术要求、双方确认的相关技术文件、书面技术变更文件及合同约定为依据，各项加工质量、功能及性能指标应达到规定要求。</w:t>
            </w:r>
          </w:p>
          <w:p w14:paraId="05556AF6">
            <w:pPr>
              <w:rPr>
                <w:rFonts w:hint="eastAsia" w:ascii="宋体" w:hAnsi="宋体" w:cs="宋体"/>
              </w:rPr>
            </w:pPr>
            <w:r>
              <w:rPr>
                <w:rFonts w:hint="eastAsia" w:ascii="宋体" w:hAnsi="宋体" w:cs="宋体"/>
              </w:rPr>
              <w:t>（3）验收在成交供应商厂内进行。成交供应商应免费提供验收所需的场地、吊装条件、电源、水源、试验载荷、仪器设备、操作人员及安全保障措施。</w:t>
            </w:r>
          </w:p>
          <w:p w14:paraId="2EAE4226">
            <w:pPr>
              <w:rPr>
                <w:rFonts w:hint="eastAsia" w:ascii="宋体" w:hAnsi="宋体" w:cs="宋体"/>
              </w:rPr>
            </w:pPr>
            <w:r>
              <w:rPr>
                <w:rFonts w:hint="eastAsia" w:ascii="宋体" w:hAnsi="宋体" w:cs="宋体"/>
              </w:rPr>
              <w:t>（4）验收内容包括资料检查、外观及尺寸检查、加工焊接质量检查、装配质量检查、液压电气安装检查，以及空载、负载、功能、性能、安全保护和协调集成试验。</w:t>
            </w:r>
          </w:p>
          <w:p w14:paraId="2FF1B61E">
            <w:pPr>
              <w:rPr>
                <w:rFonts w:hint="eastAsia" w:ascii="宋体" w:hAnsi="宋体" w:cs="宋体"/>
              </w:rPr>
            </w:pPr>
            <w:r>
              <w:rPr>
                <w:rFonts w:hint="eastAsia" w:ascii="宋体" w:hAnsi="宋体" w:cs="宋体"/>
              </w:rPr>
              <w:t>（5）锚固扭矩、钻机转速、推进力及打锚、立拱、喷砼3个工序协调集成等考核指标，提供第三方检测报告，并按照采购人确认的试验验收方案进行测试，并全部达到技术要求。</w:t>
            </w:r>
          </w:p>
          <w:p w14:paraId="35FE5B53">
            <w:pPr>
              <w:rPr>
                <w:rFonts w:hint="eastAsia" w:ascii="宋体" w:hAnsi="宋体" w:cs="宋体"/>
              </w:rPr>
            </w:pPr>
            <w:r>
              <w:rPr>
                <w:rFonts w:hint="eastAsia" w:ascii="宋体" w:hAnsi="宋体" w:cs="宋体"/>
              </w:rPr>
              <w:t>（6）验收中发现的加工、焊接、装配、安装或系统集成问题，由成交供应商免费整改并重新试验。各项指标合格、问题整改完成且技术资料提交完整后，方可认定验收合格。</w:t>
            </w:r>
          </w:p>
        </w:tc>
      </w:tr>
      <w:tr w14:paraId="749DD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0E0F7CC4">
            <w:pPr>
              <w:jc w:val="center"/>
              <w:rPr>
                <w:rFonts w:hint="eastAsia" w:ascii="宋体" w:hAnsi="宋体" w:cs="宋体"/>
                <w:b/>
                <w:bCs/>
                <w:sz w:val="24"/>
              </w:rPr>
            </w:pPr>
            <w:r>
              <w:rPr>
                <w:rFonts w:hint="eastAsia" w:ascii="宋体" w:hAnsi="宋体" w:cs="宋体"/>
                <w:b/>
                <w:bCs/>
                <w:sz w:val="24"/>
              </w:rPr>
              <w:t>5</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7F8CE63D">
            <w:pPr>
              <w:pStyle w:val="17"/>
              <w:widowControl w:val="0"/>
              <w:spacing w:before="0" w:beforeAutospacing="0" w:after="0" w:afterAutospacing="0"/>
              <w:rPr>
                <w:rFonts w:hint="eastAsia" w:cs="宋体"/>
                <w:kern w:val="2"/>
              </w:rPr>
            </w:pPr>
            <w:r>
              <w:rPr>
                <w:rFonts w:hint="eastAsia" w:cs="宋体"/>
                <w:kern w:val="2"/>
              </w:rPr>
              <w:t>培训</w:t>
            </w:r>
          </w:p>
        </w:tc>
        <w:tc>
          <w:tcPr>
            <w:tcW w:w="3268" w:type="pct"/>
            <w:tcBorders>
              <w:top w:val="single" w:color="auto" w:sz="4" w:space="0"/>
              <w:left w:val="single" w:color="auto" w:sz="4" w:space="0"/>
              <w:bottom w:val="single" w:color="auto" w:sz="4" w:space="0"/>
              <w:right w:val="single" w:color="auto" w:sz="4" w:space="0"/>
            </w:tcBorders>
            <w:noWrap w:val="0"/>
            <w:vAlign w:val="top"/>
          </w:tcPr>
          <w:p w14:paraId="6642156A">
            <w:pPr>
              <w:rPr>
                <w:rFonts w:hint="eastAsia" w:ascii="宋体" w:hAnsi="宋体" w:cs="宋体"/>
              </w:rPr>
            </w:pPr>
            <w:r>
              <w:rPr>
                <w:rFonts w:hint="eastAsia" w:ascii="宋体" w:hAnsi="宋体" w:cs="宋体"/>
              </w:rPr>
              <w:t>（1）成交供应商应结合加工成果，免费向采购人指定人员开展技术交底和培训，累计培训≥2次、总时长≥8学时。</w:t>
            </w:r>
          </w:p>
          <w:p w14:paraId="5E894C89">
            <w:pPr>
              <w:rPr>
                <w:rFonts w:hint="eastAsia" w:ascii="宋体" w:hAnsi="宋体" w:cs="宋体"/>
              </w:rPr>
            </w:pPr>
            <w:r>
              <w:rPr>
                <w:rFonts w:hint="eastAsia" w:ascii="宋体" w:hAnsi="宋体" w:cs="宋体"/>
              </w:rPr>
              <w:t>（2）培训内容应包括装置结构组成、各机构基本操作、液压电气系统检查、日常维护、拆装注意事项、安全操作、常见故障判断及应急处置等。</w:t>
            </w:r>
          </w:p>
          <w:p w14:paraId="2881918C">
            <w:pPr>
              <w:rPr>
                <w:rFonts w:hint="eastAsia" w:ascii="宋体" w:hAnsi="宋体" w:cs="宋体"/>
              </w:rPr>
            </w:pPr>
            <w:r>
              <w:rPr>
                <w:rFonts w:hint="eastAsia" w:ascii="宋体" w:hAnsi="宋体" w:cs="宋体"/>
              </w:rPr>
              <w:t>（3）成交供应商应提供与实际加工成果一致的培训资料、操作说明、维护说明及必要的图示资料。</w:t>
            </w:r>
          </w:p>
          <w:p w14:paraId="25ACB148">
            <w:pPr>
              <w:rPr>
                <w:rFonts w:hint="eastAsia" w:ascii="宋体" w:hAnsi="宋体" w:cs="宋体"/>
              </w:rPr>
            </w:pPr>
            <w:r>
              <w:rPr>
                <w:rFonts w:hint="eastAsia" w:ascii="宋体" w:hAnsi="宋体" w:cs="宋体"/>
              </w:rPr>
              <w:t>（4）培训应达到采购人指定人员能够了解装置结构、掌握基本操作及安全注意事项的要求；未达到要求的，成交供应商应免费补充培训。</w:t>
            </w:r>
          </w:p>
        </w:tc>
      </w:tr>
      <w:tr w14:paraId="27BEC3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45D9A104">
            <w:pPr>
              <w:jc w:val="center"/>
              <w:rPr>
                <w:rFonts w:hint="eastAsia" w:ascii="宋体" w:hAnsi="宋体" w:cs="宋体"/>
                <w:b/>
                <w:bCs/>
                <w:sz w:val="24"/>
              </w:rPr>
            </w:pPr>
            <w:r>
              <w:rPr>
                <w:rFonts w:hint="eastAsia" w:ascii="宋体" w:hAnsi="宋体" w:cs="宋体"/>
                <w:b/>
                <w:bCs/>
                <w:sz w:val="24"/>
              </w:rPr>
              <w:t>6</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307C9FF7">
            <w:pPr>
              <w:jc w:val="center"/>
              <w:rPr>
                <w:rFonts w:hint="eastAsia" w:ascii="宋体" w:hAnsi="宋体" w:cs="宋体"/>
                <w:sz w:val="24"/>
              </w:rPr>
            </w:pPr>
            <w:r>
              <w:rPr>
                <w:rFonts w:hint="eastAsia" w:ascii="宋体" w:hAnsi="宋体" w:cs="宋体"/>
                <w:sz w:val="24"/>
              </w:rPr>
              <w:t>保修与维修</w:t>
            </w:r>
          </w:p>
        </w:tc>
        <w:tc>
          <w:tcPr>
            <w:tcW w:w="3268" w:type="pct"/>
            <w:tcBorders>
              <w:top w:val="single" w:color="auto" w:sz="4" w:space="0"/>
              <w:left w:val="single" w:color="auto" w:sz="4" w:space="0"/>
              <w:bottom w:val="single" w:color="auto" w:sz="4" w:space="0"/>
              <w:right w:val="single" w:color="auto" w:sz="4" w:space="0"/>
            </w:tcBorders>
            <w:noWrap w:val="0"/>
            <w:vAlign w:val="top"/>
          </w:tcPr>
          <w:p w14:paraId="1A1E810C">
            <w:pPr>
              <w:rPr>
                <w:rFonts w:hint="eastAsia" w:ascii="宋体" w:hAnsi="宋体" w:cs="宋体"/>
              </w:rPr>
            </w:pPr>
            <w:r>
              <w:rPr>
                <w:rFonts w:hint="eastAsia" w:ascii="宋体" w:hAnsi="宋体" w:cs="宋体"/>
              </w:rPr>
              <w:t>（1）本项目质保期为3年，自最终验收合格之日起计算。质保期内，成交供应商应对加工、焊接、装配、液压电气安装及系统集成质量承担保修责任。</w:t>
            </w:r>
          </w:p>
          <w:p w14:paraId="3A318852">
            <w:pPr>
              <w:rPr>
                <w:rFonts w:hint="eastAsia" w:ascii="宋体" w:hAnsi="宋体" w:cs="宋体"/>
              </w:rPr>
            </w:pPr>
            <w:r>
              <w:rPr>
                <w:rFonts w:hint="eastAsia" w:ascii="宋体" w:hAnsi="宋体" w:cs="宋体"/>
              </w:rPr>
              <w:t>（2）在自检、调试、试验及验收过程中发现的加工、焊接、装配、安装或系统集成质量问题，成交供应商应无条件免费整改，直至达到验收要求。</w:t>
            </w:r>
          </w:p>
          <w:p w14:paraId="6FB8DA1C">
            <w:pPr>
              <w:rPr>
                <w:rFonts w:hint="eastAsia" w:ascii="宋体" w:hAnsi="宋体" w:cs="宋体"/>
              </w:rPr>
            </w:pPr>
            <w:r>
              <w:rPr>
                <w:rFonts w:hint="eastAsia" w:ascii="宋体" w:hAnsi="宋体" w:cs="宋体"/>
              </w:rPr>
              <w:t>（3）质保期内，试验装置发生故障或需要维修时，成交供应商应免费提供故障诊断、维修、拆装、调试及技术服务等人工服务；维修、更换所需的原材料、零部件及配件由采购人提供，成交供应商不得另行收取人工费、技术服务费及调试费。</w:t>
            </w:r>
          </w:p>
          <w:p w14:paraId="3D8DD379">
            <w:pPr>
              <w:rPr>
                <w:rFonts w:hint="eastAsia" w:ascii="宋体" w:hAnsi="宋体" w:cs="宋体"/>
              </w:rPr>
            </w:pPr>
            <w:r>
              <w:rPr>
                <w:rFonts w:hint="eastAsia" w:ascii="宋体" w:hAnsi="宋体" w:cs="宋体"/>
              </w:rPr>
              <w:t>（4）成交供应商接到采购人维修通知后，应在4小时内响应，24小时内提出处理方案；确需现场处理的，应及时安排具备相应能力的技术人员到场维修，并配合完成维修后的调试和功能恢复。</w:t>
            </w:r>
          </w:p>
          <w:p w14:paraId="3452918D">
            <w:pPr>
              <w:rPr>
                <w:rFonts w:hint="eastAsia" w:ascii="宋体" w:hAnsi="宋体" w:cs="宋体"/>
              </w:rPr>
            </w:pPr>
            <w:r>
              <w:rPr>
                <w:rFonts w:hint="eastAsia" w:ascii="宋体" w:hAnsi="宋体" w:cs="宋体"/>
              </w:rPr>
              <w:t>（5）因采购人提供的设计文件、原材料、零部件或指定部件本身原因造成的问题，成交供应商应配合采购人进行故障分析和维修处理；成交供应商在加工或维修过程中发现明显错误、缺陷、干涉或安全风险的，应及时书面告知采购人。</w:t>
            </w:r>
          </w:p>
        </w:tc>
      </w:tr>
      <w:tr w14:paraId="1107D5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68" w:type="pct"/>
            <w:tcBorders>
              <w:top w:val="single" w:color="auto" w:sz="4" w:space="0"/>
              <w:left w:val="single" w:color="auto" w:sz="4" w:space="0"/>
              <w:bottom w:val="single" w:color="auto" w:sz="4" w:space="0"/>
              <w:right w:val="single" w:color="auto" w:sz="4" w:space="0"/>
            </w:tcBorders>
            <w:noWrap w:val="0"/>
            <w:vAlign w:val="center"/>
          </w:tcPr>
          <w:p w14:paraId="3AD8779B">
            <w:pPr>
              <w:jc w:val="center"/>
              <w:rPr>
                <w:rFonts w:hint="eastAsia" w:ascii="宋体" w:hAnsi="宋体" w:cs="宋体"/>
                <w:b/>
                <w:bCs/>
                <w:sz w:val="24"/>
              </w:rPr>
            </w:pPr>
            <w:r>
              <w:rPr>
                <w:rFonts w:hint="eastAsia" w:ascii="宋体" w:hAnsi="宋体" w:cs="宋体"/>
                <w:b/>
                <w:bCs/>
                <w:sz w:val="24"/>
              </w:rPr>
              <w:t>7</w:t>
            </w:r>
          </w:p>
        </w:tc>
        <w:tc>
          <w:tcPr>
            <w:tcW w:w="963" w:type="pct"/>
            <w:tcBorders>
              <w:top w:val="single" w:color="auto" w:sz="4" w:space="0"/>
              <w:left w:val="single" w:color="auto" w:sz="4" w:space="0"/>
              <w:bottom w:val="single" w:color="auto" w:sz="4" w:space="0"/>
              <w:right w:val="single" w:color="auto" w:sz="4" w:space="0"/>
            </w:tcBorders>
            <w:noWrap w:val="0"/>
            <w:vAlign w:val="center"/>
          </w:tcPr>
          <w:p w14:paraId="5AB32259">
            <w:pPr>
              <w:jc w:val="center"/>
              <w:rPr>
                <w:rFonts w:hint="eastAsia" w:ascii="宋体" w:hAnsi="宋体" w:cs="宋体"/>
                <w:sz w:val="24"/>
              </w:rPr>
            </w:pPr>
            <w:r>
              <w:rPr>
                <w:rFonts w:hint="eastAsia" w:ascii="宋体" w:hAnsi="宋体" w:cs="宋体"/>
                <w:sz w:val="24"/>
              </w:rPr>
              <w:t>其他条款</w:t>
            </w:r>
          </w:p>
        </w:tc>
        <w:tc>
          <w:tcPr>
            <w:tcW w:w="3268" w:type="pct"/>
            <w:tcBorders>
              <w:top w:val="single" w:color="auto" w:sz="4" w:space="0"/>
              <w:left w:val="single" w:color="auto" w:sz="4" w:space="0"/>
              <w:bottom w:val="single" w:color="auto" w:sz="4" w:space="0"/>
              <w:right w:val="single" w:color="auto" w:sz="4" w:space="0"/>
            </w:tcBorders>
            <w:noWrap w:val="0"/>
            <w:vAlign w:val="top"/>
          </w:tcPr>
          <w:p w14:paraId="7CF38348">
            <w:pPr>
              <w:rPr>
                <w:rFonts w:hint="eastAsia" w:ascii="宋体" w:hAnsi="宋体" w:cs="宋体"/>
              </w:rPr>
            </w:pPr>
            <w:r>
              <w:rPr>
                <w:rFonts w:hint="eastAsia" w:ascii="宋体" w:hAnsi="宋体" w:cs="宋体"/>
              </w:rPr>
              <w:t>（1）项目人员。投标人应在投标文件中明确项目负责人、机械加工工艺负责人、焊接质量负责人、液压技术人员及电气控制人员，并提供相关专业能力或项目经验证明。成交后，上述人员应实际参与本项目，未经采购人书面同意不得擅自更换；确需更换的，替换人员的专业能力、项目经验及履约能力不得低于原承诺人员。</w:t>
            </w:r>
          </w:p>
          <w:p w14:paraId="3AC67841">
            <w:pPr>
              <w:rPr>
                <w:rFonts w:hint="eastAsia" w:ascii="宋体" w:hAnsi="宋体" w:cs="宋体"/>
              </w:rPr>
            </w:pPr>
            <w:r>
              <w:rPr>
                <w:rFonts w:hint="eastAsia" w:ascii="宋体" w:hAnsi="宋体" w:cs="宋体"/>
              </w:rPr>
              <w:t>（2）加工装配能力。成交供应商应具备满足本项目需要的大型结构件焊接、起重吊装及翻转、机械加工、整机总装、液压电气安装集成和厂内调试条件。投标人应提供加工场地、主要设备及加工资源的证明材料，包括设备清单、场地或设备照片、购置凭证、租赁协议或合法协作协议等。采购人有权在评审后或合同履行过程中对相关条件进行核验。</w:t>
            </w:r>
          </w:p>
          <w:p w14:paraId="7B5C9163">
            <w:pPr>
              <w:rPr>
                <w:rFonts w:hint="eastAsia" w:ascii="宋体" w:hAnsi="宋体" w:cs="宋体"/>
              </w:rPr>
            </w:pPr>
            <w:r>
              <w:rPr>
                <w:rFonts w:hint="eastAsia" w:ascii="宋体" w:hAnsi="宋体" w:cs="宋体"/>
              </w:rPr>
              <w:t>（3）禁止擅自转包分包。成交供应商不得将本项目整体转包；关键结构件加工、主要工作臂加工、整机装配、液压电气集成及联调等关键工作不得擅自分包。确需委托专业单位完成热处理、无损检测、大型专用机床加工等专项工序的，应事先取得采购人书面同意，成交供应商对相关成果及履约质量承担全部责任。</w:t>
            </w:r>
          </w:p>
          <w:p w14:paraId="445CC79D">
            <w:pPr>
              <w:rPr>
                <w:rFonts w:hint="eastAsia" w:ascii="宋体" w:hAnsi="宋体" w:cs="宋体"/>
              </w:rPr>
            </w:pPr>
            <w:r>
              <w:rPr>
                <w:rFonts w:hint="eastAsia" w:ascii="宋体" w:hAnsi="宋体" w:cs="宋体"/>
              </w:rPr>
              <w:t>（4）保密要求。采购人提供的技术方案、技术资料、试验方案、试验数据及其他未公开资料，仅限用于本项目。未经采购人书面同意，成交供应商及其人员不得复制、拍照、截屏、外传、展示、发表、申请知识产权、用于其他项目或允许无关第三方接触。</w:t>
            </w:r>
          </w:p>
          <w:p w14:paraId="608B7EF1">
            <w:pPr>
              <w:rPr>
                <w:rFonts w:hint="eastAsia" w:ascii="宋体" w:hAnsi="宋体" w:cs="宋体"/>
              </w:rPr>
            </w:pPr>
            <w:r>
              <w:rPr>
                <w:rFonts w:hint="eastAsia" w:ascii="宋体" w:hAnsi="宋体" w:cs="宋体"/>
              </w:rPr>
              <w:t>（5）知识产权。采购人提供的技术资料及其知识产权归采购人或原权利人所有，成交供应商仅可为履行本项目使用。基于采购人技术资料形成的加工图、工装图、工艺文件、调试记录、试验数据及其他项目成果，应按照合同约定完整移交采购人。未经采购人书面同意，成交供应商不得擅自仿制、生产、销售或许可第三方使用。</w:t>
            </w:r>
          </w:p>
          <w:p w14:paraId="2E800ECA">
            <w:pPr>
              <w:rPr>
                <w:rFonts w:hint="eastAsia" w:ascii="宋体" w:hAnsi="宋体" w:cs="宋体"/>
              </w:rPr>
            </w:pPr>
            <w:r>
              <w:rPr>
                <w:rFonts w:hint="eastAsia" w:ascii="宋体" w:hAnsi="宋体" w:cs="宋体"/>
              </w:rPr>
              <w:t>（6）材料管理。采购人提供的加工材料及部件，成交供应商应办理交接、编号、保管、领用、使用、损耗核销和余料退回手续，不得挪用、替换、出售或用于其他项目。未经采购人书面同意，不得改变材料牌号、部件用途及安装位置。</w:t>
            </w:r>
          </w:p>
          <w:p w14:paraId="0937459D">
            <w:pPr>
              <w:rPr>
                <w:rFonts w:hint="eastAsia" w:ascii="宋体" w:hAnsi="宋体" w:cs="宋体"/>
              </w:rPr>
            </w:pPr>
            <w:r>
              <w:rPr>
                <w:rFonts w:hint="eastAsia" w:ascii="宋体" w:hAnsi="宋体" w:cs="宋体"/>
              </w:rPr>
              <w:t>（7）变更管理。加工过程中发现技术要求不明确、结构干涉、材料问题或安全隐患时，成交供应商应及时书面报告采购人。涉及技术方案、材料、主要尺寸、接口及主要部件的调整或变更，必须取得采购人书面确认后方可实施；未经确认擅自变更产生的返工、损失及工期延误，由成交供应商承担。</w:t>
            </w:r>
          </w:p>
          <w:p w14:paraId="22DB3858">
            <w:pPr>
              <w:rPr>
                <w:rFonts w:hint="eastAsia" w:ascii="宋体" w:hAnsi="宋体" w:cs="宋体"/>
              </w:rPr>
            </w:pPr>
            <w:r>
              <w:rPr>
                <w:rFonts w:hint="eastAsia" w:ascii="宋体" w:hAnsi="宋体" w:cs="宋体"/>
              </w:rPr>
              <w:t>（8）进度违约。因成交供应商原因未按约定期限达到验收条件的，每逾期1个日历天，按合同金额的0.2%支付违约金，累计不超过合同金额的10%。逾期超过10个日历天，或经采购人书面催告后仍未采取有效赶工措施的，采购人有权解除合同，要求返还与未完成工作量对应的已付款项，并追究由此造成的损失。</w:t>
            </w:r>
          </w:p>
          <w:p w14:paraId="6245A33F">
            <w:pPr>
              <w:rPr>
                <w:rFonts w:hint="eastAsia" w:ascii="宋体" w:hAnsi="宋体" w:cs="宋体"/>
              </w:rPr>
            </w:pPr>
            <w:r>
              <w:rPr>
                <w:rFonts w:hint="eastAsia" w:ascii="宋体" w:hAnsi="宋体" w:cs="宋体"/>
              </w:rPr>
              <w:t>（9）资料移交。成交供应商应提交本项目实施过程中形成的加工图纸、相关技术文件、调试及验收资料，资料提交完整后方可办理最终验收及尾款支付。</w:t>
            </w:r>
          </w:p>
          <w:p w14:paraId="58322CF2">
            <w:pPr>
              <w:rPr>
                <w:rFonts w:hint="eastAsia" w:ascii="宋体" w:hAnsi="宋体" w:cs="宋体"/>
              </w:rPr>
            </w:pPr>
            <w:r>
              <w:rPr>
                <w:rFonts w:hint="eastAsia" w:ascii="宋体" w:hAnsi="宋体" w:cs="宋体"/>
              </w:rPr>
              <w:t>（10）投标响应及真实性。投标人应对本表各项内容逐条作出具体响应，不得仅以“完全响应”代替相关说明；存在偏离的，应明确说明偏离内容。投标人提供的人员、业绩、场地、设备及协作资源等证明材料应真实有效。未声明的负偏离，中标后不得作为降低履约标准、增加费用或延长工期的依据；发现弄虚作假的，按照采购文件及有关规定处理。</w:t>
            </w:r>
          </w:p>
        </w:tc>
      </w:tr>
    </w:tbl>
    <w:p w14:paraId="72628E4A">
      <w:pPr>
        <w:ind w:left="0" w:leftChars="0" w:firstLine="0" w:firstLineChars="0"/>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6D628B"/>
    <w:rsid w:val="00014877"/>
    <w:rsid w:val="00107F51"/>
    <w:rsid w:val="00187FB5"/>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068BB"/>
    <w:rsid w:val="082B31B8"/>
    <w:rsid w:val="08B16E7B"/>
    <w:rsid w:val="09076941"/>
    <w:rsid w:val="0913450E"/>
    <w:rsid w:val="097255CA"/>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F48F6"/>
    <w:rsid w:val="2A5B35EC"/>
    <w:rsid w:val="2AB6061E"/>
    <w:rsid w:val="2B0C566F"/>
    <w:rsid w:val="2B1A015B"/>
    <w:rsid w:val="2B261739"/>
    <w:rsid w:val="2B673557"/>
    <w:rsid w:val="2B7427ED"/>
    <w:rsid w:val="2BCF662B"/>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403326B5"/>
    <w:rsid w:val="40415F5B"/>
    <w:rsid w:val="406D628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4541C4"/>
    <w:rsid w:val="4C890E00"/>
    <w:rsid w:val="4CFF544D"/>
    <w:rsid w:val="4D664F0D"/>
    <w:rsid w:val="4D737BC0"/>
    <w:rsid w:val="4D90732F"/>
    <w:rsid w:val="4DB911F5"/>
    <w:rsid w:val="4E39006D"/>
    <w:rsid w:val="4E3F4042"/>
    <w:rsid w:val="4E4A5E9C"/>
    <w:rsid w:val="4E5E0C59"/>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5292B"/>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421A14"/>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27322"/>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 w:val="7FE0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autoRedefine/>
    <w:qFormat/>
    <w:uiPriority w:val="0"/>
    <w:pPr>
      <w:keepNext/>
      <w:keepLines/>
      <w:spacing w:beforeLines="0" w:beforeAutospacing="0" w:afterLines="0" w:afterAutospacing="0" w:line="360" w:lineRule="auto"/>
      <w:jc w:val="center"/>
      <w:outlineLvl w:val="0"/>
    </w:pPr>
    <w:rPr>
      <w:rFonts w:ascii="Times New Roman" w:hAnsi="Times New Roman"/>
      <w:b/>
      <w:kern w:val="44"/>
      <w:sz w:val="44"/>
      <w:szCs w:val="21"/>
    </w:rPr>
  </w:style>
  <w:style w:type="paragraph" w:styleId="3">
    <w:name w:val="heading 2"/>
    <w:basedOn w:val="1"/>
    <w:next w:val="1"/>
    <w:link w:val="13"/>
    <w:autoRedefine/>
    <w:semiHidden/>
    <w:unhideWhenUsed/>
    <w:qFormat/>
    <w:uiPriority w:val="0"/>
    <w:pPr>
      <w:keepNext/>
      <w:keepLines/>
      <w:spacing w:line="360" w:lineRule="auto"/>
      <w:ind w:firstLine="0" w:firstLineChars="0"/>
      <w:jc w:val="left"/>
      <w:outlineLvl w:val="1"/>
    </w:pPr>
    <w:rPr>
      <w:rFonts w:ascii="Arial" w:hAnsi="Arial" w:eastAsia="仿宋"/>
      <w:b/>
      <w:bCs/>
      <w:sz w:val="32"/>
      <w:szCs w:val="32"/>
    </w:rPr>
  </w:style>
  <w:style w:type="paragraph" w:styleId="4">
    <w:name w:val="heading 3"/>
    <w:basedOn w:val="1"/>
    <w:next w:val="5"/>
    <w:link w:val="16"/>
    <w:semiHidden/>
    <w:unhideWhenUsed/>
    <w:qFormat/>
    <w:uiPriority w:val="0"/>
    <w:pPr>
      <w:keepNext/>
      <w:keepLines/>
      <w:spacing w:beforeLines="0" w:afterLines="0" w:line="360" w:lineRule="auto"/>
      <w:ind w:firstLine="0" w:firstLineChars="0"/>
      <w:outlineLvl w:val="2"/>
    </w:pPr>
    <w:rPr>
      <w:rFonts w:eastAsia="仿宋" w:cs="Times New Roman"/>
      <w:b/>
      <w:bCs/>
      <w:sz w:val="30"/>
      <w:szCs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Indent"/>
    <w:basedOn w:val="1"/>
    <w:autoRedefine/>
    <w:qFormat/>
    <w:uiPriority w:val="0"/>
    <w:pPr>
      <w:spacing w:after="120" w:afterLines="0" w:afterAutospacing="0"/>
      <w:ind w:left="420" w:leftChars="200"/>
    </w:pPr>
  </w:style>
  <w:style w:type="paragraph" w:styleId="7">
    <w:name w:val="Plain Text"/>
    <w:basedOn w:val="1"/>
    <w:autoRedefine/>
    <w:qFormat/>
    <w:uiPriority w:val="0"/>
    <w:rPr>
      <w:rFonts w:ascii="宋体" w:hAnsi="Courier New"/>
    </w:rPr>
  </w:style>
  <w:style w:type="paragraph" w:styleId="8">
    <w:name w:val="Title"/>
    <w:basedOn w:val="1"/>
    <w:next w:val="1"/>
    <w:link w:val="15"/>
    <w:autoRedefine/>
    <w:qFormat/>
    <w:uiPriority w:val="0"/>
    <w:pPr>
      <w:spacing w:before="240" w:after="60"/>
      <w:jc w:val="left"/>
      <w:outlineLvl w:val="0"/>
    </w:pPr>
    <w:rPr>
      <w:rFonts w:ascii="Cambria" w:hAnsi="Cambria" w:eastAsia="仿宋" w:cs="黑体"/>
      <w:b/>
      <w:bCs/>
      <w:sz w:val="32"/>
      <w:szCs w:val="32"/>
    </w:rPr>
  </w:style>
  <w:style w:type="paragraph" w:styleId="9">
    <w:name w:val="Body Text First Indent 2"/>
    <w:basedOn w:val="6"/>
    <w:autoRedefine/>
    <w:qFormat/>
    <w:uiPriority w:val="0"/>
    <w:pPr>
      <w:ind w:firstLine="420" w:firstLineChars="200"/>
    </w:pPr>
  </w:style>
  <w:style w:type="character" w:styleId="12">
    <w:name w:val="Hyperlink"/>
    <w:qFormat/>
    <w:uiPriority w:val="0"/>
    <w:rPr>
      <w:rFonts w:ascii="Times New Roman" w:hAnsi="Times New Roman" w:eastAsia="宋体"/>
      <w:color w:val="auto"/>
      <w:u w:val="none"/>
      <w:shd w:val="clear" w:color="auto" w:fill="009688"/>
    </w:rPr>
  </w:style>
  <w:style w:type="character" w:customStyle="1" w:styleId="13">
    <w:name w:val="标题 2 Char"/>
    <w:link w:val="3"/>
    <w:autoRedefine/>
    <w:qFormat/>
    <w:uiPriority w:val="0"/>
    <w:rPr>
      <w:rFonts w:ascii="Arial" w:hAnsi="Arial" w:eastAsia="仿宋"/>
      <w:b/>
      <w:sz w:val="32"/>
      <w:szCs w:val="21"/>
    </w:rPr>
  </w:style>
  <w:style w:type="character" w:customStyle="1" w:styleId="14">
    <w:name w:val="标题 1 Char"/>
    <w:link w:val="2"/>
    <w:autoRedefine/>
    <w:qFormat/>
    <w:uiPriority w:val="0"/>
    <w:rPr>
      <w:rFonts w:ascii="Times New Roman" w:hAnsi="Times New Roman" w:eastAsia="仿宋" w:cs="Times New Roman"/>
      <w:b/>
      <w:kern w:val="44"/>
      <w:sz w:val="44"/>
      <w:szCs w:val="21"/>
    </w:rPr>
  </w:style>
  <w:style w:type="character" w:customStyle="1" w:styleId="15">
    <w:name w:val="标题 Char1"/>
    <w:link w:val="8"/>
    <w:autoRedefine/>
    <w:qFormat/>
    <w:uiPriority w:val="0"/>
    <w:rPr>
      <w:rFonts w:ascii="Cambria" w:hAnsi="Cambria" w:eastAsia="仿宋" w:cs="黑体"/>
      <w:b/>
      <w:bCs/>
      <w:sz w:val="32"/>
      <w:szCs w:val="32"/>
    </w:rPr>
  </w:style>
  <w:style w:type="character" w:customStyle="1" w:styleId="16">
    <w:name w:val="标题 3 Char"/>
    <w:link w:val="4"/>
    <w:autoRedefine/>
    <w:qFormat/>
    <w:uiPriority w:val="0"/>
    <w:rPr>
      <w:rFonts w:ascii="Calibri" w:hAnsi="Calibri" w:eastAsia="仿宋" w:cs="Times New Roman"/>
      <w:b/>
      <w:bCs/>
      <w:sz w:val="30"/>
      <w:szCs w:val="32"/>
    </w:rPr>
  </w:style>
  <w:style w:type="paragraph" w:customStyle="1" w:styleId="17">
    <w:name w:val="xl25"/>
    <w:basedOn w:val="1"/>
    <w:qFormat/>
    <w:uiPriority w:val="0"/>
    <w:pPr>
      <w:widowControl/>
      <w:spacing w:before="100" w:beforeAutospacing="1" w:after="100" w:afterAutospacing="1"/>
      <w:jc w:val="center"/>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2026-09-09T08:28:00Z</dcterms:created>
  <dc:creator>NTKO</dc:creator>
  <cp:lastModifiedBy>NTKO</cp:lastModifiedBy>
  <dcterms:modified xsi:type="dcterms:W3CDTF">2026-09-09T08:29:19Z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356FBCB213224401827DB4D25019653E_11</vt:lpwstr>
  </property>
  <property fmtid="{D5CDD505-2E9C-101B-9397-08002B2CF9AE}" pid="4" name="KSOTemplateDocerSaveRecord">
    <vt:lpwstr>eyJoZGlkIjoiNjBmMzc0MTM4NjJhMmUzY2JiNzliNTRlNzc5MmI0OWYiLCJ1c2VySWQiOiI1MzUzMjkxNjcifQ==</vt:lpwstr>
  </property>
</Properties>
</file>