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5EF7B">
      <w:pPr>
        <w:keepNext/>
        <w:keepLines/>
        <w:widowControl w:val="0"/>
        <w:spacing w:before="0" w:after="0" w:line="500" w:lineRule="exact"/>
        <w:jc w:val="center"/>
        <w:outlineLvl w:val="0"/>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kern w:val="2"/>
          <w:sz w:val="32"/>
          <w:szCs w:val="32"/>
          <w:highlight w:val="none"/>
          <w:lang w:val="en-US" w:eastAsia="zh-CN" w:bidi="ar-SA"/>
        </w:rPr>
        <w:t>采购内容及项目要求</w:t>
      </w:r>
    </w:p>
    <w:p w14:paraId="5F32D6B4">
      <w:pPr>
        <w:widowControl/>
        <w:spacing w:line="500" w:lineRule="exact"/>
        <w:ind w:firstLine="120" w:firstLineChars="50"/>
        <w:jc w:val="left"/>
        <w:rPr>
          <w:rFonts w:hint="eastAsia" w:ascii="宋体" w:hAnsi="宋体" w:eastAsia="宋体" w:cs="宋体"/>
          <w:b/>
          <w:bCs/>
          <w:sz w:val="24"/>
          <w:highlight w:val="none"/>
        </w:rPr>
      </w:pPr>
      <w:r>
        <w:rPr>
          <w:rFonts w:hint="eastAsia" w:ascii="宋体" w:hAnsi="宋体" w:eastAsia="宋体" w:cs="宋体"/>
          <w:b/>
          <w:bCs/>
          <w:sz w:val="24"/>
          <w:highlight w:val="none"/>
        </w:rPr>
        <w:t>一、项目介绍</w:t>
      </w:r>
    </w:p>
    <w:p w14:paraId="69918C5D">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1、项目名称：山东大学饮食管理服务中心2025-2026年大宗伙食物资（济南各校区米面食用油类）供应商遴选</w:t>
      </w:r>
    </w:p>
    <w:p w14:paraId="486CC7AD">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2、项目内容</w:t>
      </w:r>
    </w:p>
    <w:p w14:paraId="2BB51702">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本项目分为四个标段，兼投不兼中，预算总金额2500万元。</w:t>
      </w:r>
    </w:p>
    <w:p w14:paraId="07070DC5">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本项目所有标段的最终结算金额在采购预算限额内按成交单价据实结算，其成交总报价仅作为价格评审依据。</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637"/>
        <w:gridCol w:w="3251"/>
        <w:gridCol w:w="1352"/>
        <w:gridCol w:w="1451"/>
      </w:tblGrid>
      <w:tr w14:paraId="64F17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top"/>
          </w:tcPr>
          <w:p w14:paraId="1250AA08">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序号</w:t>
            </w:r>
          </w:p>
        </w:tc>
        <w:tc>
          <w:tcPr>
            <w:tcW w:w="1746" w:type="dxa"/>
            <w:noWrap w:val="0"/>
            <w:vAlign w:val="center"/>
          </w:tcPr>
          <w:p w14:paraId="6644BD77">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标段</w:t>
            </w:r>
          </w:p>
        </w:tc>
        <w:tc>
          <w:tcPr>
            <w:tcW w:w="3487" w:type="dxa"/>
            <w:noWrap w:val="0"/>
            <w:vAlign w:val="center"/>
          </w:tcPr>
          <w:p w14:paraId="6E49C93B">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类别明细</w:t>
            </w:r>
          </w:p>
        </w:tc>
        <w:tc>
          <w:tcPr>
            <w:tcW w:w="1435" w:type="dxa"/>
            <w:noWrap w:val="0"/>
            <w:vAlign w:val="center"/>
          </w:tcPr>
          <w:p w14:paraId="5A16B101">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遴选数量</w:t>
            </w:r>
          </w:p>
        </w:tc>
        <w:tc>
          <w:tcPr>
            <w:tcW w:w="1524" w:type="dxa"/>
            <w:noWrap w:val="0"/>
            <w:vAlign w:val="center"/>
          </w:tcPr>
          <w:p w14:paraId="625838ED">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预算金额</w:t>
            </w:r>
          </w:p>
        </w:tc>
      </w:tr>
      <w:tr w14:paraId="5F4E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75C7E534">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1</w:t>
            </w:r>
          </w:p>
        </w:tc>
        <w:tc>
          <w:tcPr>
            <w:tcW w:w="1746" w:type="dxa"/>
            <w:noWrap w:val="0"/>
            <w:vAlign w:val="center"/>
          </w:tcPr>
          <w:p w14:paraId="5CBB2BF7">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食用油</w:t>
            </w:r>
          </w:p>
        </w:tc>
        <w:tc>
          <w:tcPr>
            <w:tcW w:w="3487" w:type="dxa"/>
            <w:noWrap w:val="0"/>
            <w:vAlign w:val="center"/>
          </w:tcPr>
          <w:p w14:paraId="44FBEF71">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非转基因大豆油、压榨花生油</w:t>
            </w:r>
          </w:p>
        </w:tc>
        <w:tc>
          <w:tcPr>
            <w:tcW w:w="1435" w:type="dxa"/>
            <w:noWrap w:val="0"/>
            <w:vAlign w:val="center"/>
          </w:tcPr>
          <w:p w14:paraId="40F78274">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w:t>
            </w:r>
          </w:p>
        </w:tc>
        <w:tc>
          <w:tcPr>
            <w:tcW w:w="1524" w:type="dxa"/>
            <w:noWrap w:val="0"/>
            <w:vAlign w:val="center"/>
          </w:tcPr>
          <w:p w14:paraId="53B54A84">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800万元</w:t>
            </w:r>
          </w:p>
        </w:tc>
      </w:tr>
      <w:tr w14:paraId="5FEE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77F5ED8D">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2</w:t>
            </w:r>
          </w:p>
        </w:tc>
        <w:tc>
          <w:tcPr>
            <w:tcW w:w="1746" w:type="dxa"/>
            <w:noWrap w:val="0"/>
            <w:vAlign w:val="center"/>
          </w:tcPr>
          <w:p w14:paraId="3213BE22">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米面杂粮类</w:t>
            </w:r>
          </w:p>
        </w:tc>
        <w:tc>
          <w:tcPr>
            <w:tcW w:w="3487" w:type="dxa"/>
            <w:noWrap w:val="0"/>
            <w:vAlign w:val="center"/>
          </w:tcPr>
          <w:p w14:paraId="413FB94F">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各类小麦粉、大米、杂粮</w:t>
            </w:r>
          </w:p>
        </w:tc>
        <w:tc>
          <w:tcPr>
            <w:tcW w:w="1435" w:type="dxa"/>
            <w:tcBorders>
              <w:top w:val="single" w:color="auto" w:sz="4" w:space="0"/>
              <w:left w:val="nil"/>
              <w:bottom w:val="single" w:color="auto" w:sz="4" w:space="0"/>
              <w:right w:val="single" w:color="auto" w:sz="4" w:space="0"/>
            </w:tcBorders>
            <w:noWrap w:val="0"/>
            <w:vAlign w:val="center"/>
          </w:tcPr>
          <w:p w14:paraId="23A7AE6A">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w:t>
            </w:r>
          </w:p>
        </w:tc>
        <w:tc>
          <w:tcPr>
            <w:tcW w:w="1524" w:type="dxa"/>
            <w:noWrap w:val="0"/>
            <w:vAlign w:val="center"/>
          </w:tcPr>
          <w:p w14:paraId="1B4119C8">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600万元</w:t>
            </w:r>
          </w:p>
        </w:tc>
      </w:tr>
      <w:tr w14:paraId="2A88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3006EFCE">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3</w:t>
            </w:r>
          </w:p>
        </w:tc>
        <w:tc>
          <w:tcPr>
            <w:tcW w:w="1746" w:type="dxa"/>
            <w:noWrap w:val="0"/>
            <w:vAlign w:val="center"/>
          </w:tcPr>
          <w:p w14:paraId="0EB38F4E">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冷冻米面制品</w:t>
            </w:r>
          </w:p>
        </w:tc>
        <w:tc>
          <w:tcPr>
            <w:tcW w:w="3487" w:type="dxa"/>
            <w:noWrap w:val="0"/>
            <w:vAlign w:val="center"/>
          </w:tcPr>
          <w:p w14:paraId="02DE6DFA">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水饺、馄饨、酱肉包、烧麦、虾饺、粽子、汤圆、榴莲酥、奶黄包、豆包、糖包等。</w:t>
            </w:r>
          </w:p>
        </w:tc>
        <w:tc>
          <w:tcPr>
            <w:tcW w:w="1435" w:type="dxa"/>
            <w:tcBorders>
              <w:top w:val="single" w:color="auto" w:sz="4" w:space="0"/>
              <w:left w:val="nil"/>
              <w:bottom w:val="single" w:color="auto" w:sz="4" w:space="0"/>
              <w:right w:val="single" w:color="auto" w:sz="4" w:space="0"/>
            </w:tcBorders>
            <w:noWrap w:val="0"/>
            <w:vAlign w:val="center"/>
          </w:tcPr>
          <w:p w14:paraId="6C4E82B4">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w:t>
            </w:r>
          </w:p>
        </w:tc>
        <w:tc>
          <w:tcPr>
            <w:tcW w:w="1524" w:type="dxa"/>
            <w:noWrap w:val="0"/>
            <w:vAlign w:val="center"/>
          </w:tcPr>
          <w:p w14:paraId="13F8AA4E">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700万元</w:t>
            </w:r>
          </w:p>
        </w:tc>
      </w:tr>
      <w:tr w14:paraId="1D0E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5E2F0049">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4</w:t>
            </w:r>
          </w:p>
        </w:tc>
        <w:tc>
          <w:tcPr>
            <w:tcW w:w="1746" w:type="dxa"/>
            <w:noWrap w:val="0"/>
            <w:vAlign w:val="center"/>
          </w:tcPr>
          <w:p w14:paraId="6157F2A9">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鲜面制品</w:t>
            </w:r>
          </w:p>
        </w:tc>
        <w:tc>
          <w:tcPr>
            <w:tcW w:w="3487" w:type="dxa"/>
            <w:tcBorders>
              <w:right w:val="single" w:color="auto" w:sz="4" w:space="0"/>
            </w:tcBorders>
            <w:noWrap w:val="0"/>
            <w:vAlign w:val="center"/>
          </w:tcPr>
          <w:p w14:paraId="4829C4B3">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鲜面条、重庆小面、水饺皮、馄饨皮、米线、朝鲜面，面皮米皮等</w:t>
            </w:r>
          </w:p>
        </w:tc>
        <w:tc>
          <w:tcPr>
            <w:tcW w:w="1435" w:type="dxa"/>
            <w:tcBorders>
              <w:top w:val="single" w:color="auto" w:sz="4" w:space="0"/>
              <w:left w:val="nil"/>
              <w:bottom w:val="single" w:color="auto" w:sz="4" w:space="0"/>
              <w:right w:val="single" w:color="auto" w:sz="4" w:space="0"/>
            </w:tcBorders>
            <w:noWrap w:val="0"/>
            <w:vAlign w:val="center"/>
          </w:tcPr>
          <w:p w14:paraId="62E56221">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二</w:t>
            </w:r>
          </w:p>
        </w:tc>
        <w:tc>
          <w:tcPr>
            <w:tcW w:w="1524" w:type="dxa"/>
            <w:noWrap w:val="0"/>
            <w:vAlign w:val="center"/>
          </w:tcPr>
          <w:p w14:paraId="4A1CDDCD">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400万元</w:t>
            </w:r>
          </w:p>
        </w:tc>
      </w:tr>
      <w:tr w14:paraId="7D02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36" w:type="dxa"/>
            <w:gridSpan w:val="4"/>
            <w:noWrap w:val="0"/>
            <w:vAlign w:val="top"/>
          </w:tcPr>
          <w:p w14:paraId="79F5B6CC">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bCs/>
                <w:szCs w:val="21"/>
                <w:highlight w:val="none"/>
              </w:rPr>
              <w:t>合计</w:t>
            </w:r>
          </w:p>
        </w:tc>
        <w:tc>
          <w:tcPr>
            <w:tcW w:w="1524" w:type="dxa"/>
            <w:noWrap w:val="0"/>
            <w:vAlign w:val="center"/>
          </w:tcPr>
          <w:p w14:paraId="51E2D2D5">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2500万元</w:t>
            </w:r>
          </w:p>
        </w:tc>
      </w:tr>
    </w:tbl>
    <w:p w14:paraId="188BFFA8">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3、供货服务期限：签订采购服务协议后11个月。预算金额若在小于11个月内执行完毕，合同终止。</w:t>
      </w:r>
    </w:p>
    <w:p w14:paraId="5C54869C">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4、货款支付</w:t>
      </w:r>
    </w:p>
    <w:p w14:paraId="60C5ACCF">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4.1支票或转账支付，不支付预付款</w:t>
      </w:r>
    </w:p>
    <w:p w14:paraId="4BC144A0">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4.2采购协议生效后，每月25日之前以当月采购人入库凭证，结算当月费用（遇法定节假日和寒暑假顺延，账款最长支付期限不超过90天）</w:t>
      </w:r>
    </w:p>
    <w:p w14:paraId="3467ADE4">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4.3供货供应商出具销货清单（加盖公章）与正式发票，采购人出具入库单，双方核对无误签字确认后作为结算凭证。</w:t>
      </w:r>
    </w:p>
    <w:p w14:paraId="489ED174">
      <w:pPr>
        <w:widowControl/>
        <w:spacing w:line="500" w:lineRule="exact"/>
        <w:ind w:firstLine="120" w:firstLineChars="50"/>
        <w:jc w:val="left"/>
        <w:rPr>
          <w:rFonts w:hint="eastAsia" w:ascii="宋体" w:hAnsi="宋体" w:eastAsia="宋体" w:cs="宋体"/>
          <w:b/>
          <w:bCs/>
          <w:sz w:val="24"/>
          <w:highlight w:val="none"/>
        </w:rPr>
      </w:pPr>
      <w:r>
        <w:rPr>
          <w:rFonts w:hint="eastAsia" w:ascii="宋体" w:hAnsi="宋体" w:eastAsia="宋体" w:cs="宋体"/>
          <w:b/>
          <w:bCs/>
          <w:sz w:val="24"/>
          <w:highlight w:val="none"/>
        </w:rPr>
        <w:t>二、项目要求</w:t>
      </w:r>
    </w:p>
    <w:p w14:paraId="7D35E65C">
      <w:pPr>
        <w:spacing w:line="500" w:lineRule="exact"/>
        <w:ind w:right="2"/>
        <w:rPr>
          <w:rFonts w:hint="eastAsia" w:ascii="宋体" w:hAnsi="宋体" w:eastAsia="宋体" w:cs="宋体"/>
          <w:b/>
          <w:bCs/>
          <w:sz w:val="24"/>
          <w:highlight w:val="none"/>
        </w:rPr>
      </w:pPr>
      <w:r>
        <w:rPr>
          <w:rFonts w:hint="eastAsia" w:ascii="宋体" w:hAnsi="宋体" w:eastAsia="宋体" w:cs="宋体"/>
          <w:b/>
          <w:bCs/>
          <w:sz w:val="24"/>
          <w:highlight w:val="none"/>
        </w:rPr>
        <w:t>1.报价要求</w:t>
      </w:r>
    </w:p>
    <w:p w14:paraId="69BF186F">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1.1食用油</w:t>
      </w:r>
    </w:p>
    <w:p w14:paraId="480277D2">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1.1.1供应商报价为下浮金额，下浮金额中应包含税费、成本、利润、运输、装卸、包装、存储、抽检费、各类人工成本、检测、保险费、电子遴选文件技术和商务条款所列所有内容与相关服务等为完成本次项目的所有费用，且报价为含税价。</w:t>
      </w:r>
    </w:p>
    <w:p w14:paraId="5CBEA99E">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1.1.2“下浮金额”的基准值，以距开标前最近一次中华人民共和国商务部发布的商务预报中“周度监测数据-豆油（零售）&amp;花生油（零售）”价格为基准，每升下浮元。</w:t>
      </w:r>
    </w:p>
    <w:p w14:paraId="43F799BF">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（https://cif.mofcom.gov.cn/cif/html/dataCenter2021/index.html?jgnfcprd）</w:t>
      </w:r>
    </w:p>
    <w:p w14:paraId="0D9ABB18">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1.1.3非转基因大豆油最高限价（最低下浮金额）为1元/升且报价只保留小数点后一位数。（</w:t>
      </w:r>
      <w:r>
        <w:rPr>
          <w:rFonts w:hint="eastAsia" w:ascii="宋体" w:hAnsi="宋体" w:eastAsia="宋体" w:cs="宋体"/>
          <w:b/>
          <w:sz w:val="24"/>
          <w:highlight w:val="none"/>
        </w:rPr>
        <w:t>报价不符合最低下浮金额的为无效投标</w:t>
      </w:r>
      <w:r>
        <w:rPr>
          <w:rFonts w:hint="eastAsia" w:ascii="宋体" w:hAnsi="宋体" w:eastAsia="宋体" w:cs="宋体"/>
          <w:sz w:val="24"/>
          <w:highlight w:val="none"/>
        </w:rPr>
        <w:t>）；压榨花生油最高限价（最低下浮金额）为5元/升且报价只保留小数点后一位数。（</w:t>
      </w:r>
      <w:r>
        <w:rPr>
          <w:rFonts w:hint="eastAsia" w:ascii="宋体" w:hAnsi="宋体" w:eastAsia="宋体" w:cs="宋体"/>
          <w:b/>
          <w:sz w:val="24"/>
          <w:highlight w:val="none"/>
        </w:rPr>
        <w:t>报价不符合最低下浮金额的为无效投标</w:t>
      </w:r>
      <w:r>
        <w:rPr>
          <w:rFonts w:hint="eastAsia" w:ascii="宋体" w:hAnsi="宋体" w:eastAsia="宋体" w:cs="宋体"/>
          <w:sz w:val="24"/>
          <w:highlight w:val="none"/>
        </w:rPr>
        <w:t>）</w:t>
      </w:r>
    </w:p>
    <w:p w14:paraId="38E130B1">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1.2米面杂粮类，冷冻米面制品，鲜面制品</w:t>
      </w:r>
    </w:p>
    <w:p w14:paraId="038DE4EC">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1.2.1供应商报价应包含税费、成本、利润、运输、装卸、包装、存储、抽检费、各类人工成本、检测、保险费、电子遴选文件技术和商务条款所列所有内容与相关服务等为完成本次项目的所有费用，且报价为含税价。</w:t>
      </w:r>
    </w:p>
    <w:p w14:paraId="6A827744">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1.2.2供应商需承诺所供投标产品应低于城区内主要农副产品大型批发市场价格，并愿意随时接受采购人的市场调查。</w:t>
      </w:r>
    </w:p>
    <w:p w14:paraId="1BFB5978">
      <w:pPr>
        <w:spacing w:line="500" w:lineRule="exact"/>
        <w:ind w:right="2"/>
        <w:rPr>
          <w:rFonts w:hint="eastAsia" w:ascii="宋体" w:hAnsi="宋体" w:eastAsia="宋体" w:cs="宋体"/>
          <w:b/>
          <w:bCs/>
          <w:sz w:val="24"/>
          <w:highlight w:val="none"/>
        </w:rPr>
      </w:pPr>
      <w:r>
        <w:rPr>
          <w:rFonts w:hint="eastAsia" w:ascii="宋体" w:hAnsi="宋体" w:eastAsia="宋体" w:cs="宋体"/>
          <w:b/>
          <w:bCs/>
          <w:sz w:val="24"/>
          <w:highlight w:val="none"/>
        </w:rPr>
        <w:t>2.遴选供应商确定以及采购量分配原则</w:t>
      </w:r>
    </w:p>
    <w:p w14:paraId="05B6B850">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2.1食用油经评分排序前三位的供应商。</w:t>
      </w:r>
    </w:p>
    <w:p w14:paraId="67A61C9F">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2.2米面杂粮类经评分排序前三位的供应商。</w:t>
      </w:r>
    </w:p>
    <w:p w14:paraId="01465A6A">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2.3冷冻米面制品经评分排序前三位的供应商。</w:t>
      </w:r>
    </w:p>
    <w:p w14:paraId="7884B307">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2.4鲜面制品经评分排序前二位的供应商。</w:t>
      </w:r>
    </w:p>
    <w:p w14:paraId="52A608AB">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2.5本项目确认的遴选供应商按遴选报价，依据采购人分配的供货区域进行周期性轮换供货。整个服务周期内采购人需求部门有权选择质优价廉，服务良好的供应商供货。本次遴选只保障供应商的遴选资格，不保证供货数量。</w:t>
      </w:r>
    </w:p>
    <w:p w14:paraId="6903A5D9">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2.6</w:t>
      </w:r>
      <w:r>
        <w:rPr>
          <w:rFonts w:hint="eastAsia" w:ascii="宋体" w:hAnsi="宋体" w:eastAsia="宋体" w:cs="宋体"/>
          <w:b/>
          <w:sz w:val="24"/>
          <w:highlight w:val="none"/>
        </w:rPr>
        <w:t>各供应商在投标时需对此条内容作出明确承诺，完全理解并服从此分配原则，否则一律按无效投标处理</w:t>
      </w:r>
      <w:r>
        <w:rPr>
          <w:rFonts w:hint="eastAsia" w:ascii="宋体" w:hAnsi="宋体" w:eastAsia="宋体" w:cs="宋体"/>
          <w:sz w:val="24"/>
          <w:highlight w:val="none"/>
        </w:rPr>
        <w:t>。</w:t>
      </w:r>
    </w:p>
    <w:p w14:paraId="5A92685E">
      <w:pPr>
        <w:spacing w:line="500" w:lineRule="exact"/>
        <w:ind w:right="2"/>
        <w:rPr>
          <w:rFonts w:hint="eastAsia" w:ascii="宋体" w:hAnsi="宋体" w:eastAsia="宋体" w:cs="宋体"/>
          <w:b/>
          <w:bCs/>
          <w:sz w:val="24"/>
          <w:highlight w:val="none"/>
        </w:rPr>
      </w:pPr>
      <w:r>
        <w:rPr>
          <w:rFonts w:hint="eastAsia" w:ascii="宋体" w:hAnsi="宋体" w:eastAsia="宋体" w:cs="宋体"/>
          <w:b/>
          <w:bCs/>
          <w:sz w:val="24"/>
          <w:highlight w:val="none"/>
        </w:rPr>
        <w:t>3.定价方法及价格执行周期</w:t>
      </w:r>
    </w:p>
    <w:p w14:paraId="4620C671">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3.1食用油</w:t>
      </w:r>
    </w:p>
    <w:p w14:paraId="56140B0B">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3.1.1基准价格-确认的遴选报价（下浮金额）=遴选供应商每日结算价格</w:t>
      </w:r>
    </w:p>
    <w:p w14:paraId="0B76B655">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基准价格参照：中华人民共和国商务部发布的商务预报中“周度监测数据-豆油（零售）&amp;花生油（零售）”上月26日至当月25日的月平均价格为基准。</w:t>
      </w:r>
    </w:p>
    <w:p w14:paraId="65A2C132">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（https://cif.mofcom.gov.cn/cif/html/dataCenter2021/index.html?jgnfcprd）</w:t>
      </w:r>
    </w:p>
    <w:p w14:paraId="19A25B26">
      <w:pPr>
        <w:spacing w:line="500" w:lineRule="exact"/>
        <w:ind w:right="2"/>
        <w:rPr>
          <w:rFonts w:hint="eastAsia" w:ascii="宋体" w:hAnsi="宋体" w:eastAsia="宋体" w:cs="宋体"/>
          <w:sz w:val="24"/>
          <w:highlight w:val="none"/>
        </w:rPr>
      </w:pPr>
      <w:bookmarkStart w:id="0" w:name="_Hlk193292722"/>
      <w:r>
        <w:rPr>
          <w:rFonts w:hint="eastAsia" w:ascii="宋体" w:hAnsi="宋体" w:eastAsia="宋体" w:cs="宋体"/>
          <w:sz w:val="24"/>
          <w:highlight w:val="none"/>
        </w:rPr>
        <w:t>3.1.2确认的遴选报价合同期内不予调整。</w:t>
      </w:r>
    </w:p>
    <w:bookmarkEnd w:id="0"/>
    <w:p w14:paraId="70A7269D">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3.1.3食用油基准价发布平台若遇政策性调整或技术原因等不可抗力因素出现包括：官宣停止发布的；超过常规发布时间15天以上的仍未更新的；因各种因素导致基准价与地区价格产生重大偏差且不少于15天时，可启动备用基准价参考。</w:t>
      </w:r>
    </w:p>
    <w:p w14:paraId="3579DDBC">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3.1.4备用基准价经双方联合市场调查同品牌同系列同时期市场实际售价为基准，并按照成交的遴选报价下浮金额执行。</w:t>
      </w:r>
    </w:p>
    <w:p w14:paraId="6ECFC21B">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3.2米面杂粮类，冷冻米面制品，鲜面制品</w:t>
      </w:r>
    </w:p>
    <w:p w14:paraId="2230A9BC">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3.2.1确认的遴选报价执行周期为四个月</w:t>
      </w:r>
    </w:p>
    <w:p w14:paraId="17F63B9E">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3.2.2剩余服务周期内遴选供应商与采购人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p>
    <w:p w14:paraId="24FCA44B">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3.2.3剩余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14:paraId="38FD9376">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3.2.4在价格执行周期中，若因发生自然灾害等不可抗力因素导致市场价格浮动比例超过当期执行价格20%且时间不少于7天时，遴选供应商和采购人才可以提出启动应急议价机制，经双方协商一致，重新商定当期供货价格并视情况调整议价周期。</w:t>
      </w:r>
    </w:p>
    <w:p w14:paraId="6294ABBE">
      <w:pPr>
        <w:spacing w:line="500" w:lineRule="exact"/>
        <w:ind w:right="2"/>
        <w:rPr>
          <w:rFonts w:hint="eastAsia" w:ascii="宋体" w:hAnsi="宋体" w:eastAsia="宋体" w:cs="宋体"/>
          <w:b/>
          <w:bCs/>
          <w:sz w:val="24"/>
          <w:highlight w:val="none"/>
        </w:rPr>
      </w:pPr>
      <w:r>
        <w:rPr>
          <w:rFonts w:hint="eastAsia" w:ascii="宋体" w:hAnsi="宋体" w:eastAsia="宋体" w:cs="宋体"/>
          <w:b/>
          <w:bCs/>
          <w:sz w:val="24"/>
          <w:highlight w:val="none"/>
        </w:rPr>
        <w:t>4.配送及交货时限要求</w:t>
      </w:r>
    </w:p>
    <w:p w14:paraId="3E5344FF">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4.1配送区域</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48"/>
        <w:gridCol w:w="2291"/>
        <w:gridCol w:w="3083"/>
      </w:tblGrid>
      <w:tr w14:paraId="6AB1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6BB0753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配送区域</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D870B9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4C9E71D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地址</w:t>
            </w:r>
          </w:p>
        </w:tc>
      </w:tr>
      <w:tr w14:paraId="7298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7532248E">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山东大学中心校区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489C079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齐园餐厅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6441DCB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山大南路27号</w:t>
            </w:r>
          </w:p>
        </w:tc>
      </w:tr>
      <w:tr w14:paraId="2FD9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1DB5FEF">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山东大学洪家楼校区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2598DD7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三号食堂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2D08A38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洪家楼5号</w:t>
            </w:r>
          </w:p>
        </w:tc>
      </w:tr>
      <w:tr w14:paraId="5D70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6B9C362E">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山东大学洪家楼校区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2020EB6">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七号食堂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7EC4DC5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洪家楼5号</w:t>
            </w:r>
          </w:p>
        </w:tc>
      </w:tr>
      <w:tr w14:paraId="08305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299DEF3A">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山东大学趵突泉校区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7298EEF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杏园餐厅</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7BF6361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文化西路44号</w:t>
            </w:r>
          </w:p>
        </w:tc>
      </w:tr>
      <w:tr w14:paraId="1F14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5DB86029">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山东大学千佛山校区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19B649C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58E8432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经十路17923号</w:t>
            </w:r>
          </w:p>
        </w:tc>
      </w:tr>
      <w:tr w14:paraId="2BA95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7FD04983">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山东大学千佛山校区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6D0C871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0F551AF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经十路17923号</w:t>
            </w:r>
          </w:p>
        </w:tc>
      </w:tr>
      <w:tr w14:paraId="366C7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71DBA74">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山东大学兴隆山校区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34ACC67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一号食堂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2137B3D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二环南路12550号</w:t>
            </w:r>
          </w:p>
        </w:tc>
      </w:tr>
      <w:tr w14:paraId="2FA3A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22EF873E">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山东大学兴隆山校区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04B68A0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二号食堂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703681B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二环南路12550号</w:t>
            </w:r>
          </w:p>
        </w:tc>
      </w:tr>
      <w:tr w14:paraId="4711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33F4BE09">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山东大学齐鲁软件园校区</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3F654FB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学生食堂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4C49E81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舜华路1500号</w:t>
            </w:r>
          </w:p>
        </w:tc>
      </w:tr>
      <w:tr w14:paraId="4DD2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847" w:type="pct"/>
            <w:tcBorders>
              <w:top w:val="single" w:color="auto" w:sz="4" w:space="0"/>
              <w:left w:val="single" w:color="auto" w:sz="4" w:space="0"/>
              <w:bottom w:val="single" w:color="auto" w:sz="4" w:space="0"/>
              <w:right w:val="single" w:color="auto" w:sz="4" w:space="0"/>
            </w:tcBorders>
            <w:noWrap w:val="0"/>
            <w:vAlign w:val="center"/>
          </w:tcPr>
          <w:p w14:paraId="150991E5">
            <w:pPr>
              <w:spacing w:line="440" w:lineRule="exact"/>
              <w:jc w:val="center"/>
              <w:rPr>
                <w:rFonts w:hint="eastAsia" w:ascii="宋体" w:hAnsi="宋体" w:eastAsia="宋体" w:cs="宋体"/>
                <w:szCs w:val="21"/>
                <w:highlight w:val="none"/>
              </w:rPr>
            </w:pPr>
            <w:r>
              <w:rPr>
                <w:rFonts w:hint="eastAsia" w:ascii="宋体" w:hAnsi="宋体" w:eastAsia="宋体" w:cs="宋体"/>
                <w:color w:val="000000"/>
                <w:szCs w:val="21"/>
                <w:highlight w:val="none"/>
              </w:rPr>
              <w:t>山东大学龙山校区（创新港）</w:t>
            </w:r>
          </w:p>
        </w:tc>
        <w:tc>
          <w:tcPr>
            <w:tcW w:w="1344" w:type="pct"/>
            <w:tcBorders>
              <w:top w:val="single" w:color="auto" w:sz="4" w:space="0"/>
              <w:left w:val="single" w:color="auto" w:sz="4" w:space="0"/>
              <w:bottom w:val="single" w:color="auto" w:sz="4" w:space="0"/>
              <w:right w:val="single" w:color="auto" w:sz="4" w:space="0"/>
            </w:tcBorders>
            <w:noWrap w:val="0"/>
            <w:vAlign w:val="center"/>
          </w:tcPr>
          <w:p w14:paraId="74A835D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附中食堂</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166652C2">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章丘区</w:t>
            </w:r>
          </w:p>
        </w:tc>
      </w:tr>
    </w:tbl>
    <w:p w14:paraId="28D3F1BC">
      <w:pPr>
        <w:spacing w:line="500" w:lineRule="exact"/>
        <w:rPr>
          <w:rFonts w:hint="eastAsia" w:ascii="宋体" w:hAnsi="宋体" w:eastAsia="宋体" w:cs="宋体"/>
          <w:sz w:val="24"/>
          <w:highlight w:val="none"/>
        </w:rPr>
      </w:pPr>
      <w:r>
        <w:rPr>
          <w:rFonts w:hint="eastAsia" w:ascii="宋体" w:hAnsi="宋体" w:eastAsia="宋体" w:cs="宋体"/>
          <w:sz w:val="24"/>
          <w:highlight w:val="none"/>
        </w:rPr>
        <w:t>4.2鲜面制品需每天进行配送，各校区所属餐厅每天验收时段为5-6点，且为同时验收，供应商需按照餐厅数量配置运输资源。其余原料以餐厅订单中要求的配送时限为准。</w:t>
      </w:r>
    </w:p>
    <w:p w14:paraId="3E8B4080">
      <w:pPr>
        <w:spacing w:line="500" w:lineRule="exact"/>
        <w:rPr>
          <w:rFonts w:hint="eastAsia" w:ascii="宋体" w:hAnsi="宋体" w:eastAsia="宋体" w:cs="宋体"/>
          <w:sz w:val="24"/>
          <w:highlight w:val="none"/>
        </w:rPr>
      </w:pPr>
      <w:r>
        <w:rPr>
          <w:rFonts w:hint="eastAsia" w:ascii="宋体" w:hAnsi="宋体" w:eastAsia="宋体" w:cs="宋体"/>
          <w:sz w:val="24"/>
          <w:highlight w:val="none"/>
        </w:rPr>
        <w:t>4.3需使用食品专用运输车辆；低温产品需使用食品专用冷链车辆并按操作规定和标准进行运输。供应商使用第三方租赁车辆承担同等的食品安全责任。</w:t>
      </w:r>
    </w:p>
    <w:p w14:paraId="4C21D0DE">
      <w:pPr>
        <w:spacing w:line="500" w:lineRule="exact"/>
        <w:rPr>
          <w:rFonts w:hint="eastAsia" w:ascii="宋体" w:hAnsi="宋体" w:eastAsia="宋体" w:cs="宋体"/>
          <w:sz w:val="24"/>
          <w:highlight w:val="none"/>
        </w:rPr>
      </w:pPr>
      <w:r>
        <w:rPr>
          <w:rFonts w:hint="eastAsia" w:ascii="宋体" w:hAnsi="宋体" w:eastAsia="宋体" w:cs="宋体"/>
          <w:sz w:val="24"/>
          <w:highlight w:val="none"/>
        </w:rPr>
        <w:t>4.4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14:paraId="700A171C">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5.货物验收</w:t>
      </w:r>
    </w:p>
    <w:p w14:paraId="1A6625A7">
      <w:pPr>
        <w:spacing w:line="500" w:lineRule="exact"/>
        <w:rPr>
          <w:rFonts w:hint="eastAsia" w:ascii="宋体" w:hAnsi="宋体" w:eastAsia="宋体" w:cs="宋体"/>
          <w:sz w:val="24"/>
          <w:highlight w:val="none"/>
        </w:rPr>
      </w:pPr>
      <w:r>
        <w:rPr>
          <w:rFonts w:hint="eastAsia" w:ascii="宋体" w:hAnsi="宋体" w:eastAsia="宋体" w:cs="宋体"/>
          <w:sz w:val="24"/>
          <w:highlight w:val="none"/>
        </w:rPr>
        <w:t>5.1遴选供应商提供的产品及外包装必须符合国家相关法律法规和标准要求，并符合电子遴选文件中技术指标要求，以及投标承诺的质量标准。日常配送的产品应具有产品应有的色泽、滋味和气味，无异味；并具有产品应有的状态，无霉变，无正常视力可见的外来异物。</w:t>
      </w:r>
    </w:p>
    <w:p w14:paraId="2F00CDCF">
      <w:pPr>
        <w:spacing w:line="500" w:lineRule="exact"/>
        <w:rPr>
          <w:rFonts w:hint="eastAsia" w:ascii="宋体" w:hAnsi="宋体" w:eastAsia="宋体" w:cs="宋体"/>
          <w:sz w:val="24"/>
          <w:highlight w:val="none"/>
        </w:rPr>
      </w:pPr>
      <w:r>
        <w:rPr>
          <w:rFonts w:hint="eastAsia" w:ascii="宋体" w:hAnsi="宋体" w:eastAsia="宋体" w:cs="宋体"/>
          <w:sz w:val="24"/>
          <w:highlight w:val="none"/>
        </w:rPr>
        <w:t>5.2确定的遴选供应商实际供应的物资应与电子响应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2DA253AC">
      <w:pPr>
        <w:spacing w:line="500" w:lineRule="exact"/>
        <w:rPr>
          <w:rFonts w:hint="eastAsia" w:ascii="宋体" w:hAnsi="宋体" w:eastAsia="宋体" w:cs="宋体"/>
          <w:sz w:val="24"/>
          <w:highlight w:val="none"/>
        </w:rPr>
      </w:pPr>
      <w:r>
        <w:rPr>
          <w:rFonts w:hint="eastAsia" w:ascii="宋体" w:hAnsi="宋体" w:eastAsia="宋体" w:cs="宋体"/>
          <w:sz w:val="24"/>
          <w:highlight w:val="none"/>
        </w:rPr>
        <w:t>5.3遴选供应商应提供的随货资质包括：销货清单（加盖公章）一式三份、产品合格证。非同一批次产品的，需提供相应批次的出厂检验报告。</w:t>
      </w:r>
    </w:p>
    <w:p w14:paraId="1FDF8F18">
      <w:pPr>
        <w:spacing w:line="500" w:lineRule="exact"/>
        <w:rPr>
          <w:rFonts w:hint="eastAsia" w:ascii="宋体" w:hAnsi="宋体" w:eastAsia="宋体" w:cs="宋体"/>
          <w:sz w:val="24"/>
          <w:highlight w:val="none"/>
        </w:rPr>
      </w:pPr>
      <w:r>
        <w:rPr>
          <w:rFonts w:hint="eastAsia" w:ascii="宋体" w:hAnsi="宋体" w:eastAsia="宋体" w:cs="宋体"/>
          <w:sz w:val="24"/>
          <w:highlight w:val="none"/>
        </w:rPr>
        <w:t>5.4验收流程和不合格品处置方式应按照采购人制定的《饮食管理服务中心采购验收标准》执行。</w:t>
      </w:r>
    </w:p>
    <w:p w14:paraId="2942094D">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6.服务保障及其他要求</w:t>
      </w:r>
    </w:p>
    <w:p w14:paraId="68F11404">
      <w:pPr>
        <w:spacing w:line="500" w:lineRule="exact"/>
        <w:rPr>
          <w:rFonts w:hint="eastAsia" w:ascii="宋体" w:hAnsi="宋体" w:eastAsia="宋体" w:cs="宋体"/>
          <w:sz w:val="24"/>
          <w:highlight w:val="none"/>
        </w:rPr>
      </w:pPr>
      <w:bookmarkStart w:id="1" w:name="_Hlk197504613"/>
      <w:r>
        <w:rPr>
          <w:rFonts w:hint="eastAsia" w:ascii="宋体" w:hAnsi="宋体" w:eastAsia="宋体" w:cs="宋体"/>
          <w:sz w:val="24"/>
          <w:highlight w:val="none"/>
        </w:rPr>
        <w:t>6.1遴选供应商应具有组织配送、调运、分拣、二次搬运的能力。供应商具有固定的配送网点服务能力。</w:t>
      </w:r>
    </w:p>
    <w:p w14:paraId="418FBDBF">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6.2若采购人发现在质保期内食材腐烂变质，供应商应及时进行处理，并更换相应数量的物资。</w:t>
      </w:r>
    </w:p>
    <w:p w14:paraId="3A809758">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6.3遴选供应商应按采购人要求，配合完成相关资质索证等，包括但不仅限于营业执照、食品生产许可证或食品经营许可证等，并及时提供产品的最新检测报告，报告检测项目不能低于电子遴选文件中列明的技术指标项目。供应商不及时提供产品的最新检测报告或检测报告中检测项目与电子遴选文件中列明的技术指标项目不符，采购人有权将产品进行送检或相关部门抽检，抽检费由供应商承担。</w:t>
      </w:r>
    </w:p>
    <w:p w14:paraId="0C1E6E2B">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6.4 保证根据学校教学规律，在寒暑假等假期内，以及在发生诸如货源紧张、物价突涨时供应商应顾全大局，确保供应，保障学校稳定。应保持契约精神，在未出现紧急议价调价情况下，不得以无货为由拒绝供货。</w:t>
      </w:r>
    </w:p>
    <w:p w14:paraId="3170FAB4">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6.5 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14:paraId="3C52C769">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6.6 </w:t>
      </w:r>
      <w:bookmarkStart w:id="2" w:name="_Hlk166229129"/>
      <w:r>
        <w:rPr>
          <w:rFonts w:hint="eastAsia" w:ascii="宋体" w:hAnsi="宋体" w:eastAsia="宋体" w:cs="宋体"/>
          <w:sz w:val="24"/>
          <w:highlight w:val="none"/>
        </w:rPr>
        <w:t>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14:paraId="0733504E">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6.7 在合同执行期内，采购人因政府、主管部门要求和实际采购需求，可采用电商乡村振兴采购、农校对接采购、乡村振兴直接采购和网上竞价采购等方式采购该项目中标产品，确定的遴选供应商不得提出任何异议。</w:t>
      </w:r>
    </w:p>
    <w:p w14:paraId="1F5579C2">
      <w:pPr>
        <w:spacing w:line="500" w:lineRule="exact"/>
        <w:rPr>
          <w:rFonts w:hint="eastAsia" w:ascii="宋体" w:hAnsi="宋体" w:eastAsia="宋体" w:cs="宋体"/>
          <w:sz w:val="24"/>
          <w:highlight w:val="none"/>
        </w:rPr>
      </w:pPr>
      <w:r>
        <w:rPr>
          <w:rFonts w:hint="eastAsia" w:ascii="宋体" w:hAnsi="宋体" w:eastAsia="宋体" w:cs="宋体"/>
          <w:sz w:val="24"/>
          <w:highlight w:val="none"/>
        </w:rPr>
        <w:t>6.8</w:t>
      </w:r>
      <w:bookmarkEnd w:id="2"/>
      <w:r>
        <w:rPr>
          <w:rFonts w:hint="eastAsia" w:ascii="宋体" w:hAnsi="宋体" w:eastAsia="宋体" w:cs="宋体"/>
          <w:sz w:val="24"/>
          <w:highlight w:val="none"/>
        </w:rPr>
        <w:t xml:space="preserve"> 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p>
    <w:p w14:paraId="343A7F0C">
      <w:pPr>
        <w:spacing w:line="500" w:lineRule="exact"/>
        <w:rPr>
          <w:rFonts w:hint="eastAsia" w:ascii="宋体" w:hAnsi="宋体" w:eastAsia="宋体" w:cs="宋体"/>
          <w:sz w:val="24"/>
          <w:highlight w:val="none"/>
        </w:rPr>
      </w:pPr>
      <w:r>
        <w:rPr>
          <w:rFonts w:hint="eastAsia" w:ascii="宋体" w:hAnsi="宋体" w:eastAsia="宋体" w:cs="宋体"/>
          <w:b/>
          <w:bCs/>
          <w:sz w:val="24"/>
          <w:highlight w:val="none"/>
        </w:rPr>
        <w:t>7.履约保证金</w:t>
      </w:r>
      <w:r>
        <w:rPr>
          <w:rFonts w:hint="eastAsia" w:ascii="宋体" w:hAnsi="宋体" w:eastAsia="宋体" w:cs="宋体"/>
          <w:sz w:val="24"/>
          <w:highlight w:val="none"/>
        </w:rPr>
        <w:t>：</w:t>
      </w:r>
    </w:p>
    <w:p w14:paraId="4CC3ABF6">
      <w:pPr>
        <w:spacing w:line="500" w:lineRule="exact"/>
        <w:rPr>
          <w:rFonts w:hint="eastAsia" w:ascii="宋体" w:hAnsi="宋体" w:eastAsia="宋体" w:cs="宋体"/>
          <w:sz w:val="24"/>
          <w:highlight w:val="none"/>
        </w:rPr>
      </w:pPr>
      <w:r>
        <w:rPr>
          <w:rFonts w:hint="eastAsia" w:ascii="宋体" w:hAnsi="宋体" w:eastAsia="宋体" w:cs="宋体"/>
          <w:sz w:val="24"/>
          <w:highlight w:val="none"/>
        </w:rPr>
        <w:t>每包人民币贰万元整。确定的遴选供应商需在签订合同前完成履约保证金缴纳，如未按时缴纳履约保证金，采购人可视确定的遴选供应商主动放弃遴选资格，由备选供应商递补或另行组织采购。</w:t>
      </w:r>
    </w:p>
    <w:p w14:paraId="1E5E3023">
      <w:pPr>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8.低于成本价不正当竞争预防措施</w:t>
      </w:r>
    </w:p>
    <w:p w14:paraId="385AE5BD">
      <w:pPr>
        <w:spacing w:line="500" w:lineRule="exact"/>
        <w:rPr>
          <w:rFonts w:hint="eastAsia" w:ascii="宋体" w:hAnsi="宋体" w:eastAsia="宋体" w:cs="宋体"/>
          <w:sz w:val="24"/>
          <w:highlight w:val="none"/>
        </w:rPr>
      </w:pPr>
      <w:r>
        <w:rPr>
          <w:rFonts w:hint="eastAsia" w:ascii="宋体" w:hAnsi="宋体" w:eastAsia="宋体" w:cs="宋体"/>
          <w:sz w:val="24"/>
          <w:highlight w:val="none"/>
        </w:rPr>
        <w:t>8.1供应商必须完全明确并响应采购人的定价方式与基准价格发布平台。</w:t>
      </w:r>
    </w:p>
    <w:p w14:paraId="75BC885E">
      <w:pPr>
        <w:spacing w:line="500" w:lineRule="exact"/>
        <w:rPr>
          <w:rFonts w:hint="eastAsia" w:ascii="宋体" w:hAnsi="宋体" w:eastAsia="宋体" w:cs="宋体"/>
          <w:sz w:val="24"/>
          <w:highlight w:val="none"/>
        </w:rPr>
      </w:pPr>
      <w:r>
        <w:rPr>
          <w:rFonts w:hint="eastAsia" w:ascii="宋体" w:hAnsi="宋体" w:eastAsia="宋体" w:cs="宋体"/>
          <w:sz w:val="24"/>
          <w:highlight w:val="none"/>
        </w:rPr>
        <w:t>8.2在评标过程中，评审委员会认为供应商的报价明显低于其他通过符合性审查供应商的报价，有可能影响产品质量或者不能诚信履约的，评审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27D8FC15">
      <w:pPr>
        <w:spacing w:line="500" w:lineRule="exact"/>
        <w:rPr>
          <w:rFonts w:hint="eastAsia" w:ascii="宋体" w:hAnsi="宋体" w:eastAsia="宋体" w:cs="宋体"/>
          <w:sz w:val="24"/>
          <w:highlight w:val="none"/>
        </w:rPr>
      </w:pPr>
      <w:r>
        <w:rPr>
          <w:rFonts w:hint="eastAsia" w:ascii="宋体" w:hAnsi="宋体" w:eastAsia="宋体" w:cs="宋体"/>
          <w:sz w:val="24"/>
          <w:highlight w:val="none"/>
        </w:rPr>
        <w:t>8.3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或者或者授权投标代理人签字确认。</w:t>
      </w:r>
    </w:p>
    <w:p w14:paraId="122C0A16">
      <w:pPr>
        <w:spacing w:line="500" w:lineRule="exact"/>
        <w:rPr>
          <w:rFonts w:ascii="宋体" w:hAnsi="宋体" w:eastAsia="宋体" w:cs="仿宋"/>
          <w:sz w:val="24"/>
          <w:highlight w:val="none"/>
        </w:rPr>
      </w:pPr>
      <w:r>
        <w:rPr>
          <w:rFonts w:hint="eastAsia" w:ascii="宋体" w:hAnsi="宋体" w:eastAsia="宋体" w:cs="宋体"/>
          <w:sz w:val="24"/>
          <w:highlight w:val="none"/>
        </w:rPr>
        <w:t>8.4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电子响应文件作为无效处理。</w:t>
      </w:r>
    </w:p>
    <w:bookmarkEnd w:id="1"/>
    <w:p w14:paraId="25BAAB85">
      <w:pPr>
        <w:spacing w:line="500" w:lineRule="exact"/>
        <w:jc w:val="left"/>
        <w:rPr>
          <w:rFonts w:hint="eastAsia" w:ascii="宋体" w:hAnsi="宋体" w:eastAsia="宋体" w:cs="宋体"/>
          <w:b/>
          <w:sz w:val="24"/>
          <w:highlight w:val="none"/>
        </w:rPr>
      </w:pPr>
      <w:r>
        <w:rPr>
          <w:rFonts w:hint="eastAsia" w:ascii="宋体" w:hAnsi="宋体" w:eastAsia="宋体" w:cs="宋体"/>
          <w:b/>
          <w:sz w:val="24"/>
          <w:highlight w:val="none"/>
        </w:rPr>
        <w:t>三、产品执行标准</w:t>
      </w:r>
    </w:p>
    <w:p w14:paraId="4C55109C">
      <w:pPr>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1、食用油</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2A2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noWrap w:val="0"/>
            <w:vAlign w:val="center"/>
          </w:tcPr>
          <w:p w14:paraId="0EC1BE3C">
            <w:pPr>
              <w:widowControl/>
              <w:spacing w:line="440" w:lineRule="exact"/>
              <w:jc w:val="center"/>
              <w:rPr>
                <w:rFonts w:hint="eastAsia" w:ascii="宋体" w:hAnsi="宋体" w:eastAsia="宋体" w:cs="宋体"/>
                <w:bCs/>
                <w:kern w:val="0"/>
                <w:szCs w:val="21"/>
                <w:highlight w:val="none"/>
              </w:rPr>
            </w:pPr>
            <w:r>
              <w:rPr>
                <w:rFonts w:hint="eastAsia" w:ascii="宋体" w:hAnsi="宋体" w:eastAsia="宋体" w:cs="宋体"/>
                <w:bCs/>
                <w:kern w:val="0"/>
                <w:szCs w:val="21"/>
                <w:highlight w:val="none"/>
              </w:rPr>
              <w:t>非转大豆油、花生油</w:t>
            </w:r>
          </w:p>
        </w:tc>
      </w:tr>
      <w:tr w14:paraId="6140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0" w:type="dxa"/>
            <w:noWrap w:val="0"/>
            <w:vAlign w:val="center"/>
          </w:tcPr>
          <w:p w14:paraId="079BD25E">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GB2760、GB2762、GB2763、GB2763.1、GB2716、GB/T1534、GB/T1535，适用最新相应版本；</w:t>
            </w:r>
          </w:p>
          <w:p w14:paraId="6D6A1C35">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产品明示标准和质量要求；</w:t>
            </w:r>
          </w:p>
          <w:p w14:paraId="08162AEB">
            <w:pPr>
              <w:spacing w:line="440" w:lineRule="exact"/>
              <w:rPr>
                <w:rFonts w:hint="eastAsia" w:ascii="宋体" w:hAnsi="宋体" w:eastAsia="宋体" w:cs="宋体"/>
                <w:bCs/>
                <w:kern w:val="0"/>
                <w:szCs w:val="21"/>
                <w:highlight w:val="none"/>
              </w:rPr>
            </w:pPr>
            <w:r>
              <w:rPr>
                <w:rFonts w:hint="eastAsia" w:ascii="宋体" w:hAnsi="宋体" w:eastAsia="宋体" w:cs="宋体"/>
                <w:kern w:val="0"/>
                <w:szCs w:val="21"/>
                <w:highlight w:val="none"/>
              </w:rPr>
              <w:t>相关的其他法律法规、部门规章和规定。</w:t>
            </w:r>
          </w:p>
        </w:tc>
      </w:tr>
    </w:tbl>
    <w:p w14:paraId="4F90D9CF">
      <w:pPr>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2、米面杂粮类</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B2B7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9060" w:type="dxa"/>
            <w:noWrap w:val="0"/>
            <w:vAlign w:val="center"/>
          </w:tcPr>
          <w:p w14:paraId="359ECA00">
            <w:pPr>
              <w:widowControl/>
              <w:spacing w:line="440" w:lineRule="exact"/>
              <w:jc w:val="center"/>
              <w:rPr>
                <w:rFonts w:hint="eastAsia" w:ascii="宋体" w:hAnsi="宋体" w:eastAsia="宋体" w:cs="宋体"/>
                <w:bCs/>
                <w:kern w:val="0"/>
                <w:szCs w:val="21"/>
                <w:highlight w:val="none"/>
              </w:rPr>
            </w:pPr>
            <w:r>
              <w:rPr>
                <w:rFonts w:hint="eastAsia" w:ascii="宋体" w:hAnsi="宋体" w:eastAsia="宋体" w:cs="宋体"/>
                <w:bCs/>
                <w:kern w:val="0"/>
                <w:szCs w:val="21"/>
                <w:highlight w:val="none"/>
              </w:rPr>
              <w:t>大米杂粮（含研磨谷物）</w:t>
            </w:r>
          </w:p>
        </w:tc>
      </w:tr>
      <w:tr w14:paraId="3FB7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9060" w:type="dxa"/>
            <w:noWrap w:val="0"/>
            <w:vAlign w:val="center"/>
          </w:tcPr>
          <w:p w14:paraId="7053B860">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GB2760、GB2761、GB2762、GB2763、GB2763.1、GB31607，适用最新相应版本；</w:t>
            </w:r>
          </w:p>
          <w:p w14:paraId="6F9125C5">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产品明示标准和质量要求；</w:t>
            </w:r>
          </w:p>
          <w:p w14:paraId="38426CD8">
            <w:pPr>
              <w:spacing w:line="440" w:lineRule="exact"/>
              <w:rPr>
                <w:rFonts w:hint="eastAsia" w:ascii="宋体" w:hAnsi="宋体" w:eastAsia="宋体" w:cs="宋体"/>
                <w:bCs/>
                <w:kern w:val="0"/>
                <w:szCs w:val="21"/>
                <w:highlight w:val="none"/>
              </w:rPr>
            </w:pPr>
            <w:r>
              <w:rPr>
                <w:rFonts w:hint="eastAsia" w:ascii="宋体" w:hAnsi="宋体" w:eastAsia="宋体" w:cs="宋体"/>
                <w:kern w:val="0"/>
                <w:szCs w:val="21"/>
                <w:highlight w:val="none"/>
              </w:rPr>
              <w:t>相关的其他法律法规、部门规章和规定。</w:t>
            </w:r>
          </w:p>
        </w:tc>
      </w:tr>
    </w:tbl>
    <w:p w14:paraId="0421D111">
      <w:pPr>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3、预包装冷冻米面制品</w:t>
      </w:r>
    </w:p>
    <w:tbl>
      <w:tblPr>
        <w:tblStyle w:val="10"/>
        <w:tblpPr w:leftFromText="180" w:rightFromText="180" w:vertAnchor="text" w:horzAnchor="margin" w:tblpY="270"/>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9630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noWrap w:val="0"/>
            <w:vAlign w:val="top"/>
          </w:tcPr>
          <w:p w14:paraId="5575B3A9">
            <w:pPr>
              <w:spacing w:line="440" w:lineRule="exact"/>
              <w:jc w:val="center"/>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冷冻米面制品</w:t>
            </w:r>
          </w:p>
        </w:tc>
      </w:tr>
      <w:tr w14:paraId="0B73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9060" w:type="dxa"/>
            <w:noWrap w:val="0"/>
            <w:vAlign w:val="top"/>
          </w:tcPr>
          <w:p w14:paraId="50A01D2F">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GB2760、GB2761、GB2762、GB2763、GB2763.1、GB19295、GB29921、GB31607、，适用最新相应版本；</w:t>
            </w:r>
          </w:p>
          <w:p w14:paraId="629ADF71">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产品明示标准和质量要求；</w:t>
            </w:r>
          </w:p>
          <w:p w14:paraId="32788625">
            <w:pPr>
              <w:spacing w:line="440" w:lineRule="exact"/>
              <w:jc w:val="left"/>
              <w:rPr>
                <w:rFonts w:hint="eastAsia" w:ascii="宋体" w:hAnsi="宋体" w:eastAsia="宋体" w:cs="宋体"/>
                <w:bCs/>
                <w:color w:val="000000"/>
                <w:kern w:val="0"/>
                <w:szCs w:val="21"/>
                <w:highlight w:val="none"/>
              </w:rPr>
            </w:pPr>
            <w:r>
              <w:rPr>
                <w:rFonts w:hint="eastAsia" w:ascii="宋体" w:hAnsi="宋体" w:eastAsia="宋体" w:cs="宋体"/>
                <w:kern w:val="0"/>
                <w:szCs w:val="21"/>
                <w:highlight w:val="none"/>
              </w:rPr>
              <w:t>相关的其他法律法规、部门规章和规定。</w:t>
            </w:r>
          </w:p>
        </w:tc>
      </w:tr>
    </w:tbl>
    <w:p w14:paraId="3F4F7586">
      <w:pPr>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4、鲜面制品</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F507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noWrap w:val="0"/>
            <w:vAlign w:val="center"/>
          </w:tcPr>
          <w:p w14:paraId="54B3442D">
            <w:pPr>
              <w:widowControl/>
              <w:spacing w:line="440" w:lineRule="exact"/>
              <w:jc w:val="center"/>
              <w:rPr>
                <w:rFonts w:hint="eastAsia" w:ascii="宋体" w:hAnsi="宋体" w:eastAsia="宋体" w:cs="宋体"/>
                <w:bCs/>
                <w:kern w:val="0"/>
                <w:szCs w:val="21"/>
                <w:highlight w:val="none"/>
              </w:rPr>
            </w:pPr>
            <w:r>
              <w:rPr>
                <w:rFonts w:hint="eastAsia" w:ascii="宋体" w:hAnsi="宋体" w:eastAsia="宋体" w:cs="宋体"/>
                <w:bCs/>
                <w:kern w:val="0"/>
                <w:szCs w:val="21"/>
                <w:highlight w:val="none"/>
              </w:rPr>
              <w:t>鲜面制品</w:t>
            </w:r>
          </w:p>
        </w:tc>
      </w:tr>
      <w:tr w14:paraId="3E60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noWrap w:val="0"/>
            <w:vAlign w:val="center"/>
          </w:tcPr>
          <w:p w14:paraId="33706DF4">
            <w:pPr>
              <w:widowControl/>
              <w:spacing w:line="440" w:lineRule="exact"/>
              <w:jc w:val="center"/>
              <w:rPr>
                <w:rFonts w:hint="eastAsia" w:ascii="宋体" w:hAnsi="宋体" w:eastAsia="宋体" w:cs="宋体"/>
                <w:bCs/>
                <w:kern w:val="0"/>
                <w:szCs w:val="21"/>
                <w:highlight w:val="none"/>
              </w:rPr>
            </w:pPr>
            <w:r>
              <w:rPr>
                <w:rFonts w:hint="eastAsia" w:ascii="宋体" w:hAnsi="宋体" w:eastAsia="宋体" w:cs="宋体"/>
                <w:bCs/>
                <w:kern w:val="0"/>
                <w:szCs w:val="21"/>
                <w:highlight w:val="none"/>
              </w:rPr>
              <w:t>鲜面条、重庆小面、水饺皮、馄饨皮、米线、朝鲜面，面皮米皮等</w:t>
            </w:r>
          </w:p>
        </w:tc>
      </w:tr>
      <w:tr w14:paraId="02D7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0" w:type="dxa"/>
            <w:noWrap w:val="0"/>
            <w:vAlign w:val="center"/>
          </w:tcPr>
          <w:p w14:paraId="58AD7E34">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GB2760、GB2762、GB2763、GB2763.1、GB31607，适用最新相应版本；</w:t>
            </w:r>
          </w:p>
          <w:p w14:paraId="04058163">
            <w:pPr>
              <w:spacing w:line="4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产品明示标准和质量要求；</w:t>
            </w:r>
          </w:p>
          <w:p w14:paraId="160D0776">
            <w:pPr>
              <w:spacing w:line="440" w:lineRule="exact"/>
              <w:rPr>
                <w:rFonts w:hint="eastAsia" w:ascii="宋体" w:hAnsi="宋体" w:eastAsia="宋体" w:cs="宋体"/>
                <w:bCs/>
                <w:kern w:val="0"/>
                <w:szCs w:val="21"/>
                <w:highlight w:val="none"/>
              </w:rPr>
            </w:pPr>
            <w:r>
              <w:rPr>
                <w:rFonts w:hint="eastAsia" w:ascii="宋体" w:hAnsi="宋体" w:eastAsia="宋体" w:cs="宋体"/>
                <w:kern w:val="0"/>
                <w:szCs w:val="21"/>
                <w:highlight w:val="none"/>
              </w:rPr>
              <w:t>相关的其他法律法规、部门规章和规定。</w:t>
            </w:r>
          </w:p>
        </w:tc>
      </w:tr>
    </w:tbl>
    <w:p w14:paraId="666F4225">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0241E4"/>
    <w:rsid w:val="00631353"/>
    <w:rsid w:val="01E272A3"/>
    <w:rsid w:val="02FB75A0"/>
    <w:rsid w:val="0646713D"/>
    <w:rsid w:val="070241E4"/>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4"/>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3"/>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5"/>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7">
    <w:name w:val="toc 1"/>
    <w:basedOn w:val="8"/>
    <w:next w:val="1"/>
    <w:qFormat/>
    <w:uiPriority w:val="0"/>
    <w:pPr>
      <w:tabs>
        <w:tab w:val="right" w:leader="dot" w:pos="9359"/>
      </w:tabs>
    </w:pPr>
    <w:rPr>
      <w:rFonts w:ascii="Calibri" w:hAnsi="Calibri" w:eastAsia="宋体"/>
      <w:sz w:val="30"/>
      <w:szCs w:val="20"/>
    </w:rPr>
  </w:style>
  <w:style w:type="paragraph" w:styleId="8">
    <w:name w:val="toc 2"/>
    <w:basedOn w:val="6"/>
    <w:next w:val="1"/>
    <w:qFormat/>
    <w:uiPriority w:val="0"/>
    <w:rPr>
      <w:rFonts w:ascii="Calibri" w:hAnsi="Calibri" w:eastAsia="宋体"/>
      <w:sz w:val="28"/>
      <w:szCs w:val="20"/>
    </w:rPr>
  </w:style>
  <w:style w:type="paragraph" w:styleId="9">
    <w:name w:val="toc 4"/>
    <w:basedOn w:val="6"/>
    <w:next w:val="1"/>
    <w:qFormat/>
    <w:uiPriority w:val="0"/>
    <w:rPr>
      <w:sz w:val="21"/>
    </w:rPr>
  </w:style>
  <w:style w:type="character" w:customStyle="1" w:styleId="12">
    <w:name w:val="标题 1 Char"/>
    <w:link w:val="2"/>
    <w:qFormat/>
    <w:uiPriority w:val="0"/>
    <w:rPr>
      <w:rFonts w:ascii="Times New Roman" w:hAnsi="Times New Roman" w:eastAsia="宋体" w:cs="Times New Roman"/>
      <w:b/>
      <w:bCs/>
      <w:kern w:val="44"/>
      <w:sz w:val="44"/>
      <w:szCs w:val="44"/>
    </w:rPr>
  </w:style>
  <w:style w:type="character" w:customStyle="1" w:styleId="13">
    <w:name w:val="标题 3 Char"/>
    <w:link w:val="4"/>
    <w:qFormat/>
    <w:uiPriority w:val="0"/>
    <w:rPr>
      <w:rFonts w:ascii="Times New Roman" w:hAnsi="Times New Roman" w:eastAsia="宋体" w:cs="Times New Roman"/>
      <w:b/>
      <w:bCs/>
      <w:sz w:val="24"/>
      <w:szCs w:val="32"/>
    </w:rPr>
  </w:style>
  <w:style w:type="character" w:customStyle="1" w:styleId="14">
    <w:name w:val="标题 2 Char"/>
    <w:link w:val="3"/>
    <w:qFormat/>
    <w:uiPriority w:val="0"/>
    <w:rPr>
      <w:rFonts w:ascii="Cambria" w:hAnsi="Cambria" w:eastAsia="宋体" w:cs="Times New Roman"/>
      <w:b/>
      <w:bCs/>
      <w:sz w:val="24"/>
      <w:szCs w:val="32"/>
    </w:rPr>
  </w:style>
  <w:style w:type="character" w:customStyle="1" w:styleId="15">
    <w:name w:val="标题 5 Char"/>
    <w:link w:val="5"/>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2025-06-24T02:44:00Z</dcterms:created>
  <dc:creator>刘</dc:creator>
  <cp:lastModifiedBy>刘</cp:lastModifiedBy>
  <dcterms:modified xsi:type="dcterms:W3CDTF">2025-06-24T02:46:27Z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F26DFBC9E3D240A8A2F6EE62C835937A_11</vt:lpwstr>
  </property>
  <property fmtid="{D5CDD505-2E9C-101B-9397-08002B2CF9AE}" pid="4" name="KSOTemplateDocerSaveRecord">
    <vt:lpwstr>eyJoZGlkIjoiOTc3M2Y5NzIzMDFlZjAyY2Q4Njk5ODkyYjFjNzBiNTQiLCJ1c2VySWQiOiI0Mjc3NzIzNjAifQ==</vt:lpwstr>
  </property>
</Properties>
</file>