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665E560">
      <w:pPr>
        <w:keepNext/>
        <w:keepLines/>
        <w:widowControl w:val="0"/>
        <w:spacing w:before="120" w:after="120" w:line="240" w:lineRule="auto"/>
        <w:jc w:val="center"/>
        <w:outlineLvl w:val="0"/>
        <w:rPr>
          <w:rFonts w:ascii="宋体" w:hAnsi="宋体" w:eastAsia="宋体" w:cs="Times New Roman"/>
          <w:b/>
          <w:bCs/>
          <w:kern w:val="2"/>
          <w:sz w:val="32"/>
          <w:szCs w:val="44"/>
          <w:highlight w:val="none"/>
          <w:lang w:val="en-US" w:eastAsia="zh-CN" w:bidi="ar-SA"/>
        </w:rPr>
      </w:pPr>
      <w:r>
        <w:rPr>
          <w:rFonts w:hint="eastAsia" w:ascii="宋体" w:hAnsi="宋体" w:eastAsia="宋体" w:cs="Times New Roman"/>
          <w:b/>
          <w:bCs/>
          <w:kern w:val="2"/>
          <w:sz w:val="32"/>
          <w:szCs w:val="44"/>
          <w:highlight w:val="none"/>
          <w:lang w:val="en-US" w:eastAsia="zh-CN" w:bidi="ar-SA"/>
        </w:rPr>
        <w:t>采购内容及项目要求</w:t>
      </w:r>
    </w:p>
    <w:p w14:paraId="30B017A6">
      <w:pPr>
        <w:widowControl/>
        <w:spacing w:line="520" w:lineRule="exact"/>
        <w:ind w:firstLine="120" w:firstLineChars="50"/>
        <w:jc w:val="left"/>
        <w:rPr>
          <w:rFonts w:hint="eastAsia" w:ascii="宋体" w:hAnsi="宋体" w:eastAsia="宋体" w:cs="Times New Roman"/>
          <w:sz w:val="24"/>
          <w:highlight w:val="none"/>
        </w:rPr>
      </w:pPr>
      <w:r>
        <w:rPr>
          <w:rFonts w:hint="eastAsia" w:ascii="宋体" w:hAnsi="宋体" w:eastAsia="宋体" w:cs="Times New Roman"/>
          <w:b/>
          <w:bCs/>
          <w:sz w:val="24"/>
          <w:highlight w:val="none"/>
        </w:rPr>
        <w:t>一、项目概况</w:t>
      </w:r>
    </w:p>
    <w:p w14:paraId="49A03223">
      <w:pPr>
        <w:widowControl/>
        <w:spacing w:line="520" w:lineRule="exact"/>
        <w:ind w:firstLine="480" w:firstLineChars="200"/>
        <w:jc w:val="left"/>
        <w:rPr>
          <w:rFonts w:ascii="宋体" w:hAnsi="宋体" w:eastAsia="宋体" w:cs="Times New Roman"/>
          <w:sz w:val="24"/>
          <w:highlight w:val="none"/>
        </w:rPr>
      </w:pPr>
      <w:r>
        <w:rPr>
          <w:rFonts w:hint="eastAsia" w:ascii="宋体" w:hAnsi="宋体" w:eastAsia="宋体" w:cs="Times New Roman"/>
          <w:sz w:val="24"/>
          <w:highlight w:val="none"/>
        </w:rPr>
        <w:t>本项目共分为</w:t>
      </w:r>
      <w:r>
        <w:rPr>
          <w:rFonts w:hint="eastAsia" w:ascii="宋体" w:hAnsi="宋体" w:eastAsia="宋体" w:cs="Times New Roman"/>
          <w:sz w:val="24"/>
          <w:highlight w:val="none"/>
          <w:u w:val="single"/>
        </w:rPr>
        <w:t xml:space="preserve"> 1 </w:t>
      </w:r>
      <w:r>
        <w:rPr>
          <w:rFonts w:hint="eastAsia" w:ascii="宋体" w:hAnsi="宋体" w:eastAsia="宋体" w:cs="Times New Roman"/>
          <w:sz w:val="24"/>
          <w:highlight w:val="none"/>
        </w:rPr>
        <w:t>个包，供应商不得对包中所投货物和服务分解后进行响应。本项目预算金额为人民币400万元（包含外贸代理和汇率浮动费用）。</w:t>
      </w:r>
    </w:p>
    <w:p w14:paraId="6C104B67">
      <w:pPr>
        <w:widowControl/>
        <w:spacing w:line="520" w:lineRule="exact"/>
        <w:ind w:firstLine="120" w:firstLineChars="50"/>
        <w:jc w:val="left"/>
        <w:rPr>
          <w:rFonts w:ascii="宋体" w:hAnsi="宋体" w:eastAsia="宋体" w:cs="宋体"/>
          <w:kern w:val="0"/>
          <w:sz w:val="24"/>
          <w:highlight w:val="none"/>
        </w:rPr>
      </w:pPr>
      <w:r>
        <w:rPr>
          <w:rFonts w:hint="eastAsia" w:ascii="宋体" w:hAnsi="宋体" w:eastAsia="宋体" w:cs="Times New Roman"/>
          <w:b/>
          <w:bCs/>
          <w:sz w:val="24"/>
          <w:highlight w:val="none"/>
        </w:rPr>
        <w:t>二、技术条款及商务条款响应要求</w:t>
      </w:r>
    </w:p>
    <w:p w14:paraId="5DFA0B93">
      <w:pPr>
        <w:adjustRightInd w:val="0"/>
        <w:snapToGrid w:val="0"/>
        <w:spacing w:line="360" w:lineRule="auto"/>
        <w:jc w:val="center"/>
        <w:rPr>
          <w:rFonts w:hint="eastAsia" w:ascii="Times New Roman" w:hAnsi="Times New Roman" w:eastAsia="宋体" w:cs="Times New Roman"/>
          <w:b/>
          <w:sz w:val="32"/>
          <w:szCs w:val="32"/>
          <w:highlight w:val="none"/>
        </w:rPr>
      </w:pPr>
      <w:r>
        <w:rPr>
          <w:rFonts w:hint="eastAsia" w:ascii="Times New Roman" w:hAnsi="Times New Roman" w:eastAsia="宋体" w:cs="Times New Roman"/>
          <w:b/>
          <w:sz w:val="32"/>
          <w:szCs w:val="32"/>
          <w:highlight w:val="none"/>
        </w:rPr>
        <w:t>山东大学仪器设备采购技术条款响应一览表</w:t>
      </w:r>
    </w:p>
    <w:tbl>
      <w:tblPr>
        <w:tblStyle w:val="11"/>
        <w:tblpPr w:leftFromText="180" w:rightFromText="180" w:vertAnchor="text" w:horzAnchor="page" w:tblpX="972" w:tblpY="299"/>
        <w:tblW w:w="1456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3"/>
        <w:gridCol w:w="1490"/>
        <w:gridCol w:w="6190"/>
        <w:gridCol w:w="915"/>
        <w:gridCol w:w="1325"/>
        <w:gridCol w:w="1520"/>
        <w:gridCol w:w="1484"/>
        <w:gridCol w:w="740"/>
      </w:tblGrid>
      <w:tr w14:paraId="7CF647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6" w:hRule="atLeast"/>
        </w:trPr>
        <w:tc>
          <w:tcPr>
            <w:tcW w:w="949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EC3AE6">
            <w:pPr>
              <w:autoSpaceDE w:val="0"/>
              <w:autoSpaceDN w:val="0"/>
              <w:adjustRightInd w:val="0"/>
              <w:jc w:val="center"/>
              <w:rPr>
                <w:rFonts w:hint="eastAsia" w:ascii="宋体" w:hAnsi="宋体" w:eastAsia="宋体" w:cs="宋体"/>
                <w:b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sz w:val="24"/>
                <w:highlight w:val="none"/>
              </w:rPr>
              <w:t>采购人要求（用户填写）</w:t>
            </w:r>
          </w:p>
        </w:tc>
        <w:tc>
          <w:tcPr>
            <w:tcW w:w="5069" w:type="dxa"/>
            <w:gridSpan w:val="4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5C673F9C">
            <w:pPr>
              <w:widowControl/>
              <w:jc w:val="center"/>
              <w:rPr>
                <w:rFonts w:hint="eastAsia" w:ascii="宋体" w:hAnsi="宋体" w:eastAsia="宋体" w:cs="宋体"/>
                <w:b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24"/>
                <w:highlight w:val="none"/>
              </w:rPr>
              <w:t>投标人（供应商）响应（投标人/供应商填写）</w:t>
            </w:r>
          </w:p>
        </w:tc>
      </w:tr>
      <w:tr w14:paraId="22CD23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</w:trPr>
        <w:tc>
          <w:tcPr>
            <w:tcW w:w="9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25C465">
            <w:pPr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highlight w:val="none"/>
              </w:rPr>
              <w:t>配置序号</w:t>
            </w:r>
          </w:p>
        </w:tc>
        <w:tc>
          <w:tcPr>
            <w:tcW w:w="14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54B38C">
            <w:pPr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highlight w:val="none"/>
              </w:rPr>
              <w:t>配置名称</w:t>
            </w:r>
          </w:p>
        </w:tc>
        <w:tc>
          <w:tcPr>
            <w:tcW w:w="61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D832DA">
            <w:pPr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highlight w:val="none"/>
              </w:rPr>
              <w:t>详细技术参数要求</w:t>
            </w:r>
          </w:p>
        </w:tc>
        <w:tc>
          <w:tcPr>
            <w:tcW w:w="9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F39985">
            <w:pPr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highlight w:val="none"/>
              </w:rPr>
              <w:t>数量</w:t>
            </w:r>
          </w:p>
        </w:tc>
        <w:tc>
          <w:tcPr>
            <w:tcW w:w="13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2468A4">
            <w:pPr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highlight w:val="none"/>
              </w:rPr>
              <w:t>数量</w:t>
            </w:r>
          </w:p>
        </w:tc>
        <w:tc>
          <w:tcPr>
            <w:tcW w:w="1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14DF00">
            <w:pPr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highlight w:val="none"/>
              </w:rPr>
              <w:t>应答技术规格指标</w:t>
            </w:r>
          </w:p>
        </w:tc>
        <w:tc>
          <w:tcPr>
            <w:tcW w:w="14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93DEDE">
            <w:pPr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highlight w:val="none"/>
              </w:rPr>
              <w:t>技术指标偏离情况</w:t>
            </w:r>
          </w:p>
        </w:tc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C72411">
            <w:pPr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highlight w:val="none"/>
              </w:rPr>
              <w:t>备注</w:t>
            </w:r>
          </w:p>
        </w:tc>
      </w:tr>
      <w:tr w14:paraId="05127D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</w:trPr>
        <w:tc>
          <w:tcPr>
            <w:tcW w:w="9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71BE8F">
            <w:pPr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highlight w:val="none"/>
              </w:rPr>
              <w:t>1</w:t>
            </w:r>
          </w:p>
        </w:tc>
        <w:tc>
          <w:tcPr>
            <w:tcW w:w="14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DEC1EE">
            <w:pPr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highlight w:val="none"/>
              </w:rPr>
              <w:t>全光谱流式细胞分析仪</w:t>
            </w:r>
          </w:p>
        </w:tc>
        <w:tc>
          <w:tcPr>
            <w:tcW w:w="61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02E5F9">
            <w:pPr>
              <w:spacing w:line="360" w:lineRule="auto"/>
              <w:jc w:val="left"/>
              <w:rPr>
                <w:rFonts w:hint="eastAsia" w:ascii="宋体" w:hAnsi="宋体" w:eastAsia="宋体" w:cs="宋体"/>
                <w:b/>
                <w:bCs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highlight w:val="none"/>
              </w:rPr>
              <w:t>1.光路系统：</w:t>
            </w:r>
          </w:p>
          <w:p w14:paraId="62F913D8">
            <w:pPr>
              <w:spacing w:line="360" w:lineRule="auto"/>
              <w:jc w:val="left"/>
              <w:rPr>
                <w:rFonts w:hint="eastAsia" w:ascii="宋体" w:hAnsi="宋体" w:eastAsia="宋体" w:cs="宋体"/>
                <w:color w:val="FF000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highlight w:val="none"/>
              </w:rPr>
              <w:t>#1.1 配置5只固体激光器： 355nm，功率≥20mw；405nm，功率≥100mw；488nm，功率≥50mw；561nm，功率≥50mw</w:t>
            </w:r>
            <w:r>
              <w:rPr>
                <w:rFonts w:hint="eastAsia" w:ascii="宋体" w:hAnsi="宋体" w:eastAsia="宋体" w:cs="宋体"/>
                <w:color w:val="000000"/>
                <w:sz w:val="24"/>
                <w:highlight w:val="none"/>
              </w:rPr>
              <w:t>；635-640nm，</w:t>
            </w:r>
            <w:r>
              <w:rPr>
                <w:rFonts w:hint="eastAsia" w:ascii="宋体" w:hAnsi="宋体" w:eastAsia="宋体" w:cs="宋体"/>
                <w:sz w:val="24"/>
                <w:highlight w:val="none"/>
              </w:rPr>
              <w:t>功率≥80mw。形成五个独立光斑。</w:t>
            </w:r>
          </w:p>
        </w:tc>
        <w:tc>
          <w:tcPr>
            <w:tcW w:w="9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411BCC">
            <w:pPr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highlight w:val="none"/>
              </w:rPr>
              <w:t>1</w:t>
            </w:r>
          </w:p>
        </w:tc>
        <w:tc>
          <w:tcPr>
            <w:tcW w:w="13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F06463">
            <w:pPr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  <w:tc>
          <w:tcPr>
            <w:tcW w:w="1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B2FEF9">
            <w:pPr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  <w:tc>
          <w:tcPr>
            <w:tcW w:w="14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24C21C">
            <w:pPr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3EC96D">
            <w:pPr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</w:tr>
      <w:tr w14:paraId="15205F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</w:trPr>
        <w:tc>
          <w:tcPr>
            <w:tcW w:w="9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675E3C">
            <w:pPr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highlight w:val="none"/>
              </w:rPr>
              <w:t>2</w:t>
            </w:r>
          </w:p>
        </w:tc>
        <w:tc>
          <w:tcPr>
            <w:tcW w:w="14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8DEC34"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highlight w:val="none"/>
              </w:rPr>
              <w:t>全光谱流式细胞分析仪</w:t>
            </w:r>
          </w:p>
        </w:tc>
        <w:tc>
          <w:tcPr>
            <w:tcW w:w="61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4CE2E5">
            <w:pPr>
              <w:widowControl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76" w:lineRule="auto"/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highlight w:val="none"/>
              </w:rPr>
              <w:t>1.2 激光光束特征：采用平顶光斑技</w:t>
            </w:r>
            <w:r>
              <w:rPr>
                <w:rFonts w:hint="eastAsia" w:ascii="宋体" w:hAnsi="宋体" w:eastAsia="宋体" w:cs="宋体"/>
                <w:color w:val="000000"/>
                <w:sz w:val="24"/>
                <w:highlight w:val="none"/>
              </w:rPr>
              <w:t>术或高斯光斑</w:t>
            </w:r>
            <w:r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  <w:t>。</w:t>
            </w:r>
          </w:p>
        </w:tc>
        <w:tc>
          <w:tcPr>
            <w:tcW w:w="9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0AC05B">
            <w:pPr>
              <w:spacing w:line="240" w:lineRule="atLeast"/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highlight w:val="none"/>
              </w:rPr>
              <w:t>1</w:t>
            </w:r>
          </w:p>
        </w:tc>
        <w:tc>
          <w:tcPr>
            <w:tcW w:w="13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0B2418">
            <w:pPr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  <w:tc>
          <w:tcPr>
            <w:tcW w:w="1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33E42A">
            <w:pPr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  <w:tc>
          <w:tcPr>
            <w:tcW w:w="14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02A4EB">
            <w:pPr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7DA299">
            <w:pPr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</w:tr>
      <w:tr w14:paraId="57F0EB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</w:trPr>
        <w:tc>
          <w:tcPr>
            <w:tcW w:w="9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8265EE">
            <w:pPr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highlight w:val="none"/>
              </w:rPr>
              <w:t>3</w:t>
            </w:r>
          </w:p>
        </w:tc>
        <w:tc>
          <w:tcPr>
            <w:tcW w:w="14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AF7546"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highlight w:val="none"/>
              </w:rPr>
              <w:t>全光谱流式细胞分析仪</w:t>
            </w:r>
          </w:p>
        </w:tc>
        <w:tc>
          <w:tcPr>
            <w:tcW w:w="61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511DA4">
            <w:pPr>
              <w:spacing w:line="360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highlight w:val="none"/>
              </w:rPr>
              <w:t>1.3 散射光检测通道</w:t>
            </w:r>
            <w:r>
              <w:rPr>
                <w:rFonts w:hint="eastAsia" w:ascii="宋体" w:hAnsi="宋体" w:eastAsia="宋体" w:cs="宋体"/>
                <w:color w:val="000000"/>
                <w:sz w:val="24"/>
                <w:highlight w:val="none"/>
              </w:rPr>
              <w:t>：至少配有1个488nm前向角检测通道；1个侧向角</w:t>
            </w:r>
            <w:r>
              <w:rPr>
                <w:rFonts w:hint="eastAsia" w:ascii="宋体" w:hAnsi="宋体" w:eastAsia="宋体" w:cs="宋体"/>
                <w:sz w:val="24"/>
                <w:highlight w:val="none"/>
              </w:rPr>
              <w:t>检测通道。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</w:rPr>
              <w:t xml:space="preserve"> </w:t>
            </w:r>
          </w:p>
        </w:tc>
        <w:tc>
          <w:tcPr>
            <w:tcW w:w="9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1D1244">
            <w:pPr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highlight w:val="none"/>
              </w:rPr>
              <w:t>1</w:t>
            </w:r>
          </w:p>
        </w:tc>
        <w:tc>
          <w:tcPr>
            <w:tcW w:w="13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8C203D">
            <w:pPr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  <w:tc>
          <w:tcPr>
            <w:tcW w:w="1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9C6C77">
            <w:pPr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  <w:tc>
          <w:tcPr>
            <w:tcW w:w="14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DACD25">
            <w:pPr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4E40AD">
            <w:pPr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</w:tr>
      <w:tr w14:paraId="0CA235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</w:trPr>
        <w:tc>
          <w:tcPr>
            <w:tcW w:w="9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BFCED2">
            <w:pPr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highlight w:val="none"/>
              </w:rPr>
              <w:t>4</w:t>
            </w:r>
          </w:p>
        </w:tc>
        <w:tc>
          <w:tcPr>
            <w:tcW w:w="14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3AF96C"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highlight w:val="none"/>
              </w:rPr>
              <w:t>全光谱流式细胞分析仪</w:t>
            </w:r>
          </w:p>
        </w:tc>
        <w:tc>
          <w:tcPr>
            <w:tcW w:w="61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FB4838">
            <w:pPr>
              <w:rPr>
                <w:rFonts w:hint="eastAsia" w:ascii="宋体" w:hAnsi="宋体" w:eastAsia="宋体" w:cs="宋体"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highlight w:val="none"/>
              </w:rPr>
              <w:t>#1.4 荧光检测通道：</w:t>
            </w:r>
            <w:r>
              <w:rPr>
                <w:rFonts w:hint="eastAsia" w:ascii="宋体" w:hAnsi="宋体" w:eastAsia="宋体" w:cs="宋体"/>
                <w:sz w:val="24"/>
                <w:highlight w:val="none"/>
                <w:lang w:val="en-US" w:eastAsia="zh-CN"/>
              </w:rPr>
              <w:t>≥</w:t>
            </w:r>
            <w:r>
              <w:rPr>
                <w:rFonts w:hint="eastAsia" w:ascii="宋体" w:hAnsi="宋体" w:eastAsia="宋体" w:cs="宋体"/>
                <w:sz w:val="24"/>
                <w:highlight w:val="none"/>
              </w:rPr>
              <w:t>64个荧光检测通道，每个通道可进行QC。</w:t>
            </w:r>
          </w:p>
        </w:tc>
        <w:tc>
          <w:tcPr>
            <w:tcW w:w="9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FED037">
            <w:pPr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highlight w:val="none"/>
              </w:rPr>
              <w:t>1</w:t>
            </w:r>
          </w:p>
        </w:tc>
        <w:tc>
          <w:tcPr>
            <w:tcW w:w="13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CD744F">
            <w:pPr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  <w:tc>
          <w:tcPr>
            <w:tcW w:w="1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6BC40A">
            <w:pPr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  <w:tc>
          <w:tcPr>
            <w:tcW w:w="14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9B0681">
            <w:pPr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8BB75C">
            <w:pPr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</w:tr>
      <w:tr w14:paraId="7A7490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</w:trPr>
        <w:tc>
          <w:tcPr>
            <w:tcW w:w="9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4EE055">
            <w:pPr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highlight w:val="none"/>
              </w:rPr>
              <w:t>5</w:t>
            </w:r>
          </w:p>
        </w:tc>
        <w:tc>
          <w:tcPr>
            <w:tcW w:w="14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C27988"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highlight w:val="none"/>
              </w:rPr>
              <w:t>全光谱流式细胞分析仪</w:t>
            </w:r>
          </w:p>
        </w:tc>
        <w:tc>
          <w:tcPr>
            <w:tcW w:w="61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8E09D0">
            <w:pPr>
              <w:widowControl/>
              <w:tabs>
                <w:tab w:val="left" w:pos="426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76" w:lineRule="auto"/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highlight w:val="none"/>
              </w:rPr>
              <w:t>1.5 荧光检测器：采用雪崩式光电二极管（APD）或</w:t>
            </w:r>
            <w:r>
              <w:rPr>
                <w:rFonts w:hint="eastAsia" w:ascii="宋体" w:hAnsi="宋体" w:eastAsia="宋体" w:cs="宋体"/>
                <w:color w:val="000000"/>
                <w:sz w:val="24"/>
                <w:highlight w:val="none"/>
              </w:rPr>
              <w:t>高灵敏度光电倍增管（PMT）</w:t>
            </w:r>
            <w:r>
              <w:rPr>
                <w:rFonts w:hint="eastAsia" w:ascii="宋体" w:hAnsi="宋体" w:eastAsia="宋体" w:cs="宋体"/>
                <w:sz w:val="24"/>
                <w:highlight w:val="none"/>
              </w:rPr>
              <w:t>检测器阵列来收集荧光信号。</w:t>
            </w:r>
          </w:p>
        </w:tc>
        <w:tc>
          <w:tcPr>
            <w:tcW w:w="9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1E9300">
            <w:pPr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highlight w:val="none"/>
              </w:rPr>
              <w:t>1</w:t>
            </w:r>
          </w:p>
        </w:tc>
        <w:tc>
          <w:tcPr>
            <w:tcW w:w="13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D21BE1">
            <w:pPr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  <w:tc>
          <w:tcPr>
            <w:tcW w:w="1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A30237">
            <w:pPr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  <w:tc>
          <w:tcPr>
            <w:tcW w:w="14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1C7784">
            <w:pPr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494684">
            <w:pPr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</w:tr>
      <w:tr w14:paraId="0946E5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</w:trPr>
        <w:tc>
          <w:tcPr>
            <w:tcW w:w="9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3535E4">
            <w:pPr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highlight w:val="none"/>
              </w:rPr>
              <w:t>6</w:t>
            </w:r>
          </w:p>
        </w:tc>
        <w:tc>
          <w:tcPr>
            <w:tcW w:w="14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4C7CD8"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highlight w:val="none"/>
              </w:rPr>
              <w:t>全光谱流式细胞分析仪</w:t>
            </w:r>
          </w:p>
        </w:tc>
        <w:tc>
          <w:tcPr>
            <w:tcW w:w="61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A07A12">
            <w:pPr>
              <w:spacing w:line="360" w:lineRule="auto"/>
              <w:jc w:val="left"/>
              <w:rPr>
                <w:rFonts w:hint="eastAsia" w:ascii="宋体" w:hAnsi="宋体" w:eastAsia="宋体" w:cs="宋体"/>
                <w:b/>
                <w:bCs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highlight w:val="none"/>
              </w:rPr>
              <w:t>2.检测性能：</w:t>
            </w:r>
          </w:p>
          <w:p w14:paraId="590ADAEE">
            <w:pPr>
              <w:spacing w:line="360" w:lineRule="auto"/>
              <w:jc w:val="left"/>
              <w:rPr>
                <w:rFonts w:hint="eastAsia" w:ascii="宋体" w:hAnsi="宋体" w:eastAsia="宋体" w:cs="宋体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highlight w:val="none"/>
              </w:rPr>
              <w:t>2.1 荧光光谱记录：可以实现365-829nm范围内的荧光全光谱检测记录，可以检测由355nm、405nm、488nm、561nm</w:t>
            </w:r>
            <w:r>
              <w:rPr>
                <w:rFonts w:hint="eastAsia" w:ascii="宋体" w:hAnsi="宋体" w:eastAsia="宋体" w:cs="宋体"/>
                <w:color w:val="000000"/>
                <w:sz w:val="24"/>
                <w:highlight w:val="none"/>
              </w:rPr>
              <w:t>、635-640nm</w:t>
            </w:r>
            <w:r>
              <w:rPr>
                <w:rFonts w:hint="eastAsia" w:ascii="宋体" w:hAnsi="宋体" w:eastAsia="宋体" w:cs="宋体"/>
                <w:sz w:val="24"/>
                <w:highlight w:val="none"/>
              </w:rPr>
              <w:t>激光器激发的全部染料。</w:t>
            </w:r>
          </w:p>
        </w:tc>
        <w:tc>
          <w:tcPr>
            <w:tcW w:w="9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06E675">
            <w:pPr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highlight w:val="none"/>
              </w:rPr>
              <w:t>1</w:t>
            </w:r>
          </w:p>
        </w:tc>
        <w:tc>
          <w:tcPr>
            <w:tcW w:w="13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3A67DC">
            <w:pPr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  <w:tc>
          <w:tcPr>
            <w:tcW w:w="1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71BA84">
            <w:pPr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  <w:tc>
          <w:tcPr>
            <w:tcW w:w="14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7B2FD9">
            <w:pPr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97F447">
            <w:pPr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</w:tr>
      <w:tr w14:paraId="41CEE2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</w:trPr>
        <w:tc>
          <w:tcPr>
            <w:tcW w:w="9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787631">
            <w:pPr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highlight w:val="none"/>
              </w:rPr>
              <w:t>7</w:t>
            </w:r>
          </w:p>
        </w:tc>
        <w:tc>
          <w:tcPr>
            <w:tcW w:w="14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544170"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highlight w:val="none"/>
              </w:rPr>
              <w:t>全光谱流式细胞分析仪</w:t>
            </w:r>
          </w:p>
        </w:tc>
        <w:tc>
          <w:tcPr>
            <w:tcW w:w="61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CA4BA7">
            <w:pPr>
              <w:widowControl/>
              <w:tabs>
                <w:tab w:val="left" w:pos="426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76" w:lineRule="auto"/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highlight w:val="none"/>
              </w:rPr>
              <w:t>2.2 侧向检测器分辨率：</w:t>
            </w:r>
            <w:r>
              <w:rPr>
                <w:rFonts w:hint="eastAsia" w:ascii="宋体" w:hAnsi="宋体" w:eastAsia="宋体" w:cs="宋体"/>
                <w:color w:val="000000"/>
                <w:sz w:val="24"/>
                <w:highlight w:val="none"/>
              </w:rPr>
              <w:t>≤0.2μm微球。</w:t>
            </w:r>
          </w:p>
        </w:tc>
        <w:tc>
          <w:tcPr>
            <w:tcW w:w="9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F8926D">
            <w:pPr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highlight w:val="none"/>
              </w:rPr>
              <w:t>1</w:t>
            </w:r>
          </w:p>
        </w:tc>
        <w:tc>
          <w:tcPr>
            <w:tcW w:w="13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05A8BC">
            <w:pPr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  <w:tc>
          <w:tcPr>
            <w:tcW w:w="1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90CE95">
            <w:pPr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  <w:tc>
          <w:tcPr>
            <w:tcW w:w="14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74AA43">
            <w:pPr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306F88">
            <w:pPr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</w:tr>
      <w:tr w14:paraId="78CBE5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</w:trPr>
        <w:tc>
          <w:tcPr>
            <w:tcW w:w="9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779BBC">
            <w:pPr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highlight w:val="none"/>
              </w:rPr>
              <w:t>8</w:t>
            </w:r>
          </w:p>
        </w:tc>
        <w:tc>
          <w:tcPr>
            <w:tcW w:w="14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7E53B4"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highlight w:val="none"/>
              </w:rPr>
              <w:t>全光谱流式细胞分析仪</w:t>
            </w:r>
          </w:p>
        </w:tc>
        <w:tc>
          <w:tcPr>
            <w:tcW w:w="61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38BEEE">
            <w:pPr>
              <w:spacing w:line="360" w:lineRule="auto"/>
              <w:jc w:val="left"/>
              <w:rPr>
                <w:rFonts w:hint="eastAsia" w:ascii="宋体" w:hAnsi="宋体" w:eastAsia="宋体" w:cs="宋体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highlight w:val="none"/>
              </w:rPr>
              <w:t xml:space="preserve">2.3 </w:t>
            </w:r>
            <w:r>
              <w:rPr>
                <w:rFonts w:hint="eastAsia" w:ascii="宋体" w:hAnsi="宋体" w:eastAsia="宋体" w:cs="宋体"/>
                <w:color w:val="000000"/>
                <w:sz w:val="24"/>
                <w:highlight w:val="none"/>
              </w:rPr>
              <w:t>最大检测速率：</w:t>
            </w:r>
            <w:r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val="en-US" w:eastAsia="zh-CN"/>
              </w:rPr>
              <w:t>≥35</w:t>
            </w:r>
            <w:r>
              <w:rPr>
                <w:rFonts w:hint="eastAsia" w:ascii="宋体" w:hAnsi="宋体" w:eastAsia="宋体" w:cs="宋体"/>
                <w:color w:val="000000"/>
                <w:sz w:val="24"/>
                <w:highlight w:val="none"/>
              </w:rPr>
              <w:t xml:space="preserve">000 eps。 </w:t>
            </w:r>
          </w:p>
        </w:tc>
        <w:tc>
          <w:tcPr>
            <w:tcW w:w="9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A1979C">
            <w:pPr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highlight w:val="none"/>
              </w:rPr>
              <w:t>1</w:t>
            </w:r>
          </w:p>
        </w:tc>
        <w:tc>
          <w:tcPr>
            <w:tcW w:w="13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826109">
            <w:pPr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  <w:tc>
          <w:tcPr>
            <w:tcW w:w="1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A36FB7">
            <w:pPr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  <w:tc>
          <w:tcPr>
            <w:tcW w:w="14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866127">
            <w:pPr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F3E866">
            <w:pPr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</w:tr>
      <w:tr w14:paraId="73E120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</w:trPr>
        <w:tc>
          <w:tcPr>
            <w:tcW w:w="9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065455">
            <w:pPr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highlight w:val="none"/>
              </w:rPr>
              <w:t>9</w:t>
            </w:r>
          </w:p>
        </w:tc>
        <w:tc>
          <w:tcPr>
            <w:tcW w:w="14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8280B7"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highlight w:val="none"/>
              </w:rPr>
              <w:t>全光谱流式细胞分析仪</w:t>
            </w:r>
          </w:p>
        </w:tc>
        <w:tc>
          <w:tcPr>
            <w:tcW w:w="61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319602">
            <w:pPr>
              <w:spacing w:line="360" w:lineRule="auto"/>
              <w:jc w:val="left"/>
              <w:rPr>
                <w:rFonts w:hint="eastAsia" w:ascii="宋体" w:hAnsi="宋体" w:eastAsia="宋体" w:cs="宋体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highlight w:val="none"/>
              </w:rPr>
              <w:t xml:space="preserve">2.4 </w:t>
            </w:r>
            <w:r>
              <w:rPr>
                <w:rFonts w:hint="eastAsia" w:ascii="宋体" w:hAnsi="宋体" w:eastAsia="宋体" w:cs="宋体"/>
                <w:color w:val="000000"/>
                <w:sz w:val="24"/>
                <w:highlight w:val="none"/>
              </w:rPr>
              <w:t>荧光灵敏度：PE≤10 MESF; APC≤10 MESF。</w:t>
            </w:r>
          </w:p>
        </w:tc>
        <w:tc>
          <w:tcPr>
            <w:tcW w:w="9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EEB1FE">
            <w:pPr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highlight w:val="none"/>
              </w:rPr>
              <w:t>1</w:t>
            </w:r>
          </w:p>
        </w:tc>
        <w:tc>
          <w:tcPr>
            <w:tcW w:w="13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147826">
            <w:pPr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  <w:tc>
          <w:tcPr>
            <w:tcW w:w="1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CF252C">
            <w:pPr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  <w:tc>
          <w:tcPr>
            <w:tcW w:w="14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850F36">
            <w:pPr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1973A7">
            <w:pPr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</w:tr>
      <w:tr w14:paraId="6FCF04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</w:trPr>
        <w:tc>
          <w:tcPr>
            <w:tcW w:w="9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959F19">
            <w:pPr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highlight w:val="none"/>
              </w:rPr>
              <w:t>10</w:t>
            </w:r>
          </w:p>
        </w:tc>
        <w:tc>
          <w:tcPr>
            <w:tcW w:w="14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1C1852"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highlight w:val="none"/>
              </w:rPr>
              <w:t>全光谱流式细胞分析仪</w:t>
            </w:r>
          </w:p>
        </w:tc>
        <w:tc>
          <w:tcPr>
            <w:tcW w:w="61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812104">
            <w:pPr>
              <w:spacing w:line="360" w:lineRule="auto"/>
              <w:jc w:val="left"/>
              <w:rPr>
                <w:rFonts w:hint="eastAsia" w:ascii="宋体" w:hAnsi="宋体" w:eastAsia="宋体" w:cs="宋体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highlight w:val="none"/>
              </w:rPr>
              <w:t>2.5 自发荧光检测：支持检测细胞自发荧光光谱并将其作为独立的参数进行解析，支持单管样本同时解析</w:t>
            </w:r>
            <w:r>
              <w:rPr>
                <w:rFonts w:hint="eastAsia" w:ascii="宋体" w:hAnsi="宋体" w:eastAsia="宋体" w:cs="宋体"/>
                <w:sz w:val="24"/>
                <w:highlight w:val="none"/>
                <w:lang w:val="en-US" w:eastAsia="zh-CN"/>
              </w:rPr>
              <w:t>≥</w:t>
            </w:r>
            <w:r>
              <w:rPr>
                <w:rFonts w:hint="eastAsia" w:ascii="宋体" w:hAnsi="宋体" w:eastAsia="宋体" w:cs="宋体"/>
                <w:sz w:val="24"/>
                <w:highlight w:val="none"/>
              </w:rPr>
              <w:t>5种自发荧光。</w:t>
            </w:r>
          </w:p>
        </w:tc>
        <w:tc>
          <w:tcPr>
            <w:tcW w:w="9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510496">
            <w:pPr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highlight w:val="none"/>
              </w:rPr>
              <w:t>1</w:t>
            </w:r>
          </w:p>
        </w:tc>
        <w:tc>
          <w:tcPr>
            <w:tcW w:w="13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2DF64E">
            <w:pPr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  <w:tc>
          <w:tcPr>
            <w:tcW w:w="1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C475F8">
            <w:pPr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  <w:tc>
          <w:tcPr>
            <w:tcW w:w="14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87A44E">
            <w:pPr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B6A458">
            <w:pPr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</w:tr>
      <w:tr w14:paraId="4CB817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</w:trPr>
        <w:tc>
          <w:tcPr>
            <w:tcW w:w="9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5415E5">
            <w:pPr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highlight w:val="none"/>
              </w:rPr>
              <w:t>11</w:t>
            </w:r>
          </w:p>
        </w:tc>
        <w:tc>
          <w:tcPr>
            <w:tcW w:w="14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06A5DA"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highlight w:val="none"/>
              </w:rPr>
              <w:t>全光谱流式细胞分析仪</w:t>
            </w:r>
          </w:p>
        </w:tc>
        <w:tc>
          <w:tcPr>
            <w:tcW w:w="61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C4BBAA">
            <w:pPr>
              <w:spacing w:line="360" w:lineRule="auto"/>
              <w:jc w:val="left"/>
              <w:rPr>
                <w:rFonts w:hint="eastAsia" w:ascii="Times New Roman" w:hAnsi="Times New Roman" w:eastAsia="宋体" w:cs="Times New Roman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highlight w:val="none"/>
              </w:rPr>
              <w:t>#2.6 可实现同时检测</w:t>
            </w:r>
            <w:r>
              <w:rPr>
                <w:rFonts w:hint="eastAsia" w:ascii="宋体" w:hAnsi="宋体" w:eastAsia="宋体" w:cs="宋体"/>
                <w:sz w:val="24"/>
                <w:highlight w:val="none"/>
                <w:lang w:val="en-US" w:eastAsia="zh-CN"/>
              </w:rPr>
              <w:t>≥</w:t>
            </w:r>
            <w:r>
              <w:rPr>
                <w:rFonts w:hint="eastAsia" w:ascii="宋体" w:hAnsi="宋体" w:eastAsia="宋体" w:cs="宋体"/>
                <w:sz w:val="24"/>
                <w:highlight w:val="none"/>
              </w:rPr>
              <w:t>40色标记。</w:t>
            </w:r>
          </w:p>
        </w:tc>
        <w:tc>
          <w:tcPr>
            <w:tcW w:w="9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061016">
            <w:pPr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highlight w:val="none"/>
              </w:rPr>
              <w:t>1</w:t>
            </w:r>
          </w:p>
        </w:tc>
        <w:tc>
          <w:tcPr>
            <w:tcW w:w="13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68D228">
            <w:pPr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  <w:tc>
          <w:tcPr>
            <w:tcW w:w="1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C8F639">
            <w:pPr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  <w:tc>
          <w:tcPr>
            <w:tcW w:w="14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5308A0">
            <w:pPr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7E8E74">
            <w:pPr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</w:tr>
      <w:tr w14:paraId="070D55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</w:trPr>
        <w:tc>
          <w:tcPr>
            <w:tcW w:w="9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F1A7E3">
            <w:pPr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highlight w:val="none"/>
              </w:rPr>
              <w:t>12</w:t>
            </w:r>
          </w:p>
        </w:tc>
        <w:tc>
          <w:tcPr>
            <w:tcW w:w="14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77B05D"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highlight w:val="none"/>
              </w:rPr>
              <w:t>全光谱流式细胞分析仪</w:t>
            </w:r>
          </w:p>
        </w:tc>
        <w:tc>
          <w:tcPr>
            <w:tcW w:w="61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F9C941">
            <w:pPr>
              <w:widowControl/>
              <w:tabs>
                <w:tab w:val="left" w:pos="4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76" w:lineRule="auto"/>
              <w:ind w:left="41" w:hanging="41" w:hangingChars="17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highlight w:val="none"/>
              </w:rPr>
              <w:t>3. 液流系统</w:t>
            </w:r>
          </w:p>
          <w:p w14:paraId="2AEA61DF">
            <w:pPr>
              <w:widowControl/>
              <w:tabs>
                <w:tab w:val="left" w:pos="4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76" w:lineRule="auto"/>
              <w:ind w:left="41" w:hanging="40" w:hangingChars="17"/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highlight w:val="none"/>
              </w:rPr>
              <w:t>#3.1 高通量上样器</w:t>
            </w:r>
            <w:r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  <w:t>：</w:t>
            </w:r>
            <w:r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val="en-US" w:eastAsia="zh-CN"/>
              </w:rPr>
              <w:t>具有制冷功能</w:t>
            </w:r>
            <w:r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val="en-US" w:eastAsia="zh-CN"/>
              </w:rPr>
              <w:t>4℃保持细胞活性状态；</w:t>
            </w:r>
            <w:r>
              <w:rPr>
                <w:rFonts w:hint="eastAsia" w:ascii="宋体" w:hAnsi="宋体" w:eastAsia="宋体" w:cs="宋体"/>
                <w:color w:val="000000"/>
                <w:sz w:val="24"/>
                <w:highlight w:val="none"/>
              </w:rPr>
              <w:t>上样模式</w:t>
            </w:r>
            <w:r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val="en-US" w:eastAsia="zh-CN"/>
              </w:rPr>
              <w:t>包括</w:t>
            </w:r>
            <w:r>
              <w:rPr>
                <w:rFonts w:hint="eastAsia" w:ascii="宋体" w:hAnsi="宋体" w:eastAsia="宋体" w:cs="宋体"/>
                <w:color w:val="000000"/>
                <w:sz w:val="24"/>
                <w:highlight w:val="none"/>
              </w:rPr>
              <w:t>单管上样、96孔板自动上样和至少24管流式管上样</w:t>
            </w:r>
            <w:r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val="en-US" w:eastAsia="zh-CN"/>
              </w:rPr>
              <w:t>等。</w:t>
            </w:r>
          </w:p>
        </w:tc>
        <w:tc>
          <w:tcPr>
            <w:tcW w:w="9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4ED24B">
            <w:pPr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highlight w:val="none"/>
              </w:rPr>
              <w:t>1</w:t>
            </w:r>
          </w:p>
        </w:tc>
        <w:tc>
          <w:tcPr>
            <w:tcW w:w="13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55EB59">
            <w:pPr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  <w:tc>
          <w:tcPr>
            <w:tcW w:w="1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FFAE6B">
            <w:pPr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  <w:tc>
          <w:tcPr>
            <w:tcW w:w="14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929E6F">
            <w:pPr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BD67E2">
            <w:pPr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</w:tr>
      <w:tr w14:paraId="3AFAAE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</w:trPr>
        <w:tc>
          <w:tcPr>
            <w:tcW w:w="9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D6E36E">
            <w:pPr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highlight w:val="none"/>
              </w:rPr>
              <w:t>13</w:t>
            </w:r>
          </w:p>
        </w:tc>
        <w:tc>
          <w:tcPr>
            <w:tcW w:w="14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B2C549"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highlight w:val="none"/>
              </w:rPr>
              <w:t>全光谱流式细胞分析仪</w:t>
            </w:r>
          </w:p>
        </w:tc>
        <w:tc>
          <w:tcPr>
            <w:tcW w:w="61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516B68">
            <w:pPr>
              <w:widowControl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76" w:lineRule="auto"/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highlight w:val="none"/>
              </w:rPr>
              <w:t>3.2 混匀功能：上样针主动搅拌或震荡混匀。</w:t>
            </w:r>
          </w:p>
        </w:tc>
        <w:tc>
          <w:tcPr>
            <w:tcW w:w="9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07542D">
            <w:pPr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highlight w:val="none"/>
              </w:rPr>
              <w:t>1</w:t>
            </w:r>
          </w:p>
        </w:tc>
        <w:tc>
          <w:tcPr>
            <w:tcW w:w="13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311886">
            <w:pPr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  <w:tc>
          <w:tcPr>
            <w:tcW w:w="1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8B8450">
            <w:pPr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  <w:tc>
          <w:tcPr>
            <w:tcW w:w="14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B77D98">
            <w:pPr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DAE60F">
            <w:pPr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</w:tr>
      <w:tr w14:paraId="0E0B2D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</w:trPr>
        <w:tc>
          <w:tcPr>
            <w:tcW w:w="9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DC4DBF">
            <w:pPr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highlight w:val="none"/>
              </w:rPr>
              <w:t>14</w:t>
            </w:r>
          </w:p>
        </w:tc>
        <w:tc>
          <w:tcPr>
            <w:tcW w:w="14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D81CFF"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highlight w:val="none"/>
              </w:rPr>
              <w:t>全光谱流式细胞分析仪</w:t>
            </w:r>
          </w:p>
        </w:tc>
        <w:tc>
          <w:tcPr>
            <w:tcW w:w="61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BB41D3">
            <w:pPr>
              <w:widowControl/>
              <w:tabs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76" w:lineRule="auto"/>
              <w:ind w:left="1"/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highlight w:val="none"/>
              </w:rPr>
              <w:t>3.3 交叉污染率：</w:t>
            </w:r>
            <w:r>
              <w:rPr>
                <w:rFonts w:hint="eastAsia" w:ascii="宋体" w:hAnsi="宋体" w:eastAsia="宋体" w:cs="宋体"/>
                <w:sz w:val="24"/>
                <w:highlight w:val="none"/>
                <w:lang w:val="en-US" w:eastAsia="zh-CN"/>
              </w:rPr>
              <w:t>≤</w:t>
            </w:r>
            <w:r>
              <w:rPr>
                <w:rFonts w:hint="eastAsia" w:ascii="宋体" w:hAnsi="宋体" w:eastAsia="宋体" w:cs="宋体"/>
                <w:sz w:val="24"/>
                <w:highlight w:val="none"/>
              </w:rPr>
              <w:t>0.1%。</w:t>
            </w:r>
          </w:p>
        </w:tc>
        <w:tc>
          <w:tcPr>
            <w:tcW w:w="9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6F83A7">
            <w:pPr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highlight w:val="none"/>
              </w:rPr>
              <w:t>1</w:t>
            </w:r>
          </w:p>
        </w:tc>
        <w:tc>
          <w:tcPr>
            <w:tcW w:w="13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4EA6BE">
            <w:pPr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  <w:tc>
          <w:tcPr>
            <w:tcW w:w="1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863F0A">
            <w:pPr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  <w:tc>
          <w:tcPr>
            <w:tcW w:w="14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FD5A60">
            <w:pPr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D0FA62">
            <w:pPr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</w:tr>
      <w:tr w14:paraId="255077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</w:trPr>
        <w:tc>
          <w:tcPr>
            <w:tcW w:w="9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3C1F24">
            <w:pPr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highlight w:val="none"/>
              </w:rPr>
              <w:t>15</w:t>
            </w:r>
          </w:p>
        </w:tc>
        <w:tc>
          <w:tcPr>
            <w:tcW w:w="14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14AFCC"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highlight w:val="none"/>
              </w:rPr>
              <w:t>全光谱流式细胞分析仪</w:t>
            </w:r>
          </w:p>
        </w:tc>
        <w:tc>
          <w:tcPr>
            <w:tcW w:w="61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4F3BC1">
            <w:pPr>
              <w:widowControl/>
              <w:tabs>
                <w:tab w:val="left" w:pos="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76" w:lineRule="auto"/>
              <w:ind w:left="1"/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highlight w:val="none"/>
              </w:rPr>
              <w:t>3.4 上样速度：35μL/min-120μL/min。</w:t>
            </w:r>
          </w:p>
        </w:tc>
        <w:tc>
          <w:tcPr>
            <w:tcW w:w="9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715F11">
            <w:pPr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highlight w:val="none"/>
              </w:rPr>
              <w:t>1</w:t>
            </w:r>
          </w:p>
        </w:tc>
        <w:tc>
          <w:tcPr>
            <w:tcW w:w="13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6DD66D">
            <w:pPr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  <w:tc>
          <w:tcPr>
            <w:tcW w:w="1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9DB0FA">
            <w:pPr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  <w:tc>
          <w:tcPr>
            <w:tcW w:w="14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0342EC">
            <w:pPr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077AA1">
            <w:pPr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</w:tr>
      <w:tr w14:paraId="5EDBF5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</w:trPr>
        <w:tc>
          <w:tcPr>
            <w:tcW w:w="9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EA480F">
            <w:pPr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highlight w:val="none"/>
              </w:rPr>
              <w:t>16</w:t>
            </w:r>
          </w:p>
        </w:tc>
        <w:tc>
          <w:tcPr>
            <w:tcW w:w="14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B8DA0E"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highlight w:val="none"/>
              </w:rPr>
              <w:t>全光谱流式细胞分析仪</w:t>
            </w:r>
          </w:p>
        </w:tc>
        <w:tc>
          <w:tcPr>
            <w:tcW w:w="61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F800F6">
            <w:pPr>
              <w:widowControl/>
              <w:tabs>
                <w:tab w:val="left" w:pos="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76" w:lineRule="auto"/>
              <w:rPr>
                <w:rFonts w:hint="eastAsia" w:ascii="宋体" w:hAnsi="宋体" w:eastAsia="宋体" w:cs="宋体"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highlight w:val="none"/>
              </w:rPr>
              <w:t>3.5 自动化清洗模式：配有专门的清洗装置，可对上样针所有部位同步进行内外管清洗，支持自动上样针反冲、自动排气泡以及排除管路堵塞。</w:t>
            </w:r>
          </w:p>
        </w:tc>
        <w:tc>
          <w:tcPr>
            <w:tcW w:w="9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AD17AC">
            <w:pPr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highlight w:val="none"/>
              </w:rPr>
              <w:t>1</w:t>
            </w:r>
          </w:p>
        </w:tc>
        <w:tc>
          <w:tcPr>
            <w:tcW w:w="13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52EEEB">
            <w:pPr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  <w:tc>
          <w:tcPr>
            <w:tcW w:w="1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AD3E57">
            <w:pPr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  <w:tc>
          <w:tcPr>
            <w:tcW w:w="14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ADF664">
            <w:pPr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731988">
            <w:pPr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</w:tr>
      <w:tr w14:paraId="4EAE19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</w:trPr>
        <w:tc>
          <w:tcPr>
            <w:tcW w:w="9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FAD9F8">
            <w:pPr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highlight w:val="none"/>
              </w:rPr>
              <w:t>17</w:t>
            </w:r>
          </w:p>
        </w:tc>
        <w:tc>
          <w:tcPr>
            <w:tcW w:w="14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806531"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highlight w:val="none"/>
              </w:rPr>
              <w:t>全光谱流式细胞分析仪</w:t>
            </w:r>
          </w:p>
        </w:tc>
        <w:tc>
          <w:tcPr>
            <w:tcW w:w="61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956B30">
            <w:pPr>
              <w:widowControl/>
              <w:tabs>
                <w:tab w:val="left" w:pos="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76" w:lineRule="auto"/>
              <w:rPr>
                <w:rFonts w:hint="eastAsia" w:ascii="宋体" w:hAnsi="宋体" w:eastAsia="宋体" w:cs="宋体"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highlight w:val="none"/>
              </w:rPr>
              <w:t>#3.6 液流驱动方式：采用真空负压泵驱动液流方式。</w:t>
            </w:r>
          </w:p>
        </w:tc>
        <w:tc>
          <w:tcPr>
            <w:tcW w:w="9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845D94">
            <w:pPr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highlight w:val="none"/>
              </w:rPr>
              <w:t>1</w:t>
            </w:r>
          </w:p>
        </w:tc>
        <w:tc>
          <w:tcPr>
            <w:tcW w:w="13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41E687">
            <w:pPr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  <w:tc>
          <w:tcPr>
            <w:tcW w:w="1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040A7C">
            <w:pPr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  <w:tc>
          <w:tcPr>
            <w:tcW w:w="14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48842D">
            <w:pPr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FC1B98">
            <w:pPr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</w:tr>
      <w:tr w14:paraId="6D19AC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</w:trPr>
        <w:tc>
          <w:tcPr>
            <w:tcW w:w="9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4D9483">
            <w:pPr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highlight w:val="none"/>
              </w:rPr>
              <w:t>18</w:t>
            </w:r>
          </w:p>
        </w:tc>
        <w:tc>
          <w:tcPr>
            <w:tcW w:w="14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73A26C"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highlight w:val="none"/>
              </w:rPr>
              <w:t>全光谱流式细胞分析仪</w:t>
            </w:r>
          </w:p>
        </w:tc>
        <w:tc>
          <w:tcPr>
            <w:tcW w:w="61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A7FB45">
            <w:pPr>
              <w:spacing w:line="360" w:lineRule="auto"/>
              <w:jc w:val="left"/>
              <w:rPr>
                <w:rFonts w:hint="eastAsia" w:ascii="宋体" w:hAnsi="宋体" w:eastAsia="宋体" w:cs="宋体"/>
                <w:b/>
                <w:bCs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highlight w:val="none"/>
              </w:rPr>
              <w:t>4. 操作系统</w:t>
            </w:r>
          </w:p>
          <w:p w14:paraId="1705B691">
            <w:pPr>
              <w:spacing w:line="360" w:lineRule="auto"/>
              <w:jc w:val="left"/>
              <w:rPr>
                <w:rFonts w:hint="eastAsia" w:ascii="宋体" w:hAnsi="宋体" w:eastAsia="宋体" w:cs="宋体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highlight w:val="none"/>
              </w:rPr>
              <w:t>4.1 光谱拆分技术：可以通过荧光染料光谱数据,实现多重标记荧光染料自动拆分,无需调节补偿，也可以手动修正光谱，优化拆分结果。</w:t>
            </w:r>
          </w:p>
        </w:tc>
        <w:tc>
          <w:tcPr>
            <w:tcW w:w="9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B87FD3">
            <w:pPr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highlight w:val="none"/>
              </w:rPr>
              <w:t>1</w:t>
            </w:r>
          </w:p>
        </w:tc>
        <w:tc>
          <w:tcPr>
            <w:tcW w:w="13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38FE8A">
            <w:pPr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  <w:tc>
          <w:tcPr>
            <w:tcW w:w="1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8FD3E0">
            <w:pPr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  <w:tc>
          <w:tcPr>
            <w:tcW w:w="14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05406F">
            <w:pPr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19BA5B">
            <w:pPr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</w:tr>
      <w:tr w14:paraId="797F24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</w:trPr>
        <w:tc>
          <w:tcPr>
            <w:tcW w:w="9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DD13AC">
            <w:pPr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highlight w:val="none"/>
              </w:rPr>
              <w:t>19</w:t>
            </w:r>
          </w:p>
        </w:tc>
        <w:tc>
          <w:tcPr>
            <w:tcW w:w="14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D062E9"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highlight w:val="none"/>
              </w:rPr>
              <w:t>全光谱流式细胞分析仪</w:t>
            </w:r>
          </w:p>
        </w:tc>
        <w:tc>
          <w:tcPr>
            <w:tcW w:w="61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A32EB6">
            <w:pPr>
              <w:spacing w:line="360" w:lineRule="auto"/>
              <w:jc w:val="left"/>
              <w:rPr>
                <w:rFonts w:hint="eastAsia" w:ascii="宋体" w:hAnsi="宋体" w:eastAsia="宋体" w:cs="宋体"/>
                <w:b/>
                <w:bCs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highlight w:val="none"/>
              </w:rPr>
              <w:t>4.2 信号处理：可自动调节窗口的数字化信号处理，≥20-bit 6log对数检测范围，可根据任意参数或参数组合设置阈值。</w:t>
            </w:r>
          </w:p>
        </w:tc>
        <w:tc>
          <w:tcPr>
            <w:tcW w:w="9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882AA8">
            <w:pPr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highlight w:val="none"/>
              </w:rPr>
              <w:t>1</w:t>
            </w:r>
          </w:p>
        </w:tc>
        <w:tc>
          <w:tcPr>
            <w:tcW w:w="13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2F6D7F">
            <w:pPr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  <w:tc>
          <w:tcPr>
            <w:tcW w:w="1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7604A6">
            <w:pPr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  <w:tc>
          <w:tcPr>
            <w:tcW w:w="14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56EFB2">
            <w:pPr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8E645C">
            <w:pPr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</w:tr>
      <w:tr w14:paraId="59DAB2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</w:trPr>
        <w:tc>
          <w:tcPr>
            <w:tcW w:w="9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F3C415">
            <w:pPr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highlight w:val="none"/>
              </w:rPr>
              <w:t>20</w:t>
            </w:r>
          </w:p>
        </w:tc>
        <w:tc>
          <w:tcPr>
            <w:tcW w:w="14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E89B49"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highlight w:val="none"/>
              </w:rPr>
              <w:t>全光谱流式细胞分析仪</w:t>
            </w:r>
          </w:p>
        </w:tc>
        <w:tc>
          <w:tcPr>
            <w:tcW w:w="61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0CF7F7">
            <w:pPr>
              <w:spacing w:line="360" w:lineRule="auto"/>
              <w:jc w:val="left"/>
              <w:rPr>
                <w:rFonts w:hint="eastAsia" w:ascii="宋体" w:hAnsi="宋体" w:eastAsia="宋体" w:cs="宋体"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highlight w:val="none"/>
              </w:rPr>
              <w:t>4.3 软件免密开放安装，可</w:t>
            </w:r>
            <w:r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val="en-US" w:eastAsia="zh-CN"/>
              </w:rPr>
              <w:t>无限拓展</w:t>
            </w:r>
            <w:r>
              <w:rPr>
                <w:rFonts w:hint="eastAsia" w:ascii="宋体" w:hAnsi="宋体" w:eastAsia="宋体" w:cs="宋体"/>
                <w:color w:val="000000"/>
                <w:sz w:val="24"/>
                <w:highlight w:val="none"/>
              </w:rPr>
              <w:t>在任意使用者的电脑上。</w:t>
            </w:r>
          </w:p>
        </w:tc>
        <w:tc>
          <w:tcPr>
            <w:tcW w:w="9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5F7F41">
            <w:pPr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highlight w:val="none"/>
              </w:rPr>
              <w:t>1</w:t>
            </w:r>
          </w:p>
        </w:tc>
        <w:tc>
          <w:tcPr>
            <w:tcW w:w="13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C74E84">
            <w:pPr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  <w:tc>
          <w:tcPr>
            <w:tcW w:w="1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21579A">
            <w:pPr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  <w:tc>
          <w:tcPr>
            <w:tcW w:w="14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1D0D0A">
            <w:pPr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59BC19">
            <w:pPr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</w:tr>
      <w:tr w14:paraId="11F2AD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</w:trPr>
        <w:tc>
          <w:tcPr>
            <w:tcW w:w="9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96B177">
            <w:pPr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highlight w:val="none"/>
              </w:rPr>
              <w:t>21</w:t>
            </w:r>
          </w:p>
        </w:tc>
        <w:tc>
          <w:tcPr>
            <w:tcW w:w="14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E26DE4"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highlight w:val="none"/>
              </w:rPr>
              <w:t>全光谱流式细胞分析仪</w:t>
            </w:r>
          </w:p>
        </w:tc>
        <w:tc>
          <w:tcPr>
            <w:tcW w:w="61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3F5E17">
            <w:pPr>
              <w:widowControl/>
              <w:tabs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76" w:lineRule="auto"/>
              <w:ind w:left="1"/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highlight w:val="none"/>
              </w:rPr>
              <w:t>4.4 数据分析：流式数据获取和分析软件，获取中实时解析数据，自带QC模式，原始格式和解析文件为FCS 3.1格式。</w:t>
            </w:r>
          </w:p>
        </w:tc>
        <w:tc>
          <w:tcPr>
            <w:tcW w:w="9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167089">
            <w:pPr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highlight w:val="none"/>
              </w:rPr>
              <w:t>1</w:t>
            </w:r>
          </w:p>
        </w:tc>
        <w:tc>
          <w:tcPr>
            <w:tcW w:w="13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58746E">
            <w:pPr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  <w:tc>
          <w:tcPr>
            <w:tcW w:w="1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50BD88">
            <w:pPr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  <w:tc>
          <w:tcPr>
            <w:tcW w:w="14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30C9D7">
            <w:pPr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31D525">
            <w:pPr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</w:tr>
      <w:tr w14:paraId="5DAC3F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</w:trPr>
        <w:tc>
          <w:tcPr>
            <w:tcW w:w="9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9FEB53">
            <w:pPr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highlight w:val="none"/>
              </w:rPr>
              <w:t>22</w:t>
            </w:r>
          </w:p>
        </w:tc>
        <w:tc>
          <w:tcPr>
            <w:tcW w:w="14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57494E"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highlight w:val="none"/>
              </w:rPr>
              <w:t>全光谱流式细胞分析仪</w:t>
            </w:r>
          </w:p>
        </w:tc>
        <w:tc>
          <w:tcPr>
            <w:tcW w:w="61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E1B404">
            <w:pPr>
              <w:widowControl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76" w:lineRule="auto"/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highlight w:val="none"/>
              </w:rPr>
              <w:t>4.5 软件系统支持数据获取和分析，可同时进行数据采集和已有数据分析，互不干扰。</w:t>
            </w:r>
          </w:p>
        </w:tc>
        <w:tc>
          <w:tcPr>
            <w:tcW w:w="9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27CA18">
            <w:pPr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highlight w:val="none"/>
              </w:rPr>
              <w:t>1</w:t>
            </w:r>
          </w:p>
        </w:tc>
        <w:tc>
          <w:tcPr>
            <w:tcW w:w="13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A3548C">
            <w:pPr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  <w:tc>
          <w:tcPr>
            <w:tcW w:w="1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DEB09B">
            <w:pPr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  <w:tc>
          <w:tcPr>
            <w:tcW w:w="14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D55AB0">
            <w:pPr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9BD237">
            <w:pPr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</w:tr>
      <w:tr w14:paraId="4B1340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</w:trPr>
        <w:tc>
          <w:tcPr>
            <w:tcW w:w="9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FBA0D1">
            <w:pPr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highlight w:val="none"/>
              </w:rPr>
              <w:t>23</w:t>
            </w:r>
          </w:p>
        </w:tc>
        <w:tc>
          <w:tcPr>
            <w:tcW w:w="14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0803B8"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highlight w:val="none"/>
              </w:rPr>
              <w:t>全光谱流式细胞分析仪</w:t>
            </w:r>
          </w:p>
        </w:tc>
        <w:tc>
          <w:tcPr>
            <w:tcW w:w="61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6CBAC1">
            <w:pPr>
              <w:spacing w:line="360" w:lineRule="auto"/>
              <w:jc w:val="left"/>
              <w:rPr>
                <w:rFonts w:hint="eastAsia" w:ascii="宋体" w:hAnsi="宋体" w:eastAsia="宋体" w:cs="宋体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highlight w:val="none"/>
              </w:rPr>
              <w:t>4.6数据分析工作站</w:t>
            </w:r>
            <w:r>
              <w:rPr>
                <w:rFonts w:hint="eastAsia" w:ascii="宋体" w:hAnsi="宋体" w:eastAsia="宋体" w:cs="宋体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sz w:val="24"/>
                <w:highlight w:val="none"/>
                <w:lang w:val="en-US" w:eastAsia="zh-CN"/>
              </w:rPr>
              <w:t>提供强制节能证书</w:t>
            </w:r>
            <w:r>
              <w:rPr>
                <w:rFonts w:hint="eastAsia" w:ascii="宋体" w:hAnsi="宋体" w:eastAsia="宋体" w:cs="宋体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eastAsia="宋体" w:cs="宋体"/>
                <w:sz w:val="24"/>
                <w:highlight w:val="none"/>
              </w:rPr>
              <w:t>：处理器≥</w:t>
            </w:r>
            <w:r>
              <w:rPr>
                <w:rFonts w:hint="eastAsia" w:ascii="宋体" w:hAnsi="宋体" w:eastAsia="宋体" w:cs="宋体"/>
                <w:sz w:val="24"/>
                <w:highlight w:val="none"/>
                <w:lang w:val="en-US" w:eastAsia="zh-CN"/>
              </w:rPr>
              <w:t>2.5</w:t>
            </w:r>
            <w:r>
              <w:rPr>
                <w:rFonts w:hint="eastAsia" w:ascii="宋体" w:hAnsi="宋体" w:eastAsia="宋体" w:cs="宋体"/>
                <w:sz w:val="24"/>
                <w:highlight w:val="none"/>
              </w:rPr>
              <w:t xml:space="preserve"> GHZ，</w:t>
            </w:r>
            <w:r>
              <w:rPr>
                <w:rFonts w:hint="eastAsia" w:ascii="宋体" w:hAnsi="宋体" w:eastAsia="宋体" w:cs="宋体"/>
                <w:sz w:val="24"/>
                <w:highlight w:val="none"/>
                <w:lang w:val="en-US" w:eastAsia="zh-CN"/>
              </w:rPr>
              <w:t>专业≥12GB显卡，</w:t>
            </w:r>
            <w:r>
              <w:rPr>
                <w:rFonts w:hint="eastAsia" w:ascii="宋体" w:hAnsi="宋体" w:eastAsia="宋体" w:cs="宋体"/>
                <w:sz w:val="24"/>
                <w:highlight w:val="none"/>
              </w:rPr>
              <w:t>内存≥</w:t>
            </w:r>
            <w:r>
              <w:rPr>
                <w:rFonts w:hint="eastAsia" w:ascii="宋体" w:hAnsi="宋体" w:eastAsia="宋体" w:cs="宋体"/>
                <w:sz w:val="24"/>
                <w:highlight w:val="none"/>
                <w:lang w:val="en-US" w:eastAsia="zh-CN"/>
              </w:rPr>
              <w:t>8X32</w:t>
            </w:r>
            <w:r>
              <w:rPr>
                <w:rFonts w:hint="eastAsia" w:ascii="宋体" w:hAnsi="宋体" w:eastAsia="宋体" w:cs="宋体"/>
                <w:sz w:val="24"/>
                <w:highlight w:val="none"/>
              </w:rPr>
              <w:t>GB，硬盘≥</w:t>
            </w:r>
            <w:r>
              <w:rPr>
                <w:rFonts w:hint="eastAsia" w:ascii="宋体" w:hAnsi="宋体" w:eastAsia="宋体" w:cs="宋体"/>
                <w:sz w:val="24"/>
                <w:highlight w:val="none"/>
                <w:lang w:val="en-US" w:eastAsia="zh-CN"/>
              </w:rPr>
              <w:t>8</w:t>
            </w:r>
            <w:r>
              <w:rPr>
                <w:rFonts w:hint="eastAsia" w:ascii="宋体" w:hAnsi="宋体" w:eastAsia="宋体" w:cs="宋体"/>
                <w:sz w:val="24"/>
                <w:highlight w:val="none"/>
              </w:rPr>
              <w:t>TB</w:t>
            </w:r>
            <w:r>
              <w:rPr>
                <w:rFonts w:hint="eastAsia" w:ascii="宋体" w:hAnsi="宋体" w:eastAsia="宋体" w:cs="宋体"/>
                <w:sz w:val="24"/>
                <w:highlight w:val="none"/>
                <w:lang w:val="en-US" w:eastAsia="zh-CN"/>
              </w:rPr>
              <w:t>X3（机械硬盘）+1TB（固态硬盘）</w:t>
            </w:r>
            <w:r>
              <w:rPr>
                <w:rFonts w:hint="eastAsia" w:ascii="宋体" w:hAnsi="宋体" w:eastAsia="宋体" w:cs="宋体"/>
                <w:sz w:val="24"/>
                <w:highlight w:val="none"/>
              </w:rPr>
              <w:t>，显示器≥</w:t>
            </w:r>
            <w:r>
              <w:rPr>
                <w:rFonts w:hint="eastAsia" w:ascii="宋体" w:hAnsi="宋体" w:eastAsia="宋体" w:cs="宋体"/>
                <w:sz w:val="24"/>
                <w:highlight w:val="none"/>
                <w:lang w:val="en-US" w:eastAsia="zh-CN"/>
              </w:rPr>
              <w:t>32</w:t>
            </w:r>
            <w:r>
              <w:rPr>
                <w:rFonts w:hint="eastAsia" w:ascii="宋体" w:hAnsi="宋体" w:eastAsia="宋体" w:cs="宋体"/>
                <w:sz w:val="24"/>
                <w:highlight w:val="none"/>
              </w:rPr>
              <w:t>英寸。</w:t>
            </w:r>
          </w:p>
        </w:tc>
        <w:tc>
          <w:tcPr>
            <w:tcW w:w="9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912E2E">
            <w:pPr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highlight w:val="none"/>
              </w:rPr>
              <w:t>1</w:t>
            </w:r>
          </w:p>
        </w:tc>
        <w:tc>
          <w:tcPr>
            <w:tcW w:w="13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B953E6">
            <w:pPr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  <w:tc>
          <w:tcPr>
            <w:tcW w:w="1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E47332">
            <w:pPr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  <w:tc>
          <w:tcPr>
            <w:tcW w:w="14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28E026">
            <w:pPr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F3385B">
            <w:pPr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</w:tr>
    </w:tbl>
    <w:p w14:paraId="23B0D55D">
      <w:pPr>
        <w:pStyle w:val="9"/>
        <w:spacing w:after="0" w:line="560" w:lineRule="exact"/>
        <w:rPr>
          <w:rFonts w:hint="eastAsia" w:ascii="Times New Roman" w:hAnsi="Times New Roman" w:eastAsia="宋体" w:cs="Times New Roman"/>
          <w:bCs/>
          <w:highlight w:val="none"/>
        </w:rPr>
      </w:pPr>
      <w:r>
        <w:rPr>
          <w:rFonts w:hint="eastAsia" w:ascii="Times New Roman" w:hAnsi="Times New Roman" w:eastAsia="宋体" w:cs="Times New Roman"/>
          <w:bCs/>
          <w:highlight w:val="none"/>
        </w:rPr>
        <w:t>注：1、本项目产品功能要求中的所有名词（除国家标准、行业标准已规定的之外），仅代表采购人对功能的需求，不代表该功能的名称被指定。</w:t>
      </w:r>
    </w:p>
    <w:p w14:paraId="5D9872AA">
      <w:pPr>
        <w:pStyle w:val="9"/>
        <w:spacing w:after="0" w:line="560" w:lineRule="exact"/>
        <w:rPr>
          <w:rFonts w:hint="eastAsia" w:ascii="Times New Roman" w:hAnsi="Times New Roman" w:eastAsia="宋体" w:cs="Times New Roman"/>
          <w:bCs/>
          <w:highlight w:val="none"/>
        </w:rPr>
      </w:pPr>
      <w:r>
        <w:rPr>
          <w:rFonts w:hint="eastAsia" w:ascii="Times New Roman" w:hAnsi="Times New Roman" w:eastAsia="宋体" w:cs="Times New Roman"/>
          <w:bCs/>
          <w:highlight w:val="none"/>
        </w:rPr>
        <w:t>2、参数中国标、行标等标准或者规范如有最新版按最新版执行。</w:t>
      </w:r>
    </w:p>
    <w:p w14:paraId="13D80B2D">
      <w:r>
        <w:rPr>
          <w:rFonts w:hint="eastAsia" w:ascii="Times New Roman" w:hAnsi="Times New Roman" w:eastAsia="宋体" w:cs="Times New Roman"/>
          <w:bCs/>
          <w:highlight w:val="none"/>
        </w:rPr>
        <w:t>3、依据本项目的特点提供安装调试方案、重点难点及解决方案、培训方案、售后服务方案等评分标准中要求的评审内容</w:t>
      </w:r>
      <w:r>
        <w:rPr>
          <w:rFonts w:hint="eastAsia" w:cs="Times New Roman"/>
          <w:bCs/>
          <w:highlight w:val="none"/>
          <w:lang w:eastAsia="zh-CN"/>
        </w:rPr>
        <w:t>。</w:t>
      </w:r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664150A"/>
    <w:rsid w:val="00631353"/>
    <w:rsid w:val="01E272A3"/>
    <w:rsid w:val="02FB75A0"/>
    <w:rsid w:val="0646713D"/>
    <w:rsid w:val="0664150A"/>
    <w:rsid w:val="0B536F5B"/>
    <w:rsid w:val="0C827F53"/>
    <w:rsid w:val="0E812604"/>
    <w:rsid w:val="1038759B"/>
    <w:rsid w:val="12560F32"/>
    <w:rsid w:val="143A23E4"/>
    <w:rsid w:val="16453930"/>
    <w:rsid w:val="1D3C196C"/>
    <w:rsid w:val="20F563FE"/>
    <w:rsid w:val="25071F18"/>
    <w:rsid w:val="26342943"/>
    <w:rsid w:val="265C1CFC"/>
    <w:rsid w:val="2C5C51D5"/>
    <w:rsid w:val="328C11EE"/>
    <w:rsid w:val="3AB85F64"/>
    <w:rsid w:val="3B9814E3"/>
    <w:rsid w:val="3BB83D9A"/>
    <w:rsid w:val="40834252"/>
    <w:rsid w:val="43491507"/>
    <w:rsid w:val="45180407"/>
    <w:rsid w:val="452B4861"/>
    <w:rsid w:val="4649335D"/>
    <w:rsid w:val="4A2A2D74"/>
    <w:rsid w:val="4ABF7E6A"/>
    <w:rsid w:val="4B7A48F9"/>
    <w:rsid w:val="50F525E8"/>
    <w:rsid w:val="55867476"/>
    <w:rsid w:val="58D5360D"/>
    <w:rsid w:val="5DA546AF"/>
    <w:rsid w:val="618810C7"/>
    <w:rsid w:val="65DF6447"/>
    <w:rsid w:val="679B0868"/>
    <w:rsid w:val="6F9F6052"/>
    <w:rsid w:val="70B346A9"/>
    <w:rsid w:val="71A82547"/>
    <w:rsid w:val="7CCF3A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qFormat="1" w:unhideWhenUsed="0" w:uiPriority="0" w:semiHidden="0" w:name="toc 2"/>
    <w:lsdException w:qFormat="1" w:unhideWhenUsed="0" w:uiPriority="0" w:semiHidden="0" w:name="toc 3"/>
    <w:lsdException w:qFormat="1"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5">
    <w:name w:val="heading 1"/>
    <w:basedOn w:val="1"/>
    <w:next w:val="1"/>
    <w:link w:val="13"/>
    <w:qFormat/>
    <w:uiPriority w:val="0"/>
    <w:pPr>
      <w:keepNext/>
      <w:keepLines/>
      <w:spacing w:before="340" w:after="330" w:line="578" w:lineRule="auto"/>
      <w:outlineLvl w:val="0"/>
    </w:pPr>
    <w:rPr>
      <w:rFonts w:ascii="Times New Roman" w:hAnsi="Times New Roman" w:eastAsia="宋体"/>
      <w:b/>
      <w:bCs/>
      <w:kern w:val="44"/>
      <w:sz w:val="44"/>
      <w:szCs w:val="44"/>
    </w:rPr>
  </w:style>
  <w:style w:type="paragraph" w:styleId="6">
    <w:name w:val="heading 2"/>
    <w:basedOn w:val="1"/>
    <w:next w:val="1"/>
    <w:link w:val="15"/>
    <w:semiHidden/>
    <w:unhideWhenUsed/>
    <w:qFormat/>
    <w:uiPriority w:val="0"/>
    <w:pPr>
      <w:keepNext/>
      <w:keepLines/>
      <w:spacing w:before="260" w:after="260" w:line="416" w:lineRule="auto"/>
      <w:outlineLvl w:val="1"/>
    </w:pPr>
    <w:rPr>
      <w:rFonts w:ascii="Cambria" w:hAnsi="Cambria" w:eastAsia="宋体"/>
      <w:b/>
      <w:bCs/>
      <w:kern w:val="0"/>
      <w:sz w:val="24"/>
      <w:szCs w:val="32"/>
    </w:rPr>
  </w:style>
  <w:style w:type="paragraph" w:styleId="7">
    <w:name w:val="heading 3"/>
    <w:basedOn w:val="1"/>
    <w:next w:val="1"/>
    <w:link w:val="14"/>
    <w:semiHidden/>
    <w:unhideWhenUsed/>
    <w:qFormat/>
    <w:uiPriority w:val="0"/>
    <w:pPr>
      <w:keepNext/>
      <w:keepLines/>
      <w:spacing w:before="260" w:after="260" w:line="416" w:lineRule="auto"/>
      <w:outlineLvl w:val="2"/>
    </w:pPr>
    <w:rPr>
      <w:rFonts w:ascii="Times New Roman" w:hAnsi="Times New Roman" w:eastAsia="宋体"/>
      <w:b/>
      <w:bCs/>
      <w:kern w:val="0"/>
      <w:sz w:val="24"/>
      <w:szCs w:val="32"/>
    </w:rPr>
  </w:style>
  <w:style w:type="paragraph" w:styleId="8">
    <w:name w:val="heading 5"/>
    <w:basedOn w:val="1"/>
    <w:next w:val="1"/>
    <w:link w:val="16"/>
    <w:semiHidden/>
    <w:unhideWhenUsed/>
    <w:qFormat/>
    <w:uiPriority w:val="0"/>
    <w:pPr>
      <w:keepNext/>
      <w:keepLines/>
      <w:spacing w:before="280" w:after="290" w:line="376" w:lineRule="auto"/>
      <w:jc w:val="center"/>
      <w:outlineLvl w:val="4"/>
    </w:pPr>
    <w:rPr>
      <w:rFonts w:ascii="Times New Roman" w:hAnsi="Times New Roman" w:eastAsia="宋体"/>
      <w:b/>
      <w:bCs/>
      <w:sz w:val="32"/>
      <w:szCs w:val="28"/>
    </w:rPr>
  </w:style>
  <w:style w:type="character" w:default="1" w:styleId="12">
    <w:name w:val="Default Paragraph Font"/>
    <w:autoRedefine/>
    <w:semiHidden/>
    <w:qFormat/>
    <w:uiPriority w:val="0"/>
  </w:style>
  <w:style w:type="table" w:default="1" w:styleId="11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1"/>
    <w:basedOn w:val="3"/>
    <w:next w:val="1"/>
    <w:qFormat/>
    <w:uiPriority w:val="0"/>
    <w:pPr>
      <w:tabs>
        <w:tab w:val="right" w:leader="dot" w:pos="9359"/>
      </w:tabs>
    </w:pPr>
    <w:rPr>
      <w:rFonts w:ascii="Calibri" w:hAnsi="Calibri" w:eastAsia="宋体"/>
      <w:sz w:val="30"/>
      <w:szCs w:val="20"/>
    </w:rPr>
  </w:style>
  <w:style w:type="paragraph" w:styleId="3">
    <w:name w:val="toc 2"/>
    <w:basedOn w:val="4"/>
    <w:next w:val="1"/>
    <w:qFormat/>
    <w:uiPriority w:val="0"/>
    <w:pPr>
      <w:tabs>
        <w:tab w:val="right" w:leader="dot" w:pos="9359"/>
      </w:tabs>
    </w:pPr>
    <w:rPr>
      <w:rFonts w:ascii="Calibri" w:hAnsi="Calibri" w:eastAsia="宋体"/>
      <w:sz w:val="28"/>
      <w:szCs w:val="20"/>
    </w:rPr>
  </w:style>
  <w:style w:type="paragraph" w:styleId="4">
    <w:name w:val="toc 3"/>
    <w:basedOn w:val="1"/>
    <w:next w:val="1"/>
    <w:qFormat/>
    <w:uiPriority w:val="0"/>
    <w:pPr>
      <w:tabs>
        <w:tab w:val="right" w:leader="dot" w:pos="9359"/>
      </w:tabs>
      <w:spacing w:line="276" w:lineRule="auto"/>
      <w:ind w:left="420"/>
      <w:jc w:val="left"/>
    </w:pPr>
    <w:rPr>
      <w:rFonts w:ascii="Calibri" w:hAnsi="Calibri" w:eastAsia="宋体"/>
      <w:iCs/>
      <w:sz w:val="24"/>
      <w:szCs w:val="20"/>
    </w:rPr>
  </w:style>
  <w:style w:type="paragraph" w:styleId="9">
    <w:name w:val="Body Text"/>
    <w:qFormat/>
    <w:uiPriority w:val="99"/>
    <w:pPr>
      <w:widowControl w:val="0"/>
      <w:spacing w:after="120"/>
      <w:jc w:val="both"/>
    </w:pPr>
    <w:rPr>
      <w:rFonts w:ascii="Times New Roman" w:hAnsi="Times New Roman" w:eastAsia="宋体" w:cs="Times New Roman"/>
      <w:kern w:val="0"/>
      <w:sz w:val="20"/>
      <w:szCs w:val="24"/>
      <w:lang w:val="en-US" w:eastAsia="zh-CN" w:bidi="ar-SA"/>
    </w:rPr>
  </w:style>
  <w:style w:type="paragraph" w:styleId="10">
    <w:name w:val="toc 4"/>
    <w:basedOn w:val="4"/>
    <w:next w:val="1"/>
    <w:qFormat/>
    <w:uiPriority w:val="0"/>
    <w:rPr>
      <w:sz w:val="21"/>
    </w:rPr>
  </w:style>
  <w:style w:type="character" w:customStyle="1" w:styleId="13">
    <w:name w:val="标题 1 Char"/>
    <w:link w:val="5"/>
    <w:qFormat/>
    <w:uiPriority w:val="0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14">
    <w:name w:val="标题 3 Char"/>
    <w:link w:val="7"/>
    <w:qFormat/>
    <w:uiPriority w:val="0"/>
    <w:rPr>
      <w:rFonts w:ascii="Times New Roman" w:hAnsi="Times New Roman" w:eastAsia="宋体" w:cs="Times New Roman"/>
      <w:b/>
      <w:bCs/>
      <w:sz w:val="24"/>
      <w:szCs w:val="32"/>
    </w:rPr>
  </w:style>
  <w:style w:type="character" w:customStyle="1" w:styleId="15">
    <w:name w:val="标题 2 Char"/>
    <w:link w:val="6"/>
    <w:qFormat/>
    <w:uiPriority w:val="0"/>
    <w:rPr>
      <w:rFonts w:ascii="Cambria" w:hAnsi="Cambria" w:eastAsia="宋体" w:cs="Times New Roman"/>
      <w:b/>
      <w:bCs/>
      <w:sz w:val="24"/>
      <w:szCs w:val="32"/>
    </w:rPr>
  </w:style>
  <w:style w:type="character" w:customStyle="1" w:styleId="16">
    <w:name w:val="标题 5 Char"/>
    <w:link w:val="8"/>
    <w:qFormat/>
    <w:uiPriority w:val="0"/>
    <w:rPr>
      <w:rFonts w:ascii="Times New Roman" w:hAnsi="Times New Roman" w:eastAsia="宋体"/>
      <w:b/>
      <w:bCs/>
      <w:kern w:val="2"/>
      <w:sz w:val="32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1435</Words>
  <Characters>1666</Characters>
  <Lines>0</Lines>
  <Paragraphs>0</Paragraphs>
  <TotalTime>0</TotalTime>
  <ScaleCrop>false</ScaleCrop>
  <LinksUpToDate>false</LinksUpToDate>
  <CharactersWithSpaces>1702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2025-12-01T08:34:00Z</dcterms:created>
  <dc:creator>刘</dc:creator>
  <cp:lastModifiedBy>刘</cp:lastModifiedBy>
  <dcterms:modified xsi:type="dcterms:W3CDTF">2025-12-01T08:35:51Z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1A66FA1C470844C981A158B55A510258_11</vt:lpwstr>
  </property>
  <property fmtid="{D5CDD505-2E9C-101B-9397-08002B2CF9AE}" pid="4" name="KSOTemplateDocerSaveRecord">
    <vt:lpwstr>eyJoZGlkIjoiOTc3M2Y5NzIzMDFlZjAyY2Q4Njk5ODkyYjFjNzBiNTQiLCJ1c2VySWQiOiI0Mjc3NzIzNjAifQ==</vt:lpwstr>
  </property>
</Properties>
</file>