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7782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一、项目概述：</w:t>
      </w:r>
    </w:p>
    <w:p w14:paraId="11630C2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本次项目主要是对山东大学档案馆馆藏部分档案数字化加工项目进行监理服务，监理总数量</w:t>
      </w:r>
      <w:r>
        <w:rPr>
          <w:rFonts w:hint="eastAsia" w:ascii="宋体" w:hAnsi="宋体" w:cs="宋体"/>
          <w:color w:val="000000"/>
          <w:sz w:val="24"/>
          <w:szCs w:val="24"/>
          <w:lang w:val="en-US" w:eastAsia="zh-CN"/>
        </w:rPr>
        <w:t>预估</w:t>
      </w:r>
      <w:r>
        <w:rPr>
          <w:rFonts w:hint="eastAsia" w:ascii="宋体" w:hAnsi="宋体" w:eastAsia="宋体" w:cs="宋体"/>
          <w:color w:val="000000"/>
          <w:sz w:val="24"/>
          <w:szCs w:val="24"/>
        </w:rPr>
        <w:t>为85万页（A4），本次监理招标总金额为10.2万元(拾万贰仟元)。付款时根据实际工作量和采购单价据实结算</w:t>
      </w:r>
    </w:p>
    <w:p w14:paraId="7B992AE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二、项目要求：</w:t>
      </w:r>
    </w:p>
    <w:p w14:paraId="03B60098">
      <w:pPr>
        <w:spacing w:line="240" w:lineRule="auto"/>
        <w:ind w:firstLine="0" w:firstLineChars="0"/>
        <w:jc w:val="center"/>
        <w:rPr>
          <w:rFonts w:hint="eastAsia" w:ascii="宋体" w:hAnsi="宋体" w:eastAsia="宋体" w:cs="宋体"/>
          <w:color w:val="4472C4"/>
          <w:sz w:val="24"/>
          <w:szCs w:val="24"/>
        </w:rPr>
      </w:pPr>
      <w:r>
        <w:rPr>
          <w:rFonts w:hint="eastAsia" w:ascii="宋体" w:hAnsi="宋体" w:eastAsia="宋体" w:cs="宋体"/>
          <w:b/>
          <w:bCs/>
          <w:color w:val="000000" w:themeColor="text1"/>
          <w:sz w:val="24"/>
          <w:szCs w:val="24"/>
          <w:highlight w:val="none"/>
          <w14:textFill>
            <w14:solidFill>
              <w14:schemeClr w14:val="tx1"/>
            </w14:solidFill>
          </w14:textFill>
        </w:rPr>
        <w:t>山东大学采购技术条款响应一览表</w:t>
      </w:r>
    </w:p>
    <w:tbl>
      <w:tblPr>
        <w:tblStyle w:val="10"/>
        <w:tblpPr w:leftFromText="180" w:rightFromText="180" w:vertAnchor="text" w:horzAnchor="page" w:tblpX="1998" w:tblpY="12"/>
        <w:tblW w:w="486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02"/>
        <w:gridCol w:w="576"/>
        <w:gridCol w:w="5927"/>
        <w:gridCol w:w="456"/>
        <w:gridCol w:w="533"/>
      </w:tblGrid>
      <w:tr w14:paraId="32B777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84" w:type="pct"/>
            <w:tcBorders>
              <w:top w:val="single" w:color="auto" w:sz="4" w:space="0"/>
              <w:left w:val="single" w:color="auto" w:sz="4" w:space="0"/>
              <w:bottom w:val="single" w:color="auto" w:sz="4" w:space="0"/>
              <w:right w:val="single" w:color="auto" w:sz="4" w:space="0"/>
            </w:tcBorders>
            <w:noWrap w:val="0"/>
            <w:vAlign w:val="center"/>
          </w:tcPr>
          <w:p w14:paraId="4AE9204F">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配置序号</w:t>
            </w:r>
          </w:p>
        </w:tc>
        <w:tc>
          <w:tcPr>
            <w:tcW w:w="347" w:type="pct"/>
            <w:tcBorders>
              <w:top w:val="single" w:color="auto" w:sz="4" w:space="0"/>
              <w:left w:val="single" w:color="auto" w:sz="4" w:space="0"/>
              <w:bottom w:val="single" w:color="auto" w:sz="4" w:space="0"/>
              <w:right w:val="single" w:color="auto" w:sz="4" w:space="0"/>
            </w:tcBorders>
            <w:noWrap w:val="0"/>
            <w:vAlign w:val="center"/>
          </w:tcPr>
          <w:p w14:paraId="760CFB81">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配置名称</w:t>
            </w:r>
          </w:p>
        </w:tc>
        <w:tc>
          <w:tcPr>
            <w:tcW w:w="3572" w:type="pct"/>
            <w:tcBorders>
              <w:top w:val="single" w:color="auto" w:sz="4" w:space="0"/>
              <w:left w:val="single" w:color="auto" w:sz="4" w:space="0"/>
              <w:bottom w:val="single" w:color="auto" w:sz="4" w:space="0"/>
              <w:right w:val="single" w:color="auto" w:sz="4" w:space="0"/>
            </w:tcBorders>
            <w:noWrap w:val="0"/>
            <w:vAlign w:val="center"/>
          </w:tcPr>
          <w:p w14:paraId="5F945279">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详细技术参数要求</w:t>
            </w:r>
          </w:p>
        </w:tc>
        <w:tc>
          <w:tcPr>
            <w:tcW w:w="274" w:type="pct"/>
            <w:tcBorders>
              <w:top w:val="single" w:color="auto" w:sz="4" w:space="0"/>
              <w:left w:val="single" w:color="auto" w:sz="4" w:space="0"/>
              <w:bottom w:val="single" w:color="auto" w:sz="4" w:space="0"/>
              <w:right w:val="single" w:color="auto" w:sz="4" w:space="0"/>
            </w:tcBorders>
            <w:noWrap w:val="0"/>
            <w:vAlign w:val="center"/>
          </w:tcPr>
          <w:p w14:paraId="6BCC82F7">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数量</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6E8204DA">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4AAEC4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84" w:type="pct"/>
            <w:tcBorders>
              <w:top w:val="single" w:color="auto" w:sz="4" w:space="0"/>
              <w:left w:val="single" w:color="auto" w:sz="4" w:space="0"/>
              <w:bottom w:val="single" w:color="auto" w:sz="4" w:space="0"/>
              <w:right w:val="single" w:color="auto" w:sz="4" w:space="0"/>
            </w:tcBorders>
            <w:noWrap w:val="0"/>
            <w:vAlign w:val="center"/>
          </w:tcPr>
          <w:p w14:paraId="7C76474A">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47" w:type="pct"/>
            <w:tcBorders>
              <w:top w:val="single" w:color="auto" w:sz="4" w:space="0"/>
              <w:left w:val="single" w:color="auto" w:sz="4" w:space="0"/>
              <w:bottom w:val="single" w:color="auto" w:sz="4" w:space="0"/>
              <w:right w:val="single" w:color="auto" w:sz="4" w:space="0"/>
            </w:tcBorders>
            <w:noWrap w:val="0"/>
            <w:vAlign w:val="center"/>
          </w:tcPr>
          <w:p w14:paraId="523B1D6C">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山东大学档案馆数字化加工服务监理项目</w:t>
            </w:r>
          </w:p>
        </w:tc>
        <w:tc>
          <w:tcPr>
            <w:tcW w:w="3572" w:type="pct"/>
            <w:tcBorders>
              <w:top w:val="single" w:color="auto" w:sz="4" w:space="0"/>
              <w:left w:val="single" w:color="auto" w:sz="4" w:space="0"/>
              <w:bottom w:val="single" w:color="auto" w:sz="4" w:space="0"/>
              <w:right w:val="single" w:color="auto" w:sz="4" w:space="0"/>
            </w:tcBorders>
            <w:noWrap w:val="0"/>
            <w:vAlign w:val="center"/>
          </w:tcPr>
          <w:p w14:paraId="7214E20E">
            <w:pPr>
              <w:keepNext w:val="0"/>
              <w:keepLines w:val="0"/>
              <w:pageBreakBefore w:val="0"/>
              <w:widowControl w:val="0"/>
              <w:kinsoku/>
              <w:wordWrap/>
              <w:overflowPunct/>
              <w:topLinePunct w:val="0"/>
              <w:bidi w:val="0"/>
              <w:snapToGrid/>
              <w:ind w:left="0" w:lef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一、</w:t>
            </w:r>
            <w:r>
              <w:rPr>
                <w:rFonts w:hint="eastAsia" w:ascii="宋体" w:hAnsi="宋体" w:eastAsia="宋体" w:cs="宋体"/>
                <w:b/>
                <w:bCs/>
                <w:sz w:val="24"/>
                <w:szCs w:val="24"/>
              </w:rPr>
              <w:t>工作内容与质量要求：</w:t>
            </w:r>
          </w:p>
          <w:p w14:paraId="2B3F42C4">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本项目主要工作是对档案</w:t>
            </w:r>
            <w:r>
              <w:rPr>
                <w:rFonts w:hint="eastAsia" w:ascii="宋体" w:hAnsi="宋体" w:eastAsia="宋体" w:cs="宋体"/>
                <w:color w:val="000000"/>
                <w:sz w:val="24"/>
                <w:szCs w:val="24"/>
              </w:rPr>
              <w:t>数字化加工全过程监理，包括但不限于对数字化加工方现场安全管理、设备出入管理、工作人员管理、安全保密管理、加工制度管理、项目进度管理、工作流程监督等</w:t>
            </w:r>
            <w:r>
              <w:rPr>
                <w:rFonts w:hint="eastAsia" w:ascii="宋体" w:hAnsi="宋体" w:eastAsia="宋体" w:cs="宋体"/>
                <w:sz w:val="24"/>
                <w:szCs w:val="24"/>
              </w:rPr>
              <w:t>，尤其要保证扫描数据、挂接数据的质量和档案实体及其数字档案信息的安全。项目应配备足够工作人员以保证项目进度。具体环节要求如下：</w:t>
            </w:r>
          </w:p>
          <w:p w14:paraId="7E81466F">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1.现场安全管理</w:t>
            </w:r>
          </w:p>
          <w:p w14:paraId="62CF79E3">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对数字化加工现场的设备合理性、线路布置的安全性、上下班设备开关等问题进行监督检查。</w:t>
            </w:r>
          </w:p>
          <w:p w14:paraId="3189765C">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2.设备出入管理</w:t>
            </w:r>
          </w:p>
          <w:p w14:paraId="1E3CD63D">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对数字化加工现场的设备出入进行登记监督</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对计算机、存储设备、移动设备进行物理隔离，严禁接入公网</w:t>
            </w:r>
            <w:r>
              <w:rPr>
                <w:rFonts w:hint="eastAsia" w:ascii="宋体" w:hAnsi="宋体" w:eastAsia="宋体" w:cs="宋体"/>
                <w:color w:val="000000"/>
                <w:sz w:val="24"/>
                <w:szCs w:val="24"/>
              </w:rPr>
              <w:t>，设备出入必须经过监理方查看，是否有不利于加工的内容或有采购方资料，经监理方查看无误签字后方可出入。</w:t>
            </w:r>
          </w:p>
          <w:p w14:paraId="287CA2E1">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3.工作人员管理</w:t>
            </w:r>
          </w:p>
          <w:p w14:paraId="428B576E">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对数字化加工人员健康、人员出勤、人员数量、人员稳定性、人员保密、人员安全、人员培训、人员工作安排是否合理等方面进行相应监督。在出现人员不稳或明显不足时，应及时督促加工方进行调整以确保数字化加工正常进行。</w:t>
            </w:r>
          </w:p>
          <w:p w14:paraId="1986C8E3">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4.安全保密管理</w:t>
            </w:r>
          </w:p>
          <w:p w14:paraId="5EAD2EFC">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监督检查工作人员是否与加工方签署保密协议并严格遵守；</w:t>
            </w:r>
            <w:r>
              <w:rPr>
                <w:rFonts w:hint="eastAsia" w:ascii="宋体" w:hAnsi="宋体" w:cs="宋体"/>
                <w:color w:val="000000"/>
                <w:sz w:val="24"/>
                <w:szCs w:val="24"/>
                <w:lang w:val="en-US" w:eastAsia="zh-CN"/>
              </w:rPr>
              <w:t>落实</w:t>
            </w:r>
            <w:r>
              <w:rPr>
                <w:rFonts w:hint="eastAsia" w:ascii="宋体" w:hAnsi="宋体" w:eastAsia="宋体" w:cs="宋体"/>
                <w:color w:val="000000"/>
                <w:sz w:val="24"/>
                <w:szCs w:val="24"/>
              </w:rPr>
              <w:t>加工方与采购方签署相关保密协议，确保数据安全无泄密情况出现。</w:t>
            </w:r>
          </w:p>
          <w:p w14:paraId="6A50E7AF">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5.加工制度管理</w:t>
            </w:r>
          </w:p>
          <w:p w14:paraId="4523D081">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监督检查加工方出具的加工制度是否合理、完善；如有需改正情况</w:t>
            </w:r>
            <w:r>
              <w:rPr>
                <w:rFonts w:hint="eastAsia" w:ascii="宋体" w:hAnsi="宋体" w:cs="宋体"/>
                <w:color w:val="000000"/>
                <w:sz w:val="24"/>
                <w:szCs w:val="24"/>
                <w:lang w:eastAsia="zh-CN"/>
              </w:rPr>
              <w:t>，</w:t>
            </w:r>
            <w:r>
              <w:rPr>
                <w:rFonts w:hint="eastAsia" w:ascii="宋体" w:hAnsi="宋体" w:eastAsia="宋体" w:cs="宋体"/>
                <w:color w:val="000000"/>
                <w:sz w:val="24"/>
                <w:szCs w:val="24"/>
              </w:rPr>
              <w:t>及时与加工方</w:t>
            </w:r>
            <w:r>
              <w:rPr>
                <w:rFonts w:hint="eastAsia" w:ascii="宋体" w:hAnsi="宋体" w:cs="宋体"/>
                <w:color w:val="000000"/>
                <w:sz w:val="24"/>
                <w:szCs w:val="24"/>
                <w:lang w:val="en-US" w:eastAsia="zh-CN"/>
              </w:rPr>
              <w:t>及采购方</w:t>
            </w:r>
            <w:r>
              <w:rPr>
                <w:rFonts w:hint="eastAsia" w:ascii="宋体" w:hAnsi="宋体" w:eastAsia="宋体" w:cs="宋体"/>
                <w:color w:val="000000"/>
                <w:sz w:val="24"/>
                <w:szCs w:val="24"/>
              </w:rPr>
              <w:t>相应负责人进行沟通，督促其完善相应制度。</w:t>
            </w:r>
          </w:p>
          <w:p w14:paraId="088F9A37">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6.工作流程监督</w:t>
            </w:r>
          </w:p>
          <w:p w14:paraId="5511D589">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针对机读目录修改及补录、拆卷整理、档案扫描、图像处理与检查、档案装订、格式转换、数据备份、图像数据与电子文件著录的挂接等工作环节，按照数字化加工的要求对数字化加工方进行监督。</w:t>
            </w:r>
          </w:p>
          <w:p w14:paraId="39D2F916">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7.工作进度监督</w:t>
            </w:r>
          </w:p>
          <w:p w14:paraId="65B39CFD">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7.1熟悉合同文件中有关项目工作进度的条款，及时建立项目总进度计划、月完成工作量统计表，对实际完成量与计划完成量进行比较、分析，并在监理月报中向采购方报告。</w:t>
            </w:r>
          </w:p>
          <w:p w14:paraId="4EDB3FE8">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7.2协助采购方对项目</w:t>
            </w:r>
            <w:bookmarkStart w:id="0" w:name="_Hlk50538127"/>
            <w:r>
              <w:rPr>
                <w:rFonts w:hint="eastAsia" w:ascii="宋体" w:hAnsi="宋体" w:eastAsia="宋体" w:cs="宋体"/>
                <w:color w:val="000000"/>
                <w:sz w:val="24"/>
                <w:szCs w:val="24"/>
              </w:rPr>
              <w:t>加工方</w:t>
            </w:r>
            <w:bookmarkEnd w:id="0"/>
            <w:r>
              <w:rPr>
                <w:rFonts w:hint="eastAsia" w:ascii="宋体" w:hAnsi="宋体" w:eastAsia="宋体" w:cs="宋体"/>
                <w:color w:val="000000"/>
                <w:sz w:val="24"/>
                <w:szCs w:val="24"/>
              </w:rPr>
              <w:t>的现场工作人员是否到位、在岗、出勤、履职等情况进行监督和管理。</w:t>
            </w:r>
          </w:p>
          <w:p w14:paraId="77095399">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7.3根据实际情况，按月提交相关进度控制报告。当实际进度符合计划进度时，应要求加工方编制下一期进度计划；当实际进度滞后于计划任务时，监理应及时通知</w:t>
            </w:r>
            <w:bookmarkStart w:id="1" w:name="_Hlk50538701"/>
            <w:r>
              <w:rPr>
                <w:rFonts w:hint="eastAsia" w:ascii="宋体" w:hAnsi="宋体" w:eastAsia="宋体" w:cs="宋体"/>
                <w:color w:val="000000"/>
                <w:sz w:val="24"/>
                <w:szCs w:val="24"/>
              </w:rPr>
              <w:t>加工方</w:t>
            </w:r>
            <w:bookmarkEnd w:id="1"/>
            <w:r>
              <w:rPr>
                <w:rFonts w:hint="eastAsia" w:ascii="宋体" w:hAnsi="宋体" w:eastAsia="宋体" w:cs="宋体"/>
                <w:color w:val="000000"/>
                <w:sz w:val="24"/>
                <w:szCs w:val="24"/>
              </w:rPr>
              <w:t>采取有效措施并监督实施。</w:t>
            </w:r>
          </w:p>
          <w:p w14:paraId="27131D0A">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 数据质量监督</w:t>
            </w:r>
          </w:p>
          <w:p w14:paraId="403CFC72">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8.1熟悉项目工作内容和各操作流程要求，监督项目实施过程与项目需求、计划的执行情况。</w:t>
            </w:r>
          </w:p>
          <w:p w14:paraId="6D48E984">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8.2进行现场监督并记录有关情况，规范整理各环节文档资料，为采购方提供全程质量监控服务。及时分析、通报数字化加工质量情况，对数字化加工过程中出现的质量问题，应及时向采购方报送相关处理方案，并下达监理通知，要求加工方按要求整改，</w:t>
            </w:r>
            <w:r>
              <w:rPr>
                <w:rFonts w:hint="eastAsia" w:ascii="宋体" w:hAnsi="宋体" w:cs="宋体"/>
                <w:color w:val="000000"/>
                <w:sz w:val="24"/>
                <w:szCs w:val="24"/>
                <w:lang w:val="en-US" w:eastAsia="zh-CN"/>
              </w:rPr>
              <w:t>二次整改不合格的，由监理方报采购方</w:t>
            </w:r>
            <w:r>
              <w:rPr>
                <w:rFonts w:hint="eastAsia" w:ascii="宋体" w:hAnsi="宋体" w:eastAsia="宋体" w:cs="宋体"/>
                <w:color w:val="000000"/>
                <w:sz w:val="24"/>
                <w:szCs w:val="24"/>
              </w:rPr>
              <w:t>并建立完备的相关台账。</w:t>
            </w:r>
          </w:p>
          <w:p w14:paraId="0DA958A8">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9．数据检查与验收</w:t>
            </w:r>
          </w:p>
          <w:p w14:paraId="6C18DD66">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档案数字化成果包括数字图像、档案目录数据、元数据、数字化工作中产生的工作文件、存储载体等。</w:t>
            </w:r>
            <w:r>
              <w:rPr>
                <w:rFonts w:hint="eastAsia" w:ascii="宋体" w:hAnsi="宋体" w:cs="宋体"/>
                <w:color w:val="000000"/>
                <w:kern w:val="0"/>
                <w:sz w:val="24"/>
                <w:szCs w:val="24"/>
                <w:lang w:eastAsia="zh-CN"/>
              </w:rPr>
              <w:t>监理方</w:t>
            </w:r>
            <w:r>
              <w:rPr>
                <w:rFonts w:hint="eastAsia" w:ascii="宋体" w:hAnsi="宋体" w:eastAsia="宋体" w:cs="宋体"/>
                <w:color w:val="000000"/>
                <w:kern w:val="0"/>
                <w:sz w:val="24"/>
                <w:szCs w:val="24"/>
              </w:rPr>
              <w:t>应对数字图像进行检查与验收，主要包括数字化参数、存储路径、命名的准确性、图像的完整性、排列顺序的准确性、图像质量等；应对目录数据进行检查与验收，主要包括数据库中各条目的内容、格式等的准确程度及必填项是否填写等；应对元数据进行检查与验收，主要包括元数据元素的完整性和赋值规范性等；应对数据挂接</w:t>
            </w:r>
            <w:bookmarkStart w:id="2" w:name="_Hlk135142920"/>
            <w:r>
              <w:rPr>
                <w:rFonts w:hint="eastAsia" w:ascii="宋体" w:hAnsi="宋体" w:eastAsia="宋体" w:cs="宋体"/>
                <w:color w:val="000000"/>
                <w:kern w:val="0"/>
                <w:sz w:val="24"/>
                <w:szCs w:val="24"/>
              </w:rPr>
              <w:t>进行检查与验收</w:t>
            </w:r>
            <w:bookmarkEnd w:id="2"/>
            <w:r>
              <w:rPr>
                <w:rFonts w:hint="eastAsia" w:ascii="宋体" w:hAnsi="宋体" w:eastAsia="宋体" w:cs="宋体"/>
                <w:color w:val="000000"/>
                <w:kern w:val="0"/>
                <w:sz w:val="24"/>
                <w:szCs w:val="24"/>
              </w:rPr>
              <w:t>，主要包括目录数据和与其对应的数字图像的挂接的准确性等；应对存储载体进行检查与验收，确保存储载体中的数据及数据属性与档案实体保持一致。</w:t>
            </w:r>
          </w:p>
          <w:p w14:paraId="26E28795">
            <w:pPr>
              <w:keepNext w:val="0"/>
              <w:keepLines w:val="0"/>
              <w:pageBreakBefore w:val="0"/>
              <w:widowControl w:val="0"/>
              <w:kinsoku/>
              <w:wordWrap/>
              <w:overflowPunct/>
              <w:topLinePunct w:val="0"/>
              <w:autoSpaceDE w:val="0"/>
              <w:autoSpaceDN w:val="0"/>
              <w:bidi w:val="0"/>
              <w:adjustRightInd w:val="0"/>
              <w:snapToGrid/>
              <w:ind w:left="0" w:firstLine="480" w:firstLineChars="200"/>
              <w:jc w:val="left"/>
              <w:textAlignment w:val="auto"/>
              <w:rPr>
                <w:rFonts w:hint="eastAsia" w:ascii="宋体" w:hAnsi="宋体" w:eastAsia="宋体" w:cs="宋体"/>
                <w:color w:val="000000"/>
                <w:sz w:val="24"/>
                <w:szCs w:val="24"/>
                <w:lang w:val="zh-CN"/>
              </w:rPr>
            </w:pPr>
            <w:r>
              <w:rPr>
                <w:rFonts w:hint="eastAsia" w:ascii="宋体" w:hAnsi="宋体" w:eastAsia="宋体" w:cs="宋体"/>
                <w:color w:val="000000"/>
                <w:kern w:val="0"/>
                <w:sz w:val="24"/>
                <w:szCs w:val="24"/>
                <w:lang w:val="zh-CN"/>
              </w:rPr>
              <w:t>如果加工合格率低于99.</w:t>
            </w: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val="zh-CN"/>
              </w:rPr>
              <w:t>时，</w:t>
            </w:r>
            <w:r>
              <w:rPr>
                <w:rFonts w:hint="eastAsia" w:ascii="宋体" w:hAnsi="宋体" w:cs="宋体"/>
                <w:color w:val="000000"/>
                <w:kern w:val="0"/>
                <w:sz w:val="24"/>
                <w:szCs w:val="24"/>
                <w:lang w:val="zh-CN"/>
              </w:rPr>
              <w:t>监理方</w:t>
            </w:r>
            <w:r>
              <w:rPr>
                <w:rFonts w:hint="eastAsia" w:ascii="宋体" w:hAnsi="宋体" w:eastAsia="宋体" w:cs="宋体"/>
                <w:color w:val="000000"/>
                <w:kern w:val="0"/>
                <w:sz w:val="24"/>
                <w:szCs w:val="24"/>
                <w:lang w:val="zh-CN"/>
              </w:rPr>
              <w:t>应要求数字化加工方进行返工处理。</w:t>
            </w:r>
          </w:p>
          <w:p w14:paraId="1A9B62FC">
            <w:pPr>
              <w:keepNext w:val="0"/>
              <w:keepLines w:val="0"/>
              <w:pageBreakBefore w:val="0"/>
              <w:widowControl w:val="0"/>
              <w:kinsoku/>
              <w:wordWrap/>
              <w:overflowPunct/>
              <w:topLinePunct w:val="0"/>
              <w:autoSpaceDE w:val="0"/>
              <w:autoSpaceDN w:val="0"/>
              <w:bidi w:val="0"/>
              <w:adjustRightInd w:val="0"/>
              <w:snapToGrid/>
              <w:ind w:left="0" w:firstLine="480" w:firstLineChars="200"/>
              <w:jc w:val="left"/>
              <w:textAlignment w:val="auto"/>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所有数据验收后，</w:t>
            </w:r>
            <w:r>
              <w:rPr>
                <w:rFonts w:hint="eastAsia" w:ascii="宋体" w:hAnsi="宋体" w:cs="宋体"/>
                <w:color w:val="000000"/>
                <w:kern w:val="0"/>
                <w:sz w:val="24"/>
                <w:szCs w:val="24"/>
                <w:lang w:val="zh-CN"/>
              </w:rPr>
              <w:t>监理方</w:t>
            </w:r>
            <w:r>
              <w:rPr>
                <w:rFonts w:hint="eastAsia" w:ascii="宋体" w:hAnsi="宋体" w:eastAsia="宋体" w:cs="宋体"/>
                <w:color w:val="000000"/>
                <w:kern w:val="0"/>
                <w:sz w:val="24"/>
                <w:szCs w:val="24"/>
                <w:lang w:val="zh-CN"/>
              </w:rPr>
              <w:t>要分别统计出数字化加工方扫描档案的总页数及著录总条数，并形成项目验收报告，报告经采购方验收审核通过后，签字、盖章。</w:t>
            </w:r>
          </w:p>
          <w:p w14:paraId="4D53AC26">
            <w:pPr>
              <w:keepNext w:val="0"/>
              <w:keepLines w:val="0"/>
              <w:pageBreakBefore w:val="0"/>
              <w:widowControl w:val="0"/>
              <w:kinsoku/>
              <w:wordWrap/>
              <w:overflowPunct/>
              <w:topLinePunct w:val="0"/>
              <w:autoSpaceDE w:val="0"/>
              <w:autoSpaceDN w:val="0"/>
              <w:bidi w:val="0"/>
              <w:adjustRightInd w:val="0"/>
              <w:snapToGrid/>
              <w:ind w:left="0" w:firstLine="480" w:firstLineChars="200"/>
              <w:jc w:val="left"/>
              <w:textAlignment w:val="auto"/>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通过</w:t>
            </w:r>
            <w:r>
              <w:rPr>
                <w:rFonts w:hint="eastAsia" w:ascii="宋体" w:hAnsi="宋体" w:cs="宋体"/>
                <w:color w:val="000000"/>
                <w:kern w:val="0"/>
                <w:sz w:val="24"/>
                <w:szCs w:val="24"/>
                <w:lang w:val="zh-CN"/>
              </w:rPr>
              <w:t>监理方</w:t>
            </w:r>
            <w:r>
              <w:rPr>
                <w:rFonts w:hint="eastAsia" w:ascii="宋体" w:hAnsi="宋体" w:eastAsia="宋体" w:cs="宋体"/>
                <w:color w:val="000000"/>
                <w:kern w:val="0"/>
                <w:sz w:val="24"/>
                <w:szCs w:val="24"/>
                <w:lang w:val="zh-CN"/>
              </w:rPr>
              <w:t>验收的数据移交给采购方。移交时采购方对数据进行抽样检测。抽样合格率不得低于99.5%，达不到要求的数据由</w:t>
            </w:r>
            <w:r>
              <w:rPr>
                <w:rFonts w:hint="eastAsia" w:ascii="宋体" w:hAnsi="宋体" w:cs="宋体"/>
                <w:color w:val="000000"/>
                <w:kern w:val="0"/>
                <w:sz w:val="24"/>
                <w:szCs w:val="24"/>
                <w:lang w:val="zh-CN"/>
              </w:rPr>
              <w:t>监理方</w:t>
            </w:r>
            <w:r>
              <w:rPr>
                <w:rFonts w:hint="eastAsia" w:ascii="宋体" w:hAnsi="宋体" w:eastAsia="宋体" w:cs="宋体"/>
                <w:color w:val="000000"/>
                <w:kern w:val="0"/>
                <w:sz w:val="24"/>
                <w:szCs w:val="24"/>
                <w:lang w:val="zh-CN"/>
              </w:rPr>
              <w:t>责令加工方返工处理。二次提交的数据若低于验收要求，或同一批次的案卷返工2次仍不合格，采购方有权终止监理合同。</w:t>
            </w:r>
          </w:p>
          <w:p w14:paraId="38BF99D4">
            <w:pPr>
              <w:keepNext w:val="0"/>
              <w:keepLines w:val="0"/>
              <w:pageBreakBefore w:val="0"/>
              <w:widowControl w:val="0"/>
              <w:kinsoku/>
              <w:wordWrap/>
              <w:overflowPunct/>
              <w:topLinePunct w:val="0"/>
              <w:bidi w:val="0"/>
              <w:snapToGrid/>
              <w:ind w:left="0" w:firstLine="482" w:firstLineChars="200"/>
              <w:jc w:val="left"/>
              <w:textAlignment w:val="auto"/>
              <w:rPr>
                <w:rFonts w:hint="eastAsia" w:ascii="宋体" w:hAnsi="宋体" w:eastAsia="宋体" w:cs="宋体"/>
                <w:sz w:val="24"/>
                <w:szCs w:val="24"/>
              </w:rPr>
            </w:pPr>
            <w:r>
              <w:rPr>
                <w:rFonts w:hint="eastAsia" w:ascii="宋体" w:hAnsi="宋体" w:cs="宋体"/>
                <w:b/>
                <w:bCs/>
                <w:sz w:val="24"/>
                <w:szCs w:val="24"/>
                <w:lang w:val="en-US" w:eastAsia="zh-CN"/>
              </w:rPr>
              <w:t>二</w:t>
            </w:r>
            <w:r>
              <w:rPr>
                <w:rFonts w:hint="eastAsia" w:ascii="宋体" w:hAnsi="宋体" w:eastAsia="宋体" w:cs="宋体"/>
                <w:b/>
                <w:bCs/>
                <w:sz w:val="24"/>
                <w:szCs w:val="24"/>
              </w:rPr>
              <w:t>、安全保密要求：</w:t>
            </w:r>
          </w:p>
          <w:p w14:paraId="5C8A4D96">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严格遵守《中华人民共和国档案法》及其实施条例、《中华人民共和国保守国家秘密法》及其实施条例、《档案数字化外包安全管理规范》等法律法规规范要求，以及山东大学的有关规定等。数据质检工作必须在采购人指定的场所内进行，确保场所正常秩序和安全。不得遗失、损坏档案，以及泄露档案信息。如有违法者，将追究法律责任。</w:t>
            </w:r>
            <w:r>
              <w:rPr>
                <w:rFonts w:hint="eastAsia" w:ascii="宋体" w:hAnsi="宋体" w:cs="宋体"/>
                <w:sz w:val="24"/>
                <w:szCs w:val="24"/>
                <w:lang w:eastAsia="zh-CN"/>
              </w:rPr>
              <w:t>监理方</w:t>
            </w:r>
            <w:r>
              <w:rPr>
                <w:rFonts w:hint="eastAsia" w:ascii="宋体" w:hAnsi="宋体" w:eastAsia="宋体" w:cs="宋体"/>
                <w:sz w:val="24"/>
                <w:szCs w:val="24"/>
              </w:rPr>
              <w:t>应做到：</w:t>
            </w:r>
          </w:p>
          <w:p w14:paraId="73812DF5">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安全保密。与项目工作人员签订保密协议，加强对工作人员的保密教育，项目人员需具备保密部门颁发的《保密教育培训证书》。</w:t>
            </w:r>
          </w:p>
          <w:p w14:paraId="56BF5459">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建立严格的保密制度，加强管理，杜绝工作人员对档案及档案信息的私自复制行为。所有工作人员 (包括数据质检人员) 必须为中华人民共和国境内公民，不得有外籍人员，不得有泄密前科。如发生泄密事件，由</w:t>
            </w:r>
            <w:r>
              <w:rPr>
                <w:rFonts w:hint="eastAsia" w:ascii="宋体" w:hAnsi="宋体" w:cs="宋体"/>
                <w:sz w:val="24"/>
                <w:szCs w:val="24"/>
                <w:lang w:eastAsia="zh-CN"/>
              </w:rPr>
              <w:t>监理方</w:t>
            </w:r>
            <w:r>
              <w:rPr>
                <w:rFonts w:hint="eastAsia" w:ascii="宋体" w:hAnsi="宋体" w:eastAsia="宋体" w:cs="宋体"/>
                <w:sz w:val="24"/>
                <w:szCs w:val="24"/>
              </w:rPr>
              <w:t>负全责。</w:t>
            </w:r>
          </w:p>
          <w:p w14:paraId="1490606F">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协助采购人明确项目的安全需求，检查落实项目合同中与信息安全相关的技术要求，及时报告操作过程中存在的安全风险。</w:t>
            </w:r>
          </w:p>
          <w:p w14:paraId="72C56D86">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岗前培训。进行数据质检工作之前，应对从事数据质检工作的人员进行培训，培训内容主要包括管理制度培训、档案专业知识培训、扫描技术培训和验收检测技术培训。</w:t>
            </w:r>
          </w:p>
          <w:p w14:paraId="18ABC96D">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检测场地的安全及保密措施。配备保密设施，保证档案原件的安全和保密。完成对实体档案以页为单位的清点检查工作，确保档案完好入库。在工作平台上建立监管系统，实时监控工作人员的操作过程，统—记录保存。从整体上对加工现场的物品隔离等进行全面安全管理。</w:t>
            </w:r>
          </w:p>
          <w:p w14:paraId="47E8C2D8">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分批验收进行数据移交后，工作站上的数据必须在采购人的现场监督下销毁。</w:t>
            </w:r>
          </w:p>
          <w:p w14:paraId="49C08E62">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数据安全保护。全部数据质检工作必须在指定的工作场所内完成，任何人不能将档案及相关资料带出工作场所。</w:t>
            </w:r>
            <w:r>
              <w:rPr>
                <w:rFonts w:hint="eastAsia" w:ascii="宋体" w:hAnsi="宋体" w:cs="宋体"/>
                <w:sz w:val="24"/>
                <w:szCs w:val="24"/>
                <w:lang w:eastAsia="zh-CN"/>
              </w:rPr>
              <w:t>监理方</w:t>
            </w:r>
            <w:r>
              <w:rPr>
                <w:rFonts w:hint="eastAsia" w:ascii="宋体" w:hAnsi="宋体" w:eastAsia="宋体" w:cs="宋体"/>
                <w:sz w:val="24"/>
                <w:szCs w:val="24"/>
              </w:rPr>
              <w:t>须确保纸质档案和扫描后形成的数字档案信息的绝对安全保密，</w:t>
            </w:r>
            <w:r>
              <w:rPr>
                <w:rFonts w:hint="eastAsia" w:ascii="宋体" w:hAnsi="宋体" w:cs="宋体"/>
                <w:sz w:val="24"/>
                <w:szCs w:val="24"/>
                <w:lang w:val="en-US" w:eastAsia="zh-CN"/>
              </w:rPr>
              <w:t>未经采购人同意</w:t>
            </w:r>
            <w:r>
              <w:rPr>
                <w:rFonts w:hint="eastAsia" w:ascii="宋体" w:hAnsi="宋体" w:eastAsia="宋体" w:cs="宋体"/>
                <w:sz w:val="24"/>
                <w:szCs w:val="24"/>
              </w:rPr>
              <w:t>不得在</w:t>
            </w:r>
            <w:r>
              <w:rPr>
                <w:rFonts w:hint="eastAsia" w:ascii="宋体" w:hAnsi="宋体" w:cs="宋体"/>
                <w:sz w:val="24"/>
                <w:szCs w:val="24"/>
                <w:lang w:val="en-US" w:eastAsia="zh-CN"/>
              </w:rPr>
              <w:t>数字化场所</w:t>
            </w:r>
            <w:r>
              <w:rPr>
                <w:rFonts w:hint="eastAsia" w:ascii="宋体" w:hAnsi="宋体" w:eastAsia="宋体" w:cs="宋体"/>
                <w:sz w:val="24"/>
                <w:szCs w:val="24"/>
              </w:rPr>
              <w:t>以外进行与山东大学档案数字化信息有关的任何活动，不得复制、损害、丢失和涂改原始资料，不得向任何第三方复制、转让有关的电子数据，不得擅自使用与数据库建设有关的电子数据。监理工作完成后，应要求加工方在规定时间将原始资料归档。</w:t>
            </w:r>
          </w:p>
          <w:p w14:paraId="754F888A">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存储设备管理。在数据质检过程中，只能使用采购人授权的专用移动存储设备进行数据的移交操作，禁止使用其它非授权移动存储设备或具有存储功能的其它设备。全部数据移交后，数据质检过程中所用的全部存储设备，包括授权的专用移动存储设备和计算机内硬盘，需全部移交给采购人。</w:t>
            </w:r>
          </w:p>
          <w:p w14:paraId="58328107">
            <w:pPr>
              <w:keepNext w:val="0"/>
              <w:keepLines w:val="0"/>
              <w:pageBreakBefore w:val="0"/>
              <w:widowControl w:val="0"/>
              <w:numPr>
                <w:ilvl w:val="-1"/>
                <w:numId w:val="0"/>
              </w:numPr>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法律保护。双方签订保密协议，如有泄密，将依法追究相关责任者的法律责任。</w:t>
            </w:r>
          </w:p>
          <w:p w14:paraId="25FA95BA">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b/>
                <w:bCs/>
                <w:sz w:val="24"/>
                <w:szCs w:val="24"/>
              </w:rPr>
            </w:pPr>
            <w:r>
              <w:rPr>
                <w:rFonts w:hint="eastAsia" w:ascii="宋体" w:hAnsi="宋体" w:cs="宋体"/>
                <w:sz w:val="24"/>
                <w:szCs w:val="24"/>
                <w:lang w:eastAsia="zh-CN"/>
              </w:rPr>
              <w:t>监理方</w:t>
            </w:r>
            <w:r>
              <w:rPr>
                <w:rFonts w:hint="eastAsia" w:ascii="宋体" w:hAnsi="宋体" w:eastAsia="宋体" w:cs="宋体"/>
                <w:sz w:val="24"/>
                <w:szCs w:val="24"/>
              </w:rPr>
              <w:t>应对项目质量、安全全面监督，如</w:t>
            </w:r>
            <w:r>
              <w:rPr>
                <w:rFonts w:hint="eastAsia" w:ascii="宋体" w:hAnsi="宋体" w:cs="宋体"/>
                <w:sz w:val="24"/>
                <w:szCs w:val="24"/>
                <w:lang w:eastAsia="zh-CN"/>
              </w:rPr>
              <w:t>监理方</w:t>
            </w:r>
            <w:r>
              <w:rPr>
                <w:rFonts w:hint="eastAsia" w:ascii="宋体" w:hAnsi="宋体" w:eastAsia="宋体" w:cs="宋体"/>
                <w:sz w:val="24"/>
                <w:szCs w:val="24"/>
              </w:rPr>
              <w:t>未能正确履行职责，造成质量、安全事故，根据相关法律规定，</w:t>
            </w:r>
            <w:r>
              <w:rPr>
                <w:rFonts w:hint="eastAsia" w:ascii="宋体" w:hAnsi="宋体" w:cs="宋体"/>
                <w:sz w:val="24"/>
                <w:szCs w:val="24"/>
                <w:lang w:eastAsia="zh-CN"/>
              </w:rPr>
              <w:t>监理方</w:t>
            </w:r>
            <w:r>
              <w:rPr>
                <w:rFonts w:hint="eastAsia" w:ascii="宋体" w:hAnsi="宋体" w:eastAsia="宋体" w:cs="宋体"/>
                <w:sz w:val="24"/>
                <w:szCs w:val="24"/>
              </w:rPr>
              <w:t>承担相应责任。</w:t>
            </w:r>
          </w:p>
          <w:p w14:paraId="7F6E328A">
            <w:pPr>
              <w:keepNext w:val="0"/>
              <w:keepLines w:val="0"/>
              <w:pageBreakBefore w:val="0"/>
              <w:widowControl w:val="0"/>
              <w:kinsoku/>
              <w:wordWrap/>
              <w:overflowPunct/>
              <w:topLinePunct w:val="0"/>
              <w:bidi w:val="0"/>
              <w:snapToGrid/>
              <w:ind w:left="0" w:firstLine="482" w:firstLineChars="200"/>
              <w:jc w:val="left"/>
              <w:textAlignment w:val="auto"/>
              <w:rPr>
                <w:rFonts w:hint="eastAsia" w:ascii="宋体" w:hAnsi="宋体" w:eastAsia="宋体" w:cs="宋体"/>
                <w:sz w:val="24"/>
                <w:szCs w:val="24"/>
              </w:rPr>
            </w:pPr>
            <w:r>
              <w:rPr>
                <w:rFonts w:hint="eastAsia" w:ascii="宋体" w:hAnsi="宋体" w:cs="宋体"/>
                <w:b/>
                <w:bCs/>
                <w:sz w:val="24"/>
                <w:szCs w:val="24"/>
                <w:lang w:val="en-US" w:eastAsia="zh-CN"/>
              </w:rPr>
              <w:t>三</w:t>
            </w:r>
            <w:r>
              <w:rPr>
                <w:rFonts w:hint="eastAsia" w:ascii="宋体" w:hAnsi="宋体" w:eastAsia="宋体" w:cs="宋体"/>
                <w:b/>
                <w:bCs/>
                <w:sz w:val="24"/>
                <w:szCs w:val="24"/>
              </w:rPr>
              <w:t>、项目服务期</w:t>
            </w:r>
          </w:p>
          <w:p w14:paraId="183149A4">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项目服务期以采购人数字化加工/数据处理服务项目所签订的合同工期为准。即：数据处理服务项目供应商承诺并实施的工期，加上验收后监理方工作所需要的时间，为本监理服务期限。项目开始时间与数据处理服务项目开始时间同步。</w:t>
            </w:r>
          </w:p>
          <w:p w14:paraId="5BC41945">
            <w:pPr>
              <w:keepNext w:val="0"/>
              <w:keepLines w:val="0"/>
              <w:pageBreakBefore w:val="0"/>
              <w:widowControl w:val="0"/>
              <w:kinsoku/>
              <w:wordWrap/>
              <w:overflowPunct/>
              <w:topLinePunct w:val="0"/>
              <w:bidi w:val="0"/>
              <w:snapToGrid/>
              <w:ind w:left="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四、</w:t>
            </w:r>
            <w:r>
              <w:rPr>
                <w:rFonts w:hint="eastAsia" w:ascii="宋体" w:hAnsi="宋体" w:eastAsia="宋体" w:cs="宋体"/>
                <w:b/>
                <w:bCs/>
                <w:sz w:val="24"/>
                <w:szCs w:val="24"/>
              </w:rPr>
              <w:t>、项目人员要求</w:t>
            </w:r>
          </w:p>
          <w:p w14:paraId="3D79C521">
            <w:pPr>
              <w:keepNext w:val="0"/>
              <w:keepLines w:val="0"/>
              <w:pageBreakBefore w:val="0"/>
              <w:widowControl w:val="0"/>
              <w:kinsoku/>
              <w:wordWrap/>
              <w:overflowPunct/>
              <w:topLinePunct w:val="0"/>
              <w:bidi w:val="0"/>
              <w:snapToGrid/>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本项目要求配备符合采购文件承诺条件的监理服务人员至少2人(含项目负责人1名)。项目服务期内，未经采购人许可，不能更换服务人员。监理人员工作时间与本次数字化加工项目工作人员一致，负责此次项目的全程监督。</w:t>
            </w:r>
          </w:p>
        </w:tc>
        <w:tc>
          <w:tcPr>
            <w:tcW w:w="274" w:type="pct"/>
            <w:tcBorders>
              <w:top w:val="single" w:color="auto" w:sz="4" w:space="0"/>
              <w:left w:val="single" w:color="auto" w:sz="4" w:space="0"/>
              <w:bottom w:val="single" w:color="auto" w:sz="4" w:space="0"/>
              <w:right w:val="single" w:color="auto" w:sz="4" w:space="0"/>
            </w:tcBorders>
            <w:noWrap w:val="0"/>
            <w:vAlign w:val="center"/>
          </w:tcPr>
          <w:p w14:paraId="2F334B1E">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0A5C56C">
            <w:pPr>
              <w:spacing w:line="240" w:lineRule="auto"/>
              <w:ind w:firstLine="0" w:firstLineChars="0"/>
              <w:jc w:val="center"/>
              <w:rPr>
                <w:rFonts w:hint="eastAsia" w:ascii="宋体" w:hAnsi="宋体" w:eastAsia="宋体" w:cs="宋体"/>
                <w:sz w:val="24"/>
                <w:szCs w:val="24"/>
              </w:rPr>
            </w:pPr>
          </w:p>
        </w:tc>
      </w:tr>
    </w:tbl>
    <w:p w14:paraId="0086D00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仿宋"/>
          <w:b/>
          <w:szCs w:val="24"/>
        </w:rPr>
      </w:pPr>
      <w:r>
        <w:rPr>
          <w:rFonts w:ascii="宋体" w:hAnsi="宋体" w:cs="仿宋"/>
          <w:b/>
          <w:szCs w:val="24"/>
        </w:rPr>
        <w:t>相关标准规范</w:t>
      </w:r>
    </w:p>
    <w:p w14:paraId="6C956B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Cs w:val="24"/>
        </w:rPr>
      </w:pPr>
      <w:r>
        <w:rPr>
          <w:rFonts w:ascii="宋体" w:hAnsi="宋体" w:cs="宋体"/>
          <w:szCs w:val="24"/>
        </w:rPr>
        <w:t>1</w:t>
      </w:r>
      <w:r>
        <w:rPr>
          <w:rFonts w:hint="eastAsia" w:ascii="宋体" w:hAnsi="宋体" w:cs="宋体"/>
          <w:szCs w:val="24"/>
        </w:rPr>
        <w:t>.《中华人民共和国档案法》（主席令第47 号，2021年1月1日实施）、《中华人民共和国档案法实施条例》（国务院令第772号， 2024年3月1日实施）、《中华人民共和国保守国家秘密法》（主席令第20号，2024年5月1日实施）、《中华人民共和国保守国家秘密法实施条例》（2024年9月1日实施）等。</w:t>
      </w:r>
    </w:p>
    <w:p w14:paraId="3F18A5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Cs w:val="24"/>
        </w:rPr>
      </w:pPr>
      <w:r>
        <w:rPr>
          <w:rFonts w:hint="eastAsia" w:ascii="宋体" w:hAnsi="宋体" w:cs="宋体"/>
          <w:szCs w:val="24"/>
        </w:rPr>
        <w:t>2.《DA/T 18档案著录规则》、《DA/T 46文书类电子文件元数据方案》、《DA/T 31 纸质档案数字化规范》、《DA/T 68.1 档案服务外包工作规范 第1部分：总则》、《DA/T 68.2档案服务外包工作规范 第2部分：档案数字化服务》、《DA/T 68.4档案服务外包工作规范 第4部分 档案整理服务》、《档案数字化外包安全管理规范》（档办发［2</w:t>
      </w:r>
      <w:r>
        <w:rPr>
          <w:rFonts w:ascii="宋体" w:hAnsi="宋体" w:cs="宋体"/>
          <w:szCs w:val="24"/>
        </w:rPr>
        <w:t>014</w:t>
      </w:r>
      <w:r>
        <w:rPr>
          <w:rFonts w:hint="eastAsia" w:ascii="宋体" w:hAnsi="宋体" w:cs="宋体"/>
          <w:szCs w:val="24"/>
        </w:rPr>
        <w:t>］</w:t>
      </w:r>
      <w:r>
        <w:rPr>
          <w:rFonts w:ascii="宋体" w:hAnsi="宋体" w:cs="宋体"/>
          <w:szCs w:val="24"/>
        </w:rPr>
        <w:t>7号</w:t>
      </w:r>
      <w:r>
        <w:rPr>
          <w:rFonts w:hint="eastAsia" w:ascii="宋体" w:hAnsi="宋体" w:cs="宋体"/>
          <w:szCs w:val="24"/>
        </w:rPr>
        <w:t>）、《DA/T 75档案数据硬磁盘离线存储管理规范》、《DA/T 31 纸质档案数字化规范》、《DA/T 77 纸质档案数字复制件光学字符识别（OCR）工作规范》、</w:t>
      </w:r>
      <w:r>
        <w:rPr>
          <w:rFonts w:hint="eastAsia" w:ascii="宋体" w:hAnsi="宋体" w:cs="宋体"/>
          <w:color w:val="000000"/>
          <w:szCs w:val="24"/>
        </w:rPr>
        <w:t>《GB/T 42468.3纸质档案抢救与修复规范 第3部分：修复质量要求》等</w:t>
      </w:r>
      <w:r>
        <w:rPr>
          <w:rFonts w:hint="eastAsia" w:ascii="宋体" w:hAnsi="宋体" w:cs="宋体"/>
          <w:szCs w:val="24"/>
        </w:rPr>
        <w:t>。</w:t>
      </w:r>
    </w:p>
    <w:p w14:paraId="588309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Cs w:val="24"/>
        </w:rPr>
      </w:pPr>
      <w:r>
        <w:rPr>
          <w:rFonts w:ascii="宋体" w:hAnsi="宋体" w:cs="宋体"/>
          <w:szCs w:val="24"/>
        </w:rPr>
        <w:t>3</w:t>
      </w:r>
      <w:r>
        <w:rPr>
          <w:rFonts w:hint="eastAsia" w:ascii="宋体" w:hAnsi="宋体" w:cs="宋体"/>
          <w:szCs w:val="24"/>
        </w:rPr>
        <w:t>.《电子档案管理办法》（国家档案局令第22号）、《GB/T 18894电子文件归档与电子档案管理规范》等。</w:t>
      </w:r>
    </w:p>
    <w:p w14:paraId="1DC8B5C8">
      <w:pPr>
        <w:rPr>
          <w:rFonts w:hint="eastAsia" w:ascii="宋体" w:hAnsi="宋体" w:eastAsia="宋体" w:cs="宋体"/>
          <w:b/>
          <w:bCs/>
          <w:sz w:val="24"/>
          <w:szCs w:val="24"/>
        </w:rPr>
      </w:pPr>
    </w:p>
    <w:p w14:paraId="74561058">
      <w:pPr>
        <w:rPr>
          <w:rFonts w:hint="eastAsia" w:ascii="宋体" w:hAnsi="宋体" w:eastAsia="宋体" w:cs="宋体"/>
          <w:b/>
          <w:bCs/>
          <w:sz w:val="24"/>
          <w:szCs w:val="24"/>
        </w:rPr>
      </w:pPr>
      <w:r>
        <w:rPr>
          <w:rFonts w:hint="eastAsia" w:ascii="宋体" w:hAnsi="宋体" w:eastAsia="宋体" w:cs="宋体"/>
          <w:b/>
          <w:bCs/>
          <w:sz w:val="24"/>
          <w:szCs w:val="24"/>
        </w:rPr>
        <w:br w:type="page"/>
      </w:r>
    </w:p>
    <w:p w14:paraId="74744793">
      <w:pPr>
        <w:ind w:firstLine="643"/>
        <w:jc w:val="center"/>
        <w:rPr>
          <w:rFonts w:hint="eastAsia" w:ascii="宋体" w:hAnsi="宋体" w:eastAsia="宋体" w:cs="宋体"/>
          <w:b/>
          <w:bCs/>
          <w:sz w:val="24"/>
          <w:szCs w:val="24"/>
        </w:rPr>
      </w:pPr>
      <w:r>
        <w:rPr>
          <w:rFonts w:hint="eastAsia" w:ascii="宋体" w:hAnsi="宋体" w:eastAsia="宋体" w:cs="宋体"/>
          <w:b/>
          <w:bCs/>
          <w:sz w:val="24"/>
          <w:szCs w:val="24"/>
        </w:rPr>
        <w:t>山东大学采购商务条款响应一览表</w:t>
      </w:r>
    </w:p>
    <w:tbl>
      <w:tblPr>
        <w:tblStyle w:val="1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1559"/>
        <w:gridCol w:w="6521"/>
      </w:tblGrid>
      <w:tr w14:paraId="6333B7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959" w:type="dxa"/>
            <w:tcBorders>
              <w:top w:val="single" w:color="auto" w:sz="4" w:space="0"/>
              <w:bottom w:val="single" w:color="auto" w:sz="4" w:space="0"/>
              <w:right w:val="single" w:color="auto" w:sz="4" w:space="0"/>
            </w:tcBorders>
            <w:noWrap w:val="0"/>
            <w:vAlign w:val="center"/>
          </w:tcPr>
          <w:p w14:paraId="0C70F280">
            <w:pPr>
              <w:spacing w:line="420" w:lineRule="exact"/>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5D80D41">
            <w:pPr>
              <w:spacing w:line="420" w:lineRule="exact"/>
              <w:ind w:firstLine="482"/>
              <w:rPr>
                <w:rFonts w:hint="eastAsia" w:ascii="宋体" w:hAnsi="宋体" w:eastAsia="宋体" w:cs="宋体"/>
                <w:b/>
                <w:bCs/>
                <w:sz w:val="24"/>
                <w:szCs w:val="24"/>
              </w:rPr>
            </w:pPr>
            <w:r>
              <w:rPr>
                <w:rFonts w:hint="eastAsia" w:ascii="宋体" w:hAnsi="宋体" w:eastAsia="宋体" w:cs="宋体"/>
                <w:b/>
                <w:bCs/>
                <w:sz w:val="24"/>
                <w:szCs w:val="24"/>
              </w:rPr>
              <w:t>名称</w:t>
            </w:r>
          </w:p>
        </w:tc>
        <w:tc>
          <w:tcPr>
            <w:tcW w:w="6521" w:type="dxa"/>
            <w:tcBorders>
              <w:top w:val="single" w:color="auto" w:sz="4" w:space="0"/>
              <w:left w:val="single" w:color="auto" w:sz="4" w:space="0"/>
              <w:bottom w:val="single" w:color="auto" w:sz="4" w:space="0"/>
            </w:tcBorders>
            <w:noWrap w:val="0"/>
            <w:vAlign w:val="center"/>
          </w:tcPr>
          <w:p w14:paraId="4784B982">
            <w:pPr>
              <w:spacing w:line="420" w:lineRule="exact"/>
              <w:ind w:firstLine="482"/>
              <w:jc w:val="center"/>
              <w:rPr>
                <w:rFonts w:hint="eastAsia" w:ascii="宋体" w:hAnsi="宋体" w:eastAsia="宋体" w:cs="宋体"/>
                <w:b/>
                <w:bCs/>
                <w:sz w:val="24"/>
                <w:szCs w:val="24"/>
              </w:rPr>
            </w:pPr>
            <w:r>
              <w:rPr>
                <w:rFonts w:hint="eastAsia" w:ascii="宋体" w:hAnsi="宋体" w:eastAsia="宋体" w:cs="宋体"/>
                <w:b/>
                <w:bCs/>
                <w:sz w:val="24"/>
                <w:szCs w:val="24"/>
              </w:rPr>
              <w:t>采购人要求</w:t>
            </w:r>
          </w:p>
        </w:tc>
      </w:tr>
      <w:tr w14:paraId="589C97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959" w:type="dxa"/>
            <w:tcBorders>
              <w:top w:val="single" w:color="auto" w:sz="4" w:space="0"/>
              <w:bottom w:val="single" w:color="auto" w:sz="4" w:space="0"/>
              <w:right w:val="single" w:color="auto" w:sz="4" w:space="0"/>
            </w:tcBorders>
            <w:noWrap w:val="0"/>
            <w:vAlign w:val="center"/>
          </w:tcPr>
          <w:p w14:paraId="0E2B5E2E">
            <w:pPr>
              <w:spacing w:line="420" w:lineRule="exact"/>
              <w:ind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7937FF8">
            <w:pPr>
              <w:tabs>
                <w:tab w:val="left" w:pos="420"/>
              </w:tabs>
              <w:spacing w:line="276"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成交价</w:t>
            </w:r>
          </w:p>
        </w:tc>
        <w:tc>
          <w:tcPr>
            <w:tcW w:w="6521" w:type="dxa"/>
            <w:tcBorders>
              <w:top w:val="single" w:color="auto" w:sz="4" w:space="0"/>
              <w:left w:val="single" w:color="auto" w:sz="4" w:space="0"/>
              <w:bottom w:val="single" w:color="auto" w:sz="4" w:space="0"/>
            </w:tcBorders>
            <w:noWrap w:val="0"/>
            <w:vAlign w:val="center"/>
          </w:tcPr>
          <w:p w14:paraId="053C7922">
            <w:pPr>
              <w:tabs>
                <w:tab w:val="left" w:pos="420"/>
              </w:tabs>
              <w:spacing w:line="276" w:lineRule="auto"/>
              <w:ind w:firstLine="0" w:firstLineChars="0"/>
              <w:rPr>
                <w:rFonts w:hint="eastAsia" w:ascii="宋体" w:hAnsi="宋体" w:eastAsia="宋体" w:cs="宋体"/>
                <w:sz w:val="24"/>
                <w:szCs w:val="24"/>
              </w:rPr>
            </w:pPr>
            <w:r>
              <w:rPr>
                <w:rFonts w:hint="eastAsia" w:ascii="宋体" w:hAnsi="宋体" w:eastAsia="宋体" w:cs="宋体"/>
                <w:color w:val="000000"/>
                <w:sz w:val="24"/>
                <w:szCs w:val="24"/>
              </w:rPr>
              <w:t>人民币</w:t>
            </w:r>
          </w:p>
        </w:tc>
      </w:tr>
      <w:tr w14:paraId="140120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959" w:type="dxa"/>
            <w:tcBorders>
              <w:top w:val="single" w:color="auto" w:sz="4" w:space="0"/>
              <w:bottom w:val="single" w:color="auto" w:sz="4" w:space="0"/>
              <w:right w:val="single" w:color="auto" w:sz="4" w:space="0"/>
            </w:tcBorders>
            <w:noWrap w:val="0"/>
            <w:vAlign w:val="center"/>
          </w:tcPr>
          <w:p w14:paraId="3047DFA4">
            <w:pPr>
              <w:spacing w:line="420" w:lineRule="exact"/>
              <w:ind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7FFF421">
            <w:pPr>
              <w:tabs>
                <w:tab w:val="left" w:pos="420"/>
              </w:tabs>
              <w:spacing w:line="276"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交付时间</w:t>
            </w:r>
          </w:p>
        </w:tc>
        <w:tc>
          <w:tcPr>
            <w:tcW w:w="6521" w:type="dxa"/>
            <w:tcBorders>
              <w:top w:val="single" w:color="auto" w:sz="4" w:space="0"/>
              <w:left w:val="single" w:color="auto" w:sz="4" w:space="0"/>
              <w:bottom w:val="single" w:color="auto" w:sz="4" w:space="0"/>
            </w:tcBorders>
            <w:noWrap w:val="0"/>
            <w:vAlign w:val="center"/>
          </w:tcPr>
          <w:p w14:paraId="061F02C2">
            <w:pPr>
              <w:tabs>
                <w:tab w:val="left" w:pos="420"/>
              </w:tabs>
              <w:spacing w:line="276" w:lineRule="auto"/>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按合同约定执行</w:t>
            </w:r>
          </w:p>
        </w:tc>
      </w:tr>
      <w:tr w14:paraId="7AC985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6" w:hRule="atLeast"/>
        </w:trPr>
        <w:tc>
          <w:tcPr>
            <w:tcW w:w="959" w:type="dxa"/>
            <w:tcBorders>
              <w:top w:val="single" w:color="auto" w:sz="4" w:space="0"/>
              <w:bottom w:val="single" w:color="auto" w:sz="4" w:space="0"/>
              <w:right w:val="single" w:color="auto" w:sz="4" w:space="0"/>
            </w:tcBorders>
            <w:noWrap w:val="0"/>
            <w:vAlign w:val="center"/>
          </w:tcPr>
          <w:p w14:paraId="6A6FB030">
            <w:pPr>
              <w:spacing w:line="420" w:lineRule="exact"/>
              <w:ind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3296E4A">
            <w:pPr>
              <w:tabs>
                <w:tab w:val="left" w:pos="420"/>
              </w:tabs>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服务期限</w:t>
            </w:r>
          </w:p>
        </w:tc>
        <w:tc>
          <w:tcPr>
            <w:tcW w:w="6521" w:type="dxa"/>
            <w:tcBorders>
              <w:top w:val="single" w:color="auto" w:sz="4" w:space="0"/>
              <w:left w:val="single" w:color="auto" w:sz="4" w:space="0"/>
              <w:bottom w:val="single" w:color="auto" w:sz="4" w:space="0"/>
            </w:tcBorders>
            <w:noWrap w:val="0"/>
            <w:vAlign w:val="center"/>
          </w:tcPr>
          <w:p w14:paraId="180158D6">
            <w:pPr>
              <w:spacing w:after="120"/>
              <w:ind w:firstLine="480"/>
              <w:rPr>
                <w:rFonts w:hint="eastAsia" w:ascii="宋体" w:hAnsi="宋体" w:eastAsia="宋体" w:cs="宋体"/>
                <w:kern w:val="0"/>
                <w:sz w:val="24"/>
                <w:szCs w:val="24"/>
              </w:rPr>
            </w:pPr>
            <w:r>
              <w:rPr>
                <w:rFonts w:hint="eastAsia" w:ascii="宋体" w:hAnsi="宋体" w:eastAsia="宋体" w:cs="宋体"/>
                <w:kern w:val="0"/>
                <w:sz w:val="24"/>
                <w:szCs w:val="24"/>
              </w:rPr>
              <w:t>本项目每年度预算10.2万元，服务期3年，合同采取一年一签模式。每年度服务期满后，采购人在年度预算能保障的前提下，根据中标人服务质量以及实际情况自主决定是否与中标人续签下一年合同。</w:t>
            </w:r>
          </w:p>
        </w:tc>
      </w:tr>
      <w:tr w14:paraId="22254F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4" w:hRule="atLeast"/>
        </w:trPr>
        <w:tc>
          <w:tcPr>
            <w:tcW w:w="959" w:type="dxa"/>
            <w:tcBorders>
              <w:top w:val="single" w:color="auto" w:sz="4" w:space="0"/>
              <w:bottom w:val="single" w:color="auto" w:sz="4" w:space="0"/>
              <w:right w:val="single" w:color="auto" w:sz="4" w:space="0"/>
            </w:tcBorders>
            <w:noWrap w:val="0"/>
            <w:vAlign w:val="center"/>
          </w:tcPr>
          <w:p w14:paraId="5A0D45C0">
            <w:pPr>
              <w:spacing w:line="420" w:lineRule="exact"/>
              <w:ind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4</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0083930">
            <w:pPr>
              <w:tabs>
                <w:tab w:val="left" w:pos="420"/>
              </w:tabs>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付款方式</w:t>
            </w:r>
          </w:p>
        </w:tc>
        <w:tc>
          <w:tcPr>
            <w:tcW w:w="6521" w:type="dxa"/>
            <w:tcBorders>
              <w:top w:val="single" w:color="auto" w:sz="4" w:space="0"/>
              <w:left w:val="single" w:color="auto" w:sz="4" w:space="0"/>
              <w:bottom w:val="single" w:color="auto" w:sz="4" w:space="0"/>
            </w:tcBorders>
            <w:noWrap w:val="0"/>
            <w:vAlign w:val="center"/>
          </w:tcPr>
          <w:p w14:paraId="67A2F339">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本项目采取一次性付款方式。</w:t>
            </w:r>
          </w:p>
          <w:p w14:paraId="09D85173">
            <w:pPr>
              <w:spacing w:after="120"/>
              <w:ind w:firstLine="480"/>
              <w:jc w:val="left"/>
              <w:rPr>
                <w:rFonts w:hint="eastAsia" w:ascii="宋体" w:hAnsi="宋体" w:eastAsia="宋体" w:cs="宋体"/>
                <w:kern w:val="0"/>
                <w:sz w:val="24"/>
                <w:szCs w:val="24"/>
              </w:rPr>
            </w:pPr>
            <w:r>
              <w:rPr>
                <w:rFonts w:hint="eastAsia" w:ascii="宋体" w:hAnsi="宋体" w:cs="宋体"/>
                <w:kern w:val="0"/>
                <w:sz w:val="24"/>
                <w:szCs w:val="24"/>
                <w:lang w:eastAsia="zh-CN"/>
              </w:rPr>
              <w:t>监理方</w:t>
            </w:r>
            <w:r>
              <w:rPr>
                <w:rFonts w:hint="eastAsia" w:ascii="宋体" w:hAnsi="宋体" w:eastAsia="宋体" w:cs="宋体"/>
                <w:kern w:val="0"/>
                <w:sz w:val="24"/>
                <w:szCs w:val="24"/>
              </w:rPr>
              <w:t>完成约定工作量100%时，采购方组织验收，按照验收标准验收合格，双方确认验收完毕后15个工作日内，采购方向</w:t>
            </w:r>
            <w:r>
              <w:rPr>
                <w:rFonts w:hint="eastAsia" w:ascii="宋体" w:hAnsi="宋体" w:cs="宋体"/>
                <w:kern w:val="0"/>
                <w:sz w:val="24"/>
                <w:szCs w:val="24"/>
                <w:lang w:eastAsia="zh-CN"/>
              </w:rPr>
              <w:t>监理方</w:t>
            </w:r>
            <w:r>
              <w:rPr>
                <w:rFonts w:hint="eastAsia" w:ascii="宋体" w:hAnsi="宋体" w:eastAsia="宋体" w:cs="宋体"/>
                <w:kern w:val="0"/>
                <w:sz w:val="24"/>
                <w:szCs w:val="24"/>
              </w:rPr>
              <w:t>支付全部合同额。</w:t>
            </w:r>
          </w:p>
        </w:tc>
      </w:tr>
    </w:tbl>
    <w:p w14:paraId="7A22A545">
      <w:bookmarkStart w:id="3" w:name="_GoBack"/>
      <w:bookmarkEnd w:id="3"/>
    </w:p>
    <w:p w14:paraId="1ABF1E57">
      <w:pPr>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985C3C"/>
    <w:rsid w:val="00014877"/>
    <w:rsid w:val="00107F51"/>
    <w:rsid w:val="00187FB5"/>
    <w:rsid w:val="01722086"/>
    <w:rsid w:val="01864C69"/>
    <w:rsid w:val="01985C3C"/>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068BB"/>
    <w:rsid w:val="082B31B8"/>
    <w:rsid w:val="08B16E7B"/>
    <w:rsid w:val="09076941"/>
    <w:rsid w:val="0913450E"/>
    <w:rsid w:val="097255CA"/>
    <w:rsid w:val="09AB55EB"/>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9F5C2A"/>
    <w:rsid w:val="14B616EB"/>
    <w:rsid w:val="14BB54CD"/>
    <w:rsid w:val="14E4280C"/>
    <w:rsid w:val="14F9711F"/>
    <w:rsid w:val="150A7FF0"/>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57806A4"/>
    <w:rsid w:val="25B55E88"/>
    <w:rsid w:val="26860AF8"/>
    <w:rsid w:val="26F946EF"/>
    <w:rsid w:val="27454323"/>
    <w:rsid w:val="276724B2"/>
    <w:rsid w:val="27AE17AE"/>
    <w:rsid w:val="27B065D9"/>
    <w:rsid w:val="27EC3203"/>
    <w:rsid w:val="28497CE9"/>
    <w:rsid w:val="287E5D51"/>
    <w:rsid w:val="28853958"/>
    <w:rsid w:val="2899220D"/>
    <w:rsid w:val="28F36F96"/>
    <w:rsid w:val="29083185"/>
    <w:rsid w:val="291218A3"/>
    <w:rsid w:val="292F2F3C"/>
    <w:rsid w:val="293B132E"/>
    <w:rsid w:val="29B660AF"/>
    <w:rsid w:val="29EF48F6"/>
    <w:rsid w:val="2A5B35EC"/>
    <w:rsid w:val="2AB6061E"/>
    <w:rsid w:val="2B0C566F"/>
    <w:rsid w:val="2B1A015B"/>
    <w:rsid w:val="2B261739"/>
    <w:rsid w:val="2B673557"/>
    <w:rsid w:val="2B7427ED"/>
    <w:rsid w:val="2BCF662B"/>
    <w:rsid w:val="2C0D6332"/>
    <w:rsid w:val="2CBA36ED"/>
    <w:rsid w:val="2CDB0A3F"/>
    <w:rsid w:val="2D2D582E"/>
    <w:rsid w:val="2E3547B2"/>
    <w:rsid w:val="2E3B5A0D"/>
    <w:rsid w:val="2E6424E2"/>
    <w:rsid w:val="2E783031"/>
    <w:rsid w:val="2EB9037F"/>
    <w:rsid w:val="2EEB4B42"/>
    <w:rsid w:val="2F0927B5"/>
    <w:rsid w:val="2F09696A"/>
    <w:rsid w:val="2F6623A2"/>
    <w:rsid w:val="2F9C7562"/>
    <w:rsid w:val="2FBC1453"/>
    <w:rsid w:val="3018551A"/>
    <w:rsid w:val="302741E5"/>
    <w:rsid w:val="30FA1725"/>
    <w:rsid w:val="314C1540"/>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EA6867"/>
    <w:rsid w:val="3CF44DFB"/>
    <w:rsid w:val="3D224BDE"/>
    <w:rsid w:val="3D230748"/>
    <w:rsid w:val="3D3775C9"/>
    <w:rsid w:val="3D385A7A"/>
    <w:rsid w:val="3D3A5A3A"/>
    <w:rsid w:val="3D590F09"/>
    <w:rsid w:val="3D5973AB"/>
    <w:rsid w:val="3D71102F"/>
    <w:rsid w:val="3DCA347D"/>
    <w:rsid w:val="3DDF1802"/>
    <w:rsid w:val="3DFB1B0E"/>
    <w:rsid w:val="3E08609E"/>
    <w:rsid w:val="3E100775"/>
    <w:rsid w:val="3F591BA3"/>
    <w:rsid w:val="3FE92D49"/>
    <w:rsid w:val="403326B5"/>
    <w:rsid w:val="40415F5B"/>
    <w:rsid w:val="40B0119D"/>
    <w:rsid w:val="414D52BF"/>
    <w:rsid w:val="418A0727"/>
    <w:rsid w:val="41DF1DC6"/>
    <w:rsid w:val="42046BD4"/>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C30E74"/>
    <w:rsid w:val="490B1097"/>
    <w:rsid w:val="49133B00"/>
    <w:rsid w:val="49BA55F7"/>
    <w:rsid w:val="49F41C02"/>
    <w:rsid w:val="4A383AAE"/>
    <w:rsid w:val="4A842FC4"/>
    <w:rsid w:val="4AB60F23"/>
    <w:rsid w:val="4ADA723F"/>
    <w:rsid w:val="4B652E50"/>
    <w:rsid w:val="4BB74681"/>
    <w:rsid w:val="4BCB1E65"/>
    <w:rsid w:val="4C0673B0"/>
    <w:rsid w:val="4C4541C4"/>
    <w:rsid w:val="4C890E00"/>
    <w:rsid w:val="4CFF544D"/>
    <w:rsid w:val="4D664F0D"/>
    <w:rsid w:val="4D737BC0"/>
    <w:rsid w:val="4D90732F"/>
    <w:rsid w:val="4DB911F5"/>
    <w:rsid w:val="4E39006D"/>
    <w:rsid w:val="4E3F4042"/>
    <w:rsid w:val="4E4A5E9C"/>
    <w:rsid w:val="4E5E0C59"/>
    <w:rsid w:val="4F5758BF"/>
    <w:rsid w:val="4FED4EA3"/>
    <w:rsid w:val="50414FAD"/>
    <w:rsid w:val="508225E4"/>
    <w:rsid w:val="50A27F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52A401D"/>
    <w:rsid w:val="553E5FA5"/>
    <w:rsid w:val="55885BB5"/>
    <w:rsid w:val="55CD5943"/>
    <w:rsid w:val="5655292B"/>
    <w:rsid w:val="5659437D"/>
    <w:rsid w:val="566770A4"/>
    <w:rsid w:val="56B83067"/>
    <w:rsid w:val="56F16299"/>
    <w:rsid w:val="572C398B"/>
    <w:rsid w:val="57DF2C91"/>
    <w:rsid w:val="580B5A68"/>
    <w:rsid w:val="58371843"/>
    <w:rsid w:val="585E5382"/>
    <w:rsid w:val="58623C63"/>
    <w:rsid w:val="58A50202"/>
    <w:rsid w:val="595A7F7E"/>
    <w:rsid w:val="59740071"/>
    <w:rsid w:val="59756698"/>
    <w:rsid w:val="59C33373"/>
    <w:rsid w:val="59C86CA9"/>
    <w:rsid w:val="59D43EF5"/>
    <w:rsid w:val="59D547EA"/>
    <w:rsid w:val="5A421A14"/>
    <w:rsid w:val="5A8D0756"/>
    <w:rsid w:val="5A8D3AFE"/>
    <w:rsid w:val="5B0F1B30"/>
    <w:rsid w:val="5B2E6B4B"/>
    <w:rsid w:val="5B5D4931"/>
    <w:rsid w:val="5BBE5C5A"/>
    <w:rsid w:val="5BC14016"/>
    <w:rsid w:val="5BEB236A"/>
    <w:rsid w:val="5C3A0A04"/>
    <w:rsid w:val="5CCA5E91"/>
    <w:rsid w:val="5D845BA8"/>
    <w:rsid w:val="5D8D3E71"/>
    <w:rsid w:val="5DA07FF7"/>
    <w:rsid w:val="5E01304D"/>
    <w:rsid w:val="5EE27322"/>
    <w:rsid w:val="5EE947C8"/>
    <w:rsid w:val="5F093A0F"/>
    <w:rsid w:val="5F10128B"/>
    <w:rsid w:val="5F6371E0"/>
    <w:rsid w:val="5F6F4B8F"/>
    <w:rsid w:val="5F916C75"/>
    <w:rsid w:val="60021EA4"/>
    <w:rsid w:val="600736BC"/>
    <w:rsid w:val="600A4B09"/>
    <w:rsid w:val="605F1D0B"/>
    <w:rsid w:val="6064444F"/>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CF139E"/>
    <w:rsid w:val="70197D66"/>
    <w:rsid w:val="7036075E"/>
    <w:rsid w:val="70362978"/>
    <w:rsid w:val="70412488"/>
    <w:rsid w:val="70966DD4"/>
    <w:rsid w:val="70E525BA"/>
    <w:rsid w:val="70E75FDC"/>
    <w:rsid w:val="71082E7B"/>
    <w:rsid w:val="71270FB4"/>
    <w:rsid w:val="71695A58"/>
    <w:rsid w:val="716B02ED"/>
    <w:rsid w:val="71CA268E"/>
    <w:rsid w:val="72250458"/>
    <w:rsid w:val="725C4DCF"/>
    <w:rsid w:val="7297545B"/>
    <w:rsid w:val="729F408D"/>
    <w:rsid w:val="73002031"/>
    <w:rsid w:val="73351CA8"/>
    <w:rsid w:val="73FF0EDA"/>
    <w:rsid w:val="74464EE5"/>
    <w:rsid w:val="748529B1"/>
    <w:rsid w:val="74B626D6"/>
    <w:rsid w:val="74E108A3"/>
    <w:rsid w:val="74E42550"/>
    <w:rsid w:val="74E94751"/>
    <w:rsid w:val="751C6ECC"/>
    <w:rsid w:val="751F7A57"/>
    <w:rsid w:val="756B596A"/>
    <w:rsid w:val="75880514"/>
    <w:rsid w:val="75B901F2"/>
    <w:rsid w:val="75CF1E4C"/>
    <w:rsid w:val="75E777AA"/>
    <w:rsid w:val="76631429"/>
    <w:rsid w:val="76730EC0"/>
    <w:rsid w:val="76A603F3"/>
    <w:rsid w:val="76C138E8"/>
    <w:rsid w:val="76CE6F37"/>
    <w:rsid w:val="77C75D52"/>
    <w:rsid w:val="781C1AEE"/>
    <w:rsid w:val="783B369C"/>
    <w:rsid w:val="78BC1B1C"/>
    <w:rsid w:val="78BE1435"/>
    <w:rsid w:val="78C13D31"/>
    <w:rsid w:val="79287717"/>
    <w:rsid w:val="79C55761"/>
    <w:rsid w:val="7B5707FE"/>
    <w:rsid w:val="7B655E5A"/>
    <w:rsid w:val="7BAD448A"/>
    <w:rsid w:val="7BFA2B6E"/>
    <w:rsid w:val="7C5E1890"/>
    <w:rsid w:val="7CB06CB4"/>
    <w:rsid w:val="7D1623C2"/>
    <w:rsid w:val="7D1B4352"/>
    <w:rsid w:val="7D395CFE"/>
    <w:rsid w:val="7D4F7832"/>
    <w:rsid w:val="7D9253F8"/>
    <w:rsid w:val="7D9F2718"/>
    <w:rsid w:val="7DBA21EF"/>
    <w:rsid w:val="7DD556D7"/>
    <w:rsid w:val="7E3C37AE"/>
    <w:rsid w:val="7E450708"/>
    <w:rsid w:val="7FAF52AF"/>
    <w:rsid w:val="7FC4329C"/>
    <w:rsid w:val="7FE0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等线" w:hAnsi="等线" w:eastAsia="宋体" w:cs="Times New Roman"/>
      <w:kern w:val="2"/>
      <w:sz w:val="24"/>
      <w:szCs w:val="22"/>
      <w:lang w:val="en-US" w:eastAsia="zh-CN" w:bidi="ar-SA"/>
    </w:rPr>
  </w:style>
  <w:style w:type="paragraph" w:styleId="2">
    <w:name w:val="heading 1"/>
    <w:basedOn w:val="1"/>
    <w:next w:val="1"/>
    <w:link w:val="14"/>
    <w:autoRedefine/>
    <w:qFormat/>
    <w:uiPriority w:val="0"/>
    <w:pPr>
      <w:keepNext/>
      <w:keepLines/>
      <w:spacing w:beforeLines="0" w:beforeAutospacing="0" w:afterLines="0" w:afterAutospacing="0" w:line="360" w:lineRule="auto"/>
      <w:jc w:val="center"/>
      <w:outlineLvl w:val="0"/>
    </w:pPr>
    <w:rPr>
      <w:rFonts w:ascii="Times New Roman" w:hAnsi="Times New Roman"/>
      <w:b/>
      <w:kern w:val="44"/>
      <w:sz w:val="44"/>
      <w:szCs w:val="21"/>
    </w:rPr>
  </w:style>
  <w:style w:type="paragraph" w:styleId="3">
    <w:name w:val="heading 2"/>
    <w:basedOn w:val="1"/>
    <w:next w:val="1"/>
    <w:link w:val="13"/>
    <w:autoRedefine/>
    <w:semiHidden/>
    <w:unhideWhenUsed/>
    <w:qFormat/>
    <w:uiPriority w:val="0"/>
    <w:pPr>
      <w:keepNext/>
      <w:keepLines/>
      <w:spacing w:line="360" w:lineRule="auto"/>
      <w:ind w:firstLine="0" w:firstLineChars="0"/>
      <w:jc w:val="left"/>
      <w:outlineLvl w:val="1"/>
    </w:pPr>
    <w:rPr>
      <w:rFonts w:ascii="Arial" w:hAnsi="Arial" w:eastAsia="仿宋"/>
      <w:b/>
      <w:bCs/>
      <w:sz w:val="32"/>
      <w:szCs w:val="32"/>
    </w:rPr>
  </w:style>
  <w:style w:type="paragraph" w:styleId="4">
    <w:name w:val="heading 3"/>
    <w:basedOn w:val="1"/>
    <w:next w:val="5"/>
    <w:link w:val="16"/>
    <w:semiHidden/>
    <w:unhideWhenUsed/>
    <w:qFormat/>
    <w:uiPriority w:val="0"/>
    <w:pPr>
      <w:keepNext/>
      <w:keepLines/>
      <w:spacing w:beforeLines="0" w:afterLines="0" w:line="360" w:lineRule="auto"/>
      <w:ind w:firstLine="0" w:firstLineChars="0"/>
      <w:outlineLvl w:val="2"/>
    </w:pPr>
    <w:rPr>
      <w:rFonts w:eastAsia="仿宋" w:cs="Times New Roman"/>
      <w:b/>
      <w:bCs/>
      <w:sz w:val="30"/>
      <w:szCs w:val="32"/>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Body Text Indent"/>
    <w:basedOn w:val="1"/>
    <w:autoRedefine/>
    <w:qFormat/>
    <w:uiPriority w:val="0"/>
    <w:pPr>
      <w:spacing w:after="120" w:afterLines="0" w:afterAutospacing="0"/>
      <w:ind w:left="420" w:leftChars="200"/>
    </w:pPr>
  </w:style>
  <w:style w:type="paragraph" w:styleId="7">
    <w:name w:val="Plain Text"/>
    <w:basedOn w:val="1"/>
    <w:autoRedefine/>
    <w:qFormat/>
    <w:uiPriority w:val="0"/>
    <w:rPr>
      <w:rFonts w:ascii="宋体" w:hAnsi="Courier New"/>
    </w:rPr>
  </w:style>
  <w:style w:type="paragraph" w:styleId="8">
    <w:name w:val="Title"/>
    <w:basedOn w:val="1"/>
    <w:next w:val="1"/>
    <w:link w:val="15"/>
    <w:autoRedefine/>
    <w:qFormat/>
    <w:uiPriority w:val="0"/>
    <w:pPr>
      <w:spacing w:before="240" w:after="60"/>
      <w:jc w:val="left"/>
      <w:outlineLvl w:val="0"/>
    </w:pPr>
    <w:rPr>
      <w:rFonts w:ascii="Cambria" w:hAnsi="Cambria" w:eastAsia="仿宋" w:cs="黑体"/>
      <w:b/>
      <w:bCs/>
      <w:sz w:val="32"/>
      <w:szCs w:val="32"/>
    </w:rPr>
  </w:style>
  <w:style w:type="paragraph" w:styleId="9">
    <w:name w:val="Body Text First Indent 2"/>
    <w:basedOn w:val="6"/>
    <w:autoRedefine/>
    <w:qFormat/>
    <w:uiPriority w:val="0"/>
    <w:pPr>
      <w:ind w:firstLine="420" w:firstLineChars="200"/>
    </w:pPr>
  </w:style>
  <w:style w:type="character" w:styleId="12">
    <w:name w:val="Hyperlink"/>
    <w:qFormat/>
    <w:uiPriority w:val="0"/>
    <w:rPr>
      <w:rFonts w:ascii="Times New Roman" w:hAnsi="Times New Roman" w:eastAsia="宋体"/>
      <w:color w:val="auto"/>
      <w:u w:val="none"/>
      <w:shd w:val="clear" w:color="auto" w:fill="009688"/>
    </w:rPr>
  </w:style>
  <w:style w:type="character" w:customStyle="1" w:styleId="13">
    <w:name w:val="标题 2 Char"/>
    <w:link w:val="3"/>
    <w:autoRedefine/>
    <w:qFormat/>
    <w:uiPriority w:val="0"/>
    <w:rPr>
      <w:rFonts w:ascii="Arial" w:hAnsi="Arial" w:eastAsia="仿宋"/>
      <w:b/>
      <w:sz w:val="32"/>
      <w:szCs w:val="21"/>
    </w:rPr>
  </w:style>
  <w:style w:type="character" w:customStyle="1" w:styleId="14">
    <w:name w:val="标题 1 Char"/>
    <w:link w:val="2"/>
    <w:autoRedefine/>
    <w:qFormat/>
    <w:uiPriority w:val="0"/>
    <w:rPr>
      <w:rFonts w:ascii="Times New Roman" w:hAnsi="Times New Roman" w:eastAsia="仿宋" w:cs="Times New Roman"/>
      <w:b/>
      <w:kern w:val="44"/>
      <w:sz w:val="44"/>
      <w:szCs w:val="21"/>
    </w:rPr>
  </w:style>
  <w:style w:type="character" w:customStyle="1" w:styleId="15">
    <w:name w:val="标题 Char1"/>
    <w:link w:val="8"/>
    <w:autoRedefine/>
    <w:qFormat/>
    <w:uiPriority w:val="0"/>
    <w:rPr>
      <w:rFonts w:ascii="Cambria" w:hAnsi="Cambria" w:eastAsia="仿宋" w:cs="黑体"/>
      <w:b/>
      <w:bCs/>
      <w:sz w:val="32"/>
      <w:szCs w:val="32"/>
    </w:rPr>
  </w:style>
  <w:style w:type="character" w:customStyle="1" w:styleId="16">
    <w:name w:val="标题 3 Char"/>
    <w:link w:val="4"/>
    <w:autoRedefine/>
    <w:qFormat/>
    <w:uiPriority w:val="0"/>
    <w:rPr>
      <w:rFonts w:ascii="Calibri" w:hAnsi="Calibri" w:eastAsia="仿宋" w:cs="Times New Roman"/>
      <w:b/>
      <w:bCs/>
      <w:sz w:val="30"/>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3834</Words>
  <Characters>3965</Characters>
  <Lines>0</Lines>
  <Paragraphs>0</Paragraphs>
  <TotalTime>4</TotalTime>
  <ScaleCrop>false</ScaleCrop>
  <LinksUpToDate>false</LinksUpToDate>
  <CharactersWithSpaces>3990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2026-06-10T05:19:00Z</dcterms:created>
  <dc:creator>NTKO</dc:creator>
  <cp:lastModifiedBy>NTKO</cp:lastModifiedBy>
  <dcterms:modified xsi:type="dcterms:W3CDTF">2026-06-12T08:54:17Z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D12864007D0540928D8E91617442F870_13</vt:lpwstr>
  </property>
  <property fmtid="{D5CDD505-2E9C-101B-9397-08002B2CF9AE}" pid="4" name="KSOTemplateDocerSaveRecord">
    <vt:lpwstr>eyJoZGlkIjoiNjBmMzc0MTM4NjJhMmUzY2JiNzliNTRlNzc5MmI0OWYiLCJ1c2VySWQiOiI1MzUzMjkxNjcifQ==</vt:lpwstr>
  </property>
</Properties>
</file>