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2EB590">
      <w:pPr>
        <w:pStyle w:val="6"/>
        <w:spacing w:before="120" w:after="120" w:line="240" w:lineRule="auto"/>
        <w:jc w:val="center"/>
        <w:rPr>
          <w:rFonts w:hint="eastAsia" w:ascii="宋体" w:hAnsi="宋体" w:eastAsia="宋体" w:cs="Times New Roman"/>
          <w:b/>
          <w:bCs/>
          <w:color w:val="auto"/>
          <w:kern w:val="2"/>
          <w:sz w:val="32"/>
          <w:highlight w:val="none"/>
        </w:rPr>
      </w:pPr>
      <w:r>
        <w:rPr>
          <w:rFonts w:hint="eastAsia" w:ascii="宋体" w:hAnsi="宋体" w:eastAsia="宋体" w:cs="Times New Roman"/>
          <w:b/>
          <w:bCs/>
          <w:color w:val="auto"/>
          <w:kern w:val="2"/>
          <w:sz w:val="32"/>
          <w:highlight w:val="none"/>
        </w:rPr>
        <w:t>采购内容及项目要求</w:t>
      </w:r>
    </w:p>
    <w:p w14:paraId="1DE1B8BE">
      <w:pPr>
        <w:spacing w:line="360" w:lineRule="auto"/>
        <w:ind w:firstLine="482"/>
        <w:rPr>
          <w:rFonts w:ascii="宋体" w:hAnsi="宋体"/>
          <w:b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一、项目</w:t>
      </w:r>
      <w:r>
        <w:rPr>
          <w:rFonts w:ascii="宋体" w:hAnsi="宋体"/>
          <w:b/>
          <w:color w:val="auto"/>
          <w:sz w:val="24"/>
          <w:highlight w:val="none"/>
        </w:rPr>
        <w:t>概况</w:t>
      </w:r>
    </w:p>
    <w:p w14:paraId="136E0153">
      <w:pPr>
        <w:spacing w:after="120" w:line="276" w:lineRule="auto"/>
        <w:jc w:val="left"/>
        <w:rPr>
          <w:rFonts w:hint="eastAsia" w:ascii="宋体" w:hAnsi="宋体" w:eastAsia="宋体"/>
          <w:kern w:val="0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highlight w:val="none"/>
          <w:lang w:eastAsia="zh-CN"/>
        </w:rPr>
        <w:t>山东大学化学与化工学院研究生学位论文委托评审服务招标项目，</w:t>
      </w:r>
      <w:r>
        <w:rPr>
          <w:rFonts w:hint="eastAsia" w:ascii="宋体" w:hAnsi="宋体"/>
          <w:kern w:val="0"/>
          <w:sz w:val="24"/>
          <w:highlight w:val="none"/>
        </w:rPr>
        <w:t>预算金额：</w:t>
      </w:r>
      <w:r>
        <w:rPr>
          <w:rFonts w:hint="eastAsia" w:ascii="宋体" w:hAnsi="宋体"/>
          <w:kern w:val="0"/>
          <w:sz w:val="24"/>
          <w:highlight w:val="none"/>
          <w:lang w:val="en-US" w:eastAsia="zh-CN"/>
        </w:rPr>
        <w:t>18.972</w:t>
      </w:r>
      <w:r>
        <w:rPr>
          <w:rFonts w:hint="eastAsia" w:ascii="宋体" w:hAnsi="宋体"/>
          <w:kern w:val="0"/>
          <w:sz w:val="24"/>
          <w:highlight w:val="none"/>
        </w:rPr>
        <w:t>万元</w:t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。</w:t>
      </w:r>
    </w:p>
    <w:p w14:paraId="287684CC">
      <w:pPr>
        <w:widowControl/>
        <w:spacing w:line="520" w:lineRule="exact"/>
        <w:ind w:firstLine="482" w:firstLineChars="200"/>
        <w:jc w:val="left"/>
        <w:rPr>
          <w:rFonts w:ascii="宋体" w:hAnsi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/>
          <w:b/>
          <w:bCs/>
          <w:color w:val="auto"/>
          <w:sz w:val="24"/>
          <w:highlight w:val="none"/>
        </w:rPr>
        <w:t>二、技术要求</w:t>
      </w:r>
    </w:p>
    <w:p w14:paraId="6056CBCF">
      <w:pPr>
        <w:widowControl/>
        <w:spacing w:line="520" w:lineRule="exact"/>
        <w:ind w:firstLine="562" w:firstLineChars="200"/>
        <w:jc w:val="center"/>
        <w:rPr>
          <w:rFonts w:ascii="宋体" w:hAnsi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山东大学采购技术条款响应一览表</w:t>
      </w:r>
    </w:p>
    <w:tbl>
      <w:tblPr>
        <w:tblStyle w:val="10"/>
        <w:tblW w:w="499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"/>
        <w:gridCol w:w="611"/>
        <w:gridCol w:w="7787"/>
        <w:gridCol w:w="1074"/>
      </w:tblGrid>
      <w:tr w14:paraId="092AC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tblHeader/>
          <w:jc w:val="center"/>
        </w:trPr>
        <w:tc>
          <w:tcPr>
            <w:tcW w:w="240" w:type="pct"/>
            <w:noWrap w:val="0"/>
            <w:vAlign w:val="center"/>
          </w:tcPr>
          <w:p w14:paraId="366843BD">
            <w:pPr>
              <w:tabs>
                <w:tab w:val="left" w:pos="720"/>
              </w:tabs>
              <w:spacing w:line="360" w:lineRule="auto"/>
              <w:jc w:val="center"/>
              <w:rPr>
                <w:rFonts w:ascii="宋体" w:hAnsi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Cs w:val="21"/>
                <w:highlight w:val="none"/>
              </w:rPr>
              <w:t>序号</w:t>
            </w:r>
          </w:p>
        </w:tc>
        <w:tc>
          <w:tcPr>
            <w:tcW w:w="306" w:type="pct"/>
            <w:noWrap w:val="0"/>
            <w:vAlign w:val="center"/>
          </w:tcPr>
          <w:p w14:paraId="699E5A92">
            <w:pPr>
              <w:tabs>
                <w:tab w:val="left" w:pos="720"/>
              </w:tabs>
              <w:spacing w:line="360" w:lineRule="auto"/>
              <w:jc w:val="center"/>
              <w:rPr>
                <w:rFonts w:ascii="宋体" w:hAnsi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Cs w:val="21"/>
                <w:highlight w:val="none"/>
              </w:rPr>
              <w:t>内容</w:t>
            </w:r>
          </w:p>
        </w:tc>
        <w:tc>
          <w:tcPr>
            <w:tcW w:w="3913" w:type="pct"/>
            <w:noWrap w:val="0"/>
            <w:vAlign w:val="center"/>
          </w:tcPr>
          <w:p w14:paraId="6BA97CD8">
            <w:pPr>
              <w:spacing w:line="300" w:lineRule="atLeast"/>
              <w:jc w:val="center"/>
              <w:rPr>
                <w:rFonts w:ascii="宋体" w:hAnsi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Cs w:val="21"/>
                <w:highlight w:val="none"/>
              </w:rPr>
              <w:t>技</w:t>
            </w:r>
            <w:r>
              <w:rPr>
                <w:rFonts w:ascii="宋体" w:hAnsi="宋体"/>
                <w:b/>
                <w:bCs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Cs w:val="21"/>
                <w:highlight w:val="none"/>
              </w:rPr>
              <w:t>术</w:t>
            </w:r>
            <w:r>
              <w:rPr>
                <w:rFonts w:ascii="宋体" w:hAnsi="宋体"/>
                <w:b/>
                <w:bCs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Cs w:val="21"/>
                <w:highlight w:val="none"/>
              </w:rPr>
              <w:t>指</w:t>
            </w:r>
            <w:r>
              <w:rPr>
                <w:rFonts w:ascii="宋体" w:hAnsi="宋体"/>
                <w:b/>
                <w:bCs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Cs w:val="21"/>
                <w:highlight w:val="none"/>
              </w:rPr>
              <w:t>标</w:t>
            </w:r>
          </w:p>
        </w:tc>
        <w:tc>
          <w:tcPr>
            <w:tcW w:w="539" w:type="pct"/>
            <w:noWrap w:val="0"/>
            <w:vAlign w:val="center"/>
          </w:tcPr>
          <w:p w14:paraId="72C879EC">
            <w:pPr>
              <w:spacing w:line="300" w:lineRule="atLeast"/>
              <w:jc w:val="center"/>
              <w:rPr>
                <w:rFonts w:hint="eastAsia" w:ascii="宋体" w:hAnsi="宋体" w:eastAsia="宋体"/>
                <w:b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Cs w:val="21"/>
                <w:highlight w:val="none"/>
                <w:lang w:val="en-US" w:eastAsia="zh-CN"/>
              </w:rPr>
              <w:t>数量</w:t>
            </w:r>
          </w:p>
        </w:tc>
      </w:tr>
      <w:tr w14:paraId="1A388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  <w:jc w:val="center"/>
        </w:trPr>
        <w:tc>
          <w:tcPr>
            <w:tcW w:w="240" w:type="pct"/>
            <w:noWrap w:val="0"/>
            <w:vAlign w:val="center"/>
          </w:tcPr>
          <w:p w14:paraId="70489E76">
            <w:pPr>
              <w:jc w:val="center"/>
              <w:rPr>
                <w:b/>
                <w:szCs w:val="21"/>
                <w:highlight w:val="none"/>
              </w:rPr>
            </w:pPr>
            <w:r>
              <w:rPr>
                <w:rFonts w:hint="eastAsia"/>
                <w:b/>
                <w:szCs w:val="21"/>
                <w:highlight w:val="none"/>
              </w:rPr>
              <w:t>1</w:t>
            </w:r>
          </w:p>
        </w:tc>
        <w:tc>
          <w:tcPr>
            <w:tcW w:w="306" w:type="pct"/>
            <w:noWrap w:val="0"/>
            <w:vAlign w:val="center"/>
          </w:tcPr>
          <w:p w14:paraId="06D7B8A9">
            <w:pPr>
              <w:jc w:val="center"/>
              <w:rPr>
                <w:b/>
                <w:szCs w:val="21"/>
                <w:highlight w:val="none"/>
              </w:rPr>
            </w:pPr>
            <w:r>
              <w:rPr>
                <w:rFonts w:hint="eastAsia"/>
                <w:b/>
                <w:szCs w:val="21"/>
                <w:highlight w:val="none"/>
              </w:rPr>
              <w:t>论文评审系统</w:t>
            </w:r>
          </w:p>
        </w:tc>
        <w:tc>
          <w:tcPr>
            <w:tcW w:w="3913" w:type="pct"/>
            <w:noWrap w:val="0"/>
            <w:vAlign w:val="center"/>
          </w:tcPr>
          <w:p w14:paraId="1C6671C9">
            <w:pPr>
              <w:spacing w:line="300" w:lineRule="auto"/>
              <w:ind w:firstLine="420" w:firstLineChars="200"/>
              <w:rPr>
                <w:szCs w:val="21"/>
                <w:highlight w:val="none"/>
              </w:rPr>
            </w:pPr>
            <w:r>
              <w:rPr>
                <w:szCs w:val="21"/>
                <w:highlight w:val="none"/>
              </w:rPr>
              <w:t>1</w:t>
            </w:r>
            <w:r>
              <w:rPr>
                <w:rFonts w:hint="eastAsia"/>
                <w:szCs w:val="21"/>
                <w:highlight w:val="none"/>
              </w:rPr>
              <w:t>.平台支持</w:t>
            </w:r>
            <w:r>
              <w:rPr>
                <w:szCs w:val="21"/>
                <w:highlight w:val="none"/>
              </w:rPr>
              <w:t>分批次送审论文</w:t>
            </w:r>
            <w:r>
              <w:rPr>
                <w:rFonts w:hint="eastAsia"/>
                <w:szCs w:val="21"/>
                <w:highlight w:val="none"/>
              </w:rPr>
              <w:t>，</w:t>
            </w:r>
            <w:r>
              <w:rPr>
                <w:szCs w:val="21"/>
                <w:highlight w:val="none"/>
              </w:rPr>
              <w:t>以批次为单位配置送审参数，送审参数包括：是否允许学院参与、学生上传论文的起止时间、是否允许学院查看学校送审结果、是否需要采集专家银行卡信息、每位专家最多评阅篇次、评阅意见最少字数。</w:t>
            </w:r>
          </w:p>
          <w:p w14:paraId="22DEC131">
            <w:pPr>
              <w:spacing w:line="300" w:lineRule="auto"/>
              <w:ind w:firstLine="420" w:firstLineChars="200"/>
              <w:rPr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2.</w:t>
            </w:r>
            <w:r>
              <w:rPr>
                <w:szCs w:val="21"/>
                <w:highlight w:val="none"/>
              </w:rPr>
              <w:t>平台支持</w:t>
            </w:r>
            <w:r>
              <w:rPr>
                <w:rFonts w:hint="eastAsia"/>
                <w:szCs w:val="21"/>
                <w:highlight w:val="none"/>
              </w:rPr>
              <w:t>按批次归档，归档后支持</w:t>
            </w:r>
            <w:r>
              <w:rPr>
                <w:szCs w:val="21"/>
                <w:highlight w:val="none"/>
              </w:rPr>
              <w:t>查看一个批次下各类送审数据，包括：批次信息、论文信息、论文送审信息、评阅信息、专家评审信息</w:t>
            </w:r>
            <w:r>
              <w:rPr>
                <w:rFonts w:hint="eastAsia"/>
                <w:szCs w:val="21"/>
                <w:highlight w:val="none"/>
              </w:rPr>
              <w:t>等</w:t>
            </w:r>
            <w:r>
              <w:rPr>
                <w:szCs w:val="21"/>
                <w:highlight w:val="none"/>
              </w:rPr>
              <w:t>，为了保障数据安全，查看专家评审信息需要进行身份验证。</w:t>
            </w:r>
          </w:p>
          <w:p w14:paraId="608B122B">
            <w:pPr>
              <w:spacing w:line="300" w:lineRule="auto"/>
              <w:ind w:firstLine="420" w:firstLineChars="200"/>
              <w:rPr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3.平台支持管理员和学生上传论文文件，</w:t>
            </w:r>
            <w:r>
              <w:rPr>
                <w:szCs w:val="21"/>
                <w:highlight w:val="none"/>
              </w:rPr>
              <w:t>论文文件上传成功后，系统能自动检测文件内容</w:t>
            </w:r>
            <w:r>
              <w:rPr>
                <w:rFonts w:hint="eastAsia"/>
                <w:szCs w:val="21"/>
                <w:highlight w:val="none"/>
              </w:rPr>
              <w:t>是否进行匿名处理</w:t>
            </w:r>
            <w:r>
              <w:rPr>
                <w:szCs w:val="21"/>
                <w:highlight w:val="none"/>
              </w:rPr>
              <w:t>，</w:t>
            </w:r>
            <w:r>
              <w:rPr>
                <w:rFonts w:hint="eastAsia"/>
                <w:szCs w:val="21"/>
                <w:highlight w:val="none"/>
              </w:rPr>
              <w:t>需匿名内容</w:t>
            </w:r>
            <w:r>
              <w:rPr>
                <w:szCs w:val="21"/>
                <w:highlight w:val="none"/>
              </w:rPr>
              <w:t>包括：学号、学生姓名、导师姓名。检测完成后，</w:t>
            </w:r>
            <w:r>
              <w:rPr>
                <w:rFonts w:hint="eastAsia"/>
                <w:szCs w:val="21"/>
                <w:highlight w:val="none"/>
              </w:rPr>
              <w:t>论文列表中</w:t>
            </w:r>
            <w:r>
              <w:rPr>
                <w:szCs w:val="21"/>
                <w:highlight w:val="none"/>
              </w:rPr>
              <w:t>有明显标记显示</w:t>
            </w:r>
            <w:r>
              <w:rPr>
                <w:rFonts w:hint="eastAsia"/>
                <w:szCs w:val="21"/>
                <w:highlight w:val="none"/>
              </w:rPr>
              <w:t>论文是否已匿名，文件检查结果支持批量导出。</w:t>
            </w:r>
          </w:p>
          <w:p w14:paraId="03367242">
            <w:pPr>
              <w:pStyle w:val="14"/>
              <w:spacing w:line="300" w:lineRule="auto"/>
              <w:rPr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4.平台支持批量上传论文附件，支持</w:t>
            </w:r>
            <w:r>
              <w:rPr>
                <w:szCs w:val="21"/>
                <w:highlight w:val="none"/>
              </w:rPr>
              <w:t>多名</w:t>
            </w:r>
            <w:r>
              <w:rPr>
                <w:rFonts w:hint="eastAsia"/>
                <w:szCs w:val="21"/>
                <w:highlight w:val="none"/>
              </w:rPr>
              <w:t>学生上传同一附件和每个学生不同附件两种情况上传。</w:t>
            </w:r>
          </w:p>
          <w:p w14:paraId="047BBBDC">
            <w:pPr>
              <w:pStyle w:val="14"/>
              <w:spacing w:line="300" w:lineRule="auto"/>
              <w:rPr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5.平台支持根据学校要求定制评阅书，平台管理员可为评阅书设置适用的学生，包括：学位等级、学位类型。可通过设置学习方式、所在院系、一级学科、二级学科、学生类别来限定学生范围。</w:t>
            </w:r>
          </w:p>
          <w:p w14:paraId="18AE4EDF">
            <w:pPr>
              <w:spacing w:line="300" w:lineRule="auto"/>
              <w:ind w:firstLine="420" w:firstLineChars="200"/>
              <w:rPr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6.平台具备短信催审和邮件催审功能，可批量选择论文发送催审短信或催审邮件。</w:t>
            </w:r>
          </w:p>
          <w:p w14:paraId="0CB0625F">
            <w:pPr>
              <w:spacing w:line="300" w:lineRule="auto"/>
              <w:ind w:firstLine="420" w:firstLineChars="200"/>
              <w:rPr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7.</w:t>
            </w:r>
            <w:r>
              <w:rPr>
                <w:szCs w:val="21"/>
                <w:highlight w:val="none"/>
              </w:rPr>
              <w:t>平台支持批量下载评阅书，</w:t>
            </w:r>
            <w:r>
              <w:rPr>
                <w:rFonts w:hint="eastAsia"/>
                <w:szCs w:val="21"/>
                <w:highlight w:val="none"/>
              </w:rPr>
              <w:t>支持查看每个评阅书的页数、下载次数、最近一次的下载时间。可配置专家信息隐藏模式，可选择隐藏专家敏感信息或隐藏专家全部信息。</w:t>
            </w:r>
          </w:p>
          <w:p w14:paraId="2670632D">
            <w:pPr>
              <w:spacing w:line="300" w:lineRule="auto"/>
              <w:ind w:firstLine="420" w:firstLineChars="200"/>
              <w:rPr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8</w:t>
            </w:r>
            <w:r>
              <w:rPr>
                <w:szCs w:val="21"/>
                <w:highlight w:val="none"/>
              </w:rPr>
              <w:t>.平台支持</w:t>
            </w:r>
            <w:r>
              <w:rPr>
                <w:rFonts w:hint="eastAsia"/>
                <w:szCs w:val="21"/>
                <w:highlight w:val="none"/>
              </w:rPr>
              <w:t>给管理员</w:t>
            </w:r>
            <w:r>
              <w:rPr>
                <w:szCs w:val="21"/>
                <w:highlight w:val="none"/>
              </w:rPr>
              <w:t>短信提示送审进度、评阅完成百分比。</w:t>
            </w:r>
          </w:p>
          <w:p w14:paraId="64A059F4">
            <w:pPr>
              <w:spacing w:line="300" w:lineRule="auto"/>
              <w:ind w:firstLine="420" w:firstLineChars="200"/>
              <w:rPr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9</w:t>
            </w:r>
            <w:r>
              <w:rPr>
                <w:szCs w:val="21"/>
                <w:highlight w:val="none"/>
              </w:rPr>
              <w:t>.</w:t>
            </w:r>
            <w:r>
              <w:rPr>
                <w:rFonts w:hint="eastAsia"/>
                <w:szCs w:val="21"/>
                <w:highlight w:val="none"/>
              </w:rPr>
              <w:t>平台支持分差预警，支持单独设置预警分差，达到设置分差值后，结果列表中有标志提示，并支持导出每个学生的结果分差</w:t>
            </w:r>
            <w:r>
              <w:rPr>
                <w:szCs w:val="21"/>
                <w:highlight w:val="none"/>
              </w:rPr>
              <w:t>。</w:t>
            </w:r>
          </w:p>
          <w:p w14:paraId="73C9DE2C">
            <w:pPr>
              <w:spacing w:line="300" w:lineRule="auto"/>
              <w:ind w:firstLine="420" w:firstLineChars="200"/>
              <w:rPr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10</w:t>
            </w:r>
            <w:r>
              <w:rPr>
                <w:szCs w:val="21"/>
                <w:highlight w:val="none"/>
              </w:rPr>
              <w:t>.</w:t>
            </w:r>
            <w:r>
              <w:rPr>
                <w:rFonts w:hint="eastAsia"/>
                <w:szCs w:val="21"/>
                <w:highlight w:val="none"/>
              </w:rPr>
              <w:t>平台支持专家在线批注，批注内容可一键汇总，方便专家在线审阅论文</w:t>
            </w:r>
            <w:r>
              <w:rPr>
                <w:szCs w:val="21"/>
                <w:highlight w:val="none"/>
              </w:rPr>
              <w:t>填写评阅意见</w:t>
            </w:r>
            <w:r>
              <w:rPr>
                <w:rFonts w:hint="eastAsia"/>
                <w:szCs w:val="21"/>
                <w:highlight w:val="none"/>
              </w:rPr>
              <w:t>。</w:t>
            </w:r>
          </w:p>
          <w:p w14:paraId="274404D9">
            <w:pPr>
              <w:spacing w:line="312" w:lineRule="auto"/>
              <w:ind w:firstLine="420" w:firstLineChars="20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hAnsi="宋体" w:cs="宋体"/>
                <w:szCs w:val="21"/>
                <w:highlight w:val="none"/>
              </w:rPr>
              <w:t>11.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支持专家电子签名，支持直接</w:t>
            </w:r>
            <w:r>
              <w:rPr>
                <w:rFonts w:hint="eastAsia" w:hAnsi="宋体" w:cs="宋体"/>
                <w:szCs w:val="21"/>
                <w:highlight w:val="none"/>
              </w:rPr>
              <w:t>微信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扫码签名。</w:t>
            </w:r>
          </w:p>
          <w:p w14:paraId="1AD9B101">
            <w:pPr>
              <w:spacing w:line="312" w:lineRule="auto"/>
              <w:ind w:firstLine="420" w:firstLineChars="20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hAnsi="宋体" w:cs="宋体"/>
                <w:szCs w:val="21"/>
                <w:highlight w:val="none"/>
              </w:rPr>
              <w:t>12.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平台支持自动识别雷同评阅意见，高度相似的评阅意见不允许提交。</w:t>
            </w:r>
          </w:p>
        </w:tc>
        <w:tc>
          <w:tcPr>
            <w:tcW w:w="539" w:type="pct"/>
            <w:noWrap w:val="0"/>
            <w:vAlign w:val="center"/>
          </w:tcPr>
          <w:p w14:paraId="174E526F">
            <w:pPr>
              <w:spacing w:line="312" w:lineRule="auto"/>
              <w:ind w:firstLine="420" w:firstLineChars="200"/>
              <w:jc w:val="center"/>
              <w:rPr>
                <w:rFonts w:hint="default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szCs w:val="21"/>
                <w:highlight w:val="none"/>
                <w:lang w:val="en-US" w:eastAsia="zh-CN"/>
              </w:rPr>
              <w:t>558</w:t>
            </w:r>
          </w:p>
        </w:tc>
      </w:tr>
      <w:tr w14:paraId="40462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  <w:jc w:val="center"/>
        </w:trPr>
        <w:tc>
          <w:tcPr>
            <w:tcW w:w="240" w:type="pct"/>
            <w:noWrap w:val="0"/>
            <w:vAlign w:val="center"/>
          </w:tcPr>
          <w:p w14:paraId="39ADD48E">
            <w:pPr>
              <w:jc w:val="center"/>
              <w:rPr>
                <w:b/>
                <w:szCs w:val="21"/>
                <w:highlight w:val="none"/>
              </w:rPr>
            </w:pPr>
            <w:r>
              <w:rPr>
                <w:rFonts w:hint="eastAsia"/>
                <w:b/>
                <w:szCs w:val="21"/>
                <w:highlight w:val="none"/>
              </w:rPr>
              <w:t>2</w:t>
            </w:r>
          </w:p>
        </w:tc>
        <w:tc>
          <w:tcPr>
            <w:tcW w:w="306" w:type="pct"/>
            <w:noWrap w:val="0"/>
            <w:vAlign w:val="center"/>
          </w:tcPr>
          <w:p w14:paraId="660E4996">
            <w:pPr>
              <w:jc w:val="center"/>
              <w:rPr>
                <w:b/>
                <w:szCs w:val="21"/>
                <w:highlight w:val="none"/>
              </w:rPr>
            </w:pPr>
            <w:r>
              <w:rPr>
                <w:rFonts w:hint="eastAsia"/>
                <w:b/>
                <w:szCs w:val="21"/>
                <w:highlight w:val="none"/>
              </w:rPr>
              <w:t>服务要求</w:t>
            </w:r>
          </w:p>
        </w:tc>
        <w:tc>
          <w:tcPr>
            <w:tcW w:w="3913" w:type="pct"/>
            <w:noWrap w:val="0"/>
            <w:vAlign w:val="center"/>
          </w:tcPr>
          <w:p w14:paraId="16C69506">
            <w:pPr>
              <w:spacing w:line="360" w:lineRule="auto"/>
              <w:ind w:firstLine="420" w:firstLineChars="200"/>
              <w:rPr>
                <w:highlight w:val="none"/>
              </w:rPr>
            </w:pP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.</w:t>
            </w:r>
            <w:r>
              <w:rPr>
                <w:highlight w:val="none"/>
              </w:rPr>
              <w:t>根据教育部第四轮学科评估排名，结合我校送审要求，将学位论文送审到全国范围内指定级别高校的专家，并按时返回评阅结果。</w:t>
            </w:r>
          </w:p>
          <w:p w14:paraId="7C7BE648">
            <w:pPr>
              <w:spacing w:line="360" w:lineRule="auto"/>
              <w:ind w:firstLine="420" w:firstLineChars="200"/>
              <w:rPr>
                <w:highlight w:val="none"/>
              </w:rPr>
            </w:pPr>
            <w:r>
              <w:rPr>
                <w:highlight w:val="none"/>
              </w:rPr>
              <w:t>2</w:t>
            </w:r>
            <w:r>
              <w:rPr>
                <w:rFonts w:hint="eastAsia"/>
                <w:highlight w:val="none"/>
              </w:rPr>
              <w:t>.</w:t>
            </w:r>
            <w:r>
              <w:rPr>
                <w:highlight w:val="none"/>
              </w:rPr>
              <w:t>评审专家从事专业需与论文的研究内容或学生所在专业匹配。</w:t>
            </w:r>
          </w:p>
          <w:p w14:paraId="02B61C15">
            <w:pPr>
              <w:spacing w:line="360" w:lineRule="auto"/>
              <w:ind w:firstLine="420" w:firstLineChars="200"/>
              <w:rPr>
                <w:highlight w:val="none"/>
              </w:rPr>
            </w:pPr>
            <w:r>
              <w:rPr>
                <w:highlight w:val="none"/>
              </w:rPr>
              <w:t>3</w:t>
            </w:r>
            <w:r>
              <w:rPr>
                <w:rFonts w:hint="eastAsia"/>
                <w:highlight w:val="none"/>
              </w:rPr>
              <w:t>.</w:t>
            </w:r>
            <w:r>
              <w:rPr>
                <w:highlight w:val="none"/>
              </w:rPr>
              <w:t>保证评审专家资质的真实性。硕士论文送审高校学科排名不低于我校层次，评审专家必须专业对口，具有高级专业技术职务且为研究生导师。每位专家同批次评审的论文上限为4篇。特殊情况由双方协商确定。</w:t>
            </w:r>
          </w:p>
          <w:p w14:paraId="7AEB3C7C">
            <w:pPr>
              <w:spacing w:line="360" w:lineRule="auto"/>
              <w:ind w:firstLine="420" w:firstLineChars="200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4.</w:t>
            </w:r>
            <w:r>
              <w:rPr>
                <w:highlight w:val="none"/>
              </w:rPr>
              <w:t>正式送审之前平台需把具体的送审方案报给我校，经我校检查确认后方可送审。</w:t>
            </w:r>
          </w:p>
          <w:p w14:paraId="7CE7D53F">
            <w:pPr>
              <w:spacing w:line="360" w:lineRule="auto"/>
              <w:ind w:firstLine="420" w:firstLineChars="200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5.根据送审方案将论文送审至指定高校，论文需由对应高校负责人分配至本校专家，</w:t>
            </w:r>
            <w:r>
              <w:rPr>
                <w:highlight w:val="none"/>
              </w:rPr>
              <w:t>同一篇论文的多名评审专家必须为不同学校的专家。</w:t>
            </w:r>
          </w:p>
          <w:p w14:paraId="1B3581F5">
            <w:pPr>
              <w:spacing w:line="360" w:lineRule="auto"/>
              <w:ind w:firstLine="420" w:firstLineChars="200"/>
              <w:rPr>
                <w:highlight w:val="none"/>
              </w:rPr>
            </w:pPr>
            <w:r>
              <w:rPr>
                <w:highlight w:val="none"/>
              </w:rPr>
              <w:t>6</w:t>
            </w:r>
            <w:r>
              <w:rPr>
                <w:rFonts w:hint="eastAsia"/>
                <w:highlight w:val="none"/>
              </w:rPr>
              <w:t>.</w:t>
            </w:r>
            <w:r>
              <w:rPr>
                <w:highlight w:val="none"/>
              </w:rPr>
              <w:t>平台可提供7x12小时在线技术支持与服务，如因软件自身问题导致无法正常使用，服务商应在2小时之内给予响应，12小时之内</w:t>
            </w:r>
            <w:r>
              <w:rPr>
                <w:rFonts w:hint="eastAsia"/>
                <w:highlight w:val="none"/>
              </w:rPr>
              <w:t>给出</w:t>
            </w:r>
            <w:r>
              <w:rPr>
                <w:highlight w:val="none"/>
              </w:rPr>
              <w:t>解决</w:t>
            </w:r>
            <w:r>
              <w:rPr>
                <w:rFonts w:hint="eastAsia"/>
                <w:highlight w:val="none"/>
              </w:rPr>
              <w:t>方案</w:t>
            </w:r>
            <w:r>
              <w:rPr>
                <w:highlight w:val="none"/>
              </w:rPr>
              <w:t>。</w:t>
            </w:r>
          </w:p>
          <w:p w14:paraId="1B91711C">
            <w:pPr>
              <w:spacing w:line="360" w:lineRule="auto"/>
              <w:ind w:firstLine="420" w:firstLineChars="200"/>
              <w:rPr>
                <w:highlight w:val="none"/>
              </w:rPr>
            </w:pPr>
            <w:r>
              <w:rPr>
                <w:highlight w:val="none"/>
              </w:rPr>
              <w:t>7</w:t>
            </w:r>
            <w:r>
              <w:rPr>
                <w:rFonts w:hint="eastAsia"/>
                <w:highlight w:val="none"/>
              </w:rPr>
              <w:t>.</w:t>
            </w:r>
            <w:r>
              <w:rPr>
                <w:highlight w:val="none"/>
              </w:rPr>
              <w:t>每篇论文的送审周期不超过25个自然日，复审论文不超过20个自然日。</w:t>
            </w:r>
          </w:p>
          <w:p w14:paraId="2EE29553">
            <w:pPr>
              <w:spacing w:line="300" w:lineRule="auto"/>
              <w:ind w:firstLine="420" w:firstLineChars="200"/>
              <w:rPr>
                <w:highlight w:val="none"/>
              </w:rPr>
            </w:pPr>
            <w:r>
              <w:rPr>
                <w:highlight w:val="none"/>
              </w:rPr>
              <w:t>8</w:t>
            </w:r>
            <w:r>
              <w:rPr>
                <w:rFonts w:hint="eastAsia"/>
                <w:highlight w:val="none"/>
              </w:rPr>
              <w:t>.</w:t>
            </w:r>
            <w:r>
              <w:rPr>
                <w:highlight w:val="none"/>
              </w:rPr>
              <w:t>平台须对我校在平台上的学生信息、论文信息、评阅结果进行保密和负责。</w:t>
            </w:r>
          </w:p>
          <w:p w14:paraId="2146DFCF">
            <w:pPr>
              <w:spacing w:line="300" w:lineRule="auto"/>
              <w:ind w:firstLine="420" w:firstLineChars="200"/>
              <w:rPr>
                <w:rFonts w:hint="eastAsia"/>
                <w:szCs w:val="21"/>
                <w:highlight w:val="none"/>
              </w:rPr>
            </w:pPr>
          </w:p>
        </w:tc>
        <w:tc>
          <w:tcPr>
            <w:tcW w:w="539" w:type="pct"/>
            <w:noWrap w:val="0"/>
            <w:vAlign w:val="center"/>
          </w:tcPr>
          <w:p w14:paraId="31749E4F">
            <w:pPr>
              <w:spacing w:line="300" w:lineRule="auto"/>
              <w:ind w:firstLine="420" w:firstLineChars="200"/>
              <w:rPr>
                <w:rFonts w:hint="eastAsia"/>
                <w:highlight w:val="none"/>
              </w:rPr>
            </w:pPr>
          </w:p>
        </w:tc>
      </w:tr>
    </w:tbl>
    <w:p w14:paraId="5AC980DA">
      <w:pPr>
        <w:pStyle w:val="9"/>
        <w:rPr>
          <w:color w:val="auto"/>
          <w:highlight w:val="none"/>
        </w:rPr>
      </w:pPr>
    </w:p>
    <w:p w14:paraId="64BD83D0">
      <w:pPr>
        <w:rPr>
          <w:rFonts w:hint="eastAsia"/>
          <w:color w:val="auto"/>
          <w:highlight w:val="none"/>
        </w:rPr>
      </w:pPr>
    </w:p>
    <w:p w14:paraId="6ABAB5FC">
      <w:pPr>
        <w:pStyle w:val="7"/>
        <w:spacing w:after="0" w:line="560" w:lineRule="exact"/>
        <w:rPr>
          <w:rFonts w:hint="eastAsia" w:ascii="宋体" w:hAnsi="宋体"/>
          <w:bCs/>
          <w:color w:val="auto"/>
          <w:highlight w:val="none"/>
        </w:rPr>
        <w:sectPr>
          <w:footerReference r:id="rId3" w:type="default"/>
          <w:pgSz w:w="11906" w:h="16838"/>
          <w:pgMar w:top="1440" w:right="1080" w:bottom="1440" w:left="1080" w:header="851" w:footer="992" w:gutter="0"/>
          <w:pgNumType w:fmt="decimal" w:start="1"/>
          <w:cols w:space="720" w:num="1"/>
          <w:docGrid w:linePitch="312" w:charSpace="0"/>
        </w:sectPr>
      </w:pPr>
    </w:p>
    <w:p w14:paraId="61D9A240">
      <w:pPr>
        <w:widowControl/>
        <w:spacing w:line="460" w:lineRule="exact"/>
        <w:ind w:firstLine="241" w:firstLineChars="100"/>
        <w:rPr>
          <w:rFonts w:ascii="宋体" w:hAnsi="宋体" w:cs="仿宋"/>
          <w:b/>
          <w:bCs/>
          <w:color w:val="auto"/>
          <w:sz w:val="24"/>
          <w:highlight w:val="none"/>
        </w:rPr>
      </w:pPr>
      <w:r>
        <w:rPr>
          <w:rFonts w:hint="eastAsia" w:ascii="宋体" w:hAnsi="宋体" w:cs="仿宋"/>
          <w:b/>
          <w:bCs/>
          <w:color w:val="auto"/>
          <w:sz w:val="24"/>
          <w:highlight w:val="none"/>
        </w:rPr>
        <w:t>三、商务要求</w:t>
      </w:r>
    </w:p>
    <w:p w14:paraId="3713B15B">
      <w:pPr>
        <w:spacing w:line="360" w:lineRule="auto"/>
        <w:jc w:val="center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山东大学采购商务条款响应一览表</w:t>
      </w:r>
    </w:p>
    <w:tbl>
      <w:tblPr>
        <w:tblStyle w:val="10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5"/>
        <w:gridCol w:w="1455"/>
        <w:gridCol w:w="5754"/>
        <w:gridCol w:w="1193"/>
      </w:tblGrid>
      <w:tr w14:paraId="2E38C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0FF72"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项目序号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0F638"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项目名称</w:t>
            </w:r>
          </w:p>
        </w:tc>
        <w:tc>
          <w:tcPr>
            <w:tcW w:w="5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3A0B3"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  <w:shd w:val="clear" w:color="auto" w:fill="FFFFFF"/>
              </w:rPr>
              <w:t>招标人要求</w:t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8460B"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投标人响应</w:t>
            </w:r>
          </w:p>
        </w:tc>
      </w:tr>
      <w:tr w14:paraId="2A77B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A638F">
            <w:pPr>
              <w:jc w:val="center"/>
              <w:rPr>
                <w:rFonts w:ascii="宋体" w:hAnsi="宋体" w:cs="宋体"/>
                <w:sz w:val="24"/>
                <w:highlight w:val="none"/>
              </w:rPr>
            </w:pPr>
            <w:r>
              <w:rPr>
                <w:rFonts w:ascii="宋体" w:hAnsi="宋体"/>
                <w:b/>
                <w:bCs/>
                <w:sz w:val="24"/>
                <w:highlight w:val="none"/>
              </w:rPr>
              <w:t>1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14E61"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成交价</w:t>
            </w:r>
          </w:p>
        </w:tc>
        <w:tc>
          <w:tcPr>
            <w:tcW w:w="5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6E0AE">
            <w:pPr>
              <w:jc w:val="left"/>
              <w:rPr>
                <w:rFonts w:ascii="宋体" w:hAnsi="宋体" w:eastAsia="楷体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lang w:val="en-US" w:eastAsia="zh-CN"/>
              </w:rPr>
              <w:t>人民币</w:t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B89AD">
            <w:pPr>
              <w:jc w:val="center"/>
              <w:rPr>
                <w:rFonts w:ascii="宋体" w:hAnsi="宋体"/>
                <w:highlight w:val="none"/>
              </w:rPr>
            </w:pPr>
          </w:p>
        </w:tc>
      </w:tr>
      <w:tr w14:paraId="221DC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D510F">
            <w:pPr>
              <w:jc w:val="center"/>
              <w:rPr>
                <w:rFonts w:ascii="宋体" w:hAnsi="宋体" w:cs="宋体"/>
                <w:sz w:val="24"/>
                <w:highlight w:val="none"/>
              </w:rPr>
            </w:pPr>
            <w:r>
              <w:rPr>
                <w:b/>
                <w:bCs/>
                <w:sz w:val="24"/>
                <w:highlight w:val="none"/>
              </w:rPr>
              <w:t>2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23B39"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  <w:lang w:eastAsia="zh-CN"/>
              </w:rPr>
              <w:t>服务期限</w:t>
            </w:r>
          </w:p>
        </w:tc>
        <w:tc>
          <w:tcPr>
            <w:tcW w:w="5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9BDEB">
            <w:pPr>
              <w:jc w:val="left"/>
              <w:rPr>
                <w:rFonts w:ascii="宋体" w:hAnsi="宋体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服务期三年，合同采用一年一签模式。每年度服务期满后，采购人在年度预算能保证的前提下，根据中标人服务质量以及实际情况自主决定是否续签下一年度合同。</w:t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93FF9">
            <w:pPr>
              <w:jc w:val="center"/>
              <w:rPr>
                <w:rFonts w:ascii="宋体" w:hAnsi="宋体"/>
                <w:highlight w:val="none"/>
              </w:rPr>
            </w:pPr>
          </w:p>
        </w:tc>
      </w:tr>
      <w:tr w14:paraId="392C9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1C1EE4">
            <w:pPr>
              <w:jc w:val="center"/>
              <w:rPr>
                <w:rFonts w:ascii="宋体" w:hAnsi="宋体" w:cs="宋体"/>
                <w:sz w:val="24"/>
                <w:highlight w:val="none"/>
              </w:rPr>
            </w:pPr>
            <w:r>
              <w:rPr>
                <w:b/>
                <w:bCs/>
                <w:sz w:val="24"/>
                <w:highlight w:val="none"/>
              </w:rPr>
              <w:t>3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54BCFB"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付款方式</w:t>
            </w:r>
          </w:p>
        </w:tc>
        <w:tc>
          <w:tcPr>
            <w:tcW w:w="5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E753E2">
            <w:pPr>
              <w:jc w:val="left"/>
              <w:rPr>
                <w:rFonts w:ascii="宋体" w:hAnsi="宋体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highlight w:val="none"/>
              </w:rPr>
              <w:t>全部论文送审结束且按采购人要求返回后，根据实际送审数量计算总费用，并开具全额正规发票，经采购人确认无误后支付相应费用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lang w:eastAsia="zh-CN"/>
              </w:rPr>
              <w:t>。</w:t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B1D9C">
            <w:pPr>
              <w:jc w:val="center"/>
              <w:rPr>
                <w:rFonts w:ascii="宋体" w:hAnsi="宋体"/>
                <w:highlight w:val="none"/>
              </w:rPr>
            </w:pPr>
          </w:p>
        </w:tc>
      </w:tr>
      <w:tr w14:paraId="1487B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74E0B">
            <w:pPr>
              <w:jc w:val="center"/>
              <w:rPr>
                <w:rFonts w:hint="eastAsia" w:ascii="宋体" w:hAnsi="宋体" w:eastAsia="宋体" w:cs="宋体"/>
                <w:sz w:val="24"/>
                <w:highlight w:val="no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highlight w:val="none"/>
                <w:lang w:val="en-US" w:eastAsia="zh-CN"/>
              </w:rPr>
              <w:t>4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6369E">
            <w:pPr>
              <w:jc w:val="center"/>
              <w:rPr>
                <w:rFonts w:hint="eastAsia" w:ascii="Times New Roman" w:hAnsi="Times New Roman" w:eastAsia="宋体" w:cs="Times New Roman"/>
                <w:sz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highlight w:val="none"/>
              </w:rPr>
              <w:t>培训</w:t>
            </w:r>
          </w:p>
        </w:tc>
        <w:tc>
          <w:tcPr>
            <w:tcW w:w="5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05C97">
            <w:pPr>
              <w:jc w:val="left"/>
              <w:rPr>
                <w:sz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highlight w:val="none"/>
              </w:rPr>
              <w:t>中标人应对用户人员进行技术培训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</w:rPr>
              <w:t>使其能掌握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lang w:eastAsia="zh-CN"/>
              </w:rPr>
              <w:t>平台基本操作、论文送审等流程并提供平台使用手册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</w:rPr>
              <w:t>。</w:t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71A2E">
            <w:pPr>
              <w:jc w:val="center"/>
              <w:rPr>
                <w:rFonts w:ascii="宋体" w:hAnsi="宋体"/>
                <w:highlight w:val="none"/>
              </w:rPr>
            </w:pPr>
          </w:p>
        </w:tc>
      </w:tr>
    </w:tbl>
    <w:p w14:paraId="274189EC">
      <w:pPr>
        <w:pStyle w:val="9"/>
        <w:rPr>
          <w:rFonts w:hint="eastAsia"/>
          <w:color w:val="auto"/>
          <w:highlight w:val="none"/>
        </w:rPr>
        <w:sectPr>
          <w:pgSz w:w="11906" w:h="16838"/>
          <w:pgMar w:top="1440" w:right="1080" w:bottom="1440" w:left="1080" w:header="850" w:footer="822" w:gutter="0"/>
          <w:pgNumType w:fmt="decimal"/>
          <w:cols w:space="720" w:num="1"/>
          <w:docGrid w:linePitch="290" w:charSpace="0"/>
        </w:sectPr>
      </w:pPr>
    </w:p>
    <w:p w14:paraId="597FCC9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EC85BB">
    <w:pPr>
      <w:spacing w:line="200" w:lineRule="exact"/>
      <w:rPr>
        <w:sz w:val="20"/>
        <w:szCs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BD3964">
                          <w:pPr>
                            <w:pStyle w:val="8"/>
                            <w:rPr>
                              <w:rStyle w:val="12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12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12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2BD3964">
                    <w:pPr>
                      <w:pStyle w:val="8"/>
                      <w:rPr>
                        <w:rStyle w:val="12"/>
                      </w:rPr>
                    </w:pPr>
                    <w:r>
                      <w:fldChar w:fldCharType="begin"/>
                    </w:r>
                    <w:r>
                      <w:rPr>
                        <w:rStyle w:val="12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12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7653D9"/>
    <w:rsid w:val="3F7653D9"/>
    <w:rsid w:val="71AF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99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6">
    <w:name w:val="heading 1"/>
    <w:basedOn w:val="1"/>
    <w:next w:val="1"/>
    <w:link w:val="13"/>
    <w:qFormat/>
    <w:uiPriority w:val="0"/>
    <w:pPr>
      <w:keepNext/>
      <w:keepLines/>
      <w:spacing w:before="200" w:after="200" w:line="240" w:lineRule="auto"/>
      <w:jc w:val="center"/>
      <w:outlineLvl w:val="0"/>
    </w:pPr>
    <w:rPr>
      <w:rFonts w:ascii="Times New Roman" w:hAnsi="Times New Roman" w:eastAsia="黑体" w:cs="Times New Roman"/>
      <w:b/>
      <w:bCs/>
      <w:kern w:val="44"/>
      <w:sz w:val="32"/>
      <w:szCs w:val="44"/>
    </w:rPr>
  </w:style>
  <w:style w:type="character" w:default="1" w:styleId="11">
    <w:name w:val="Default Paragraph Font"/>
    <w:autoRedefine/>
    <w:unhideWhenUsed/>
    <w:qFormat/>
    <w:uiPriority w:val="1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semiHidden/>
    <w:uiPriority w:val="99"/>
    <w:pPr>
      <w:spacing w:after="120" w:line="276" w:lineRule="auto"/>
      <w:ind w:left="420" w:leftChars="200" w:firstLine="420" w:firstLineChars="200"/>
      <w:jc w:val="left"/>
    </w:pPr>
    <w:rPr>
      <w:rFonts w:ascii="Calibri" w:hAnsi="Calibri"/>
      <w:sz w:val="22"/>
      <w:szCs w:val="22"/>
      <w:lang w:eastAsia="en-US"/>
    </w:rPr>
  </w:style>
  <w:style w:type="paragraph" w:styleId="3">
    <w:name w:val="Body Text Indent"/>
    <w:basedOn w:val="1"/>
    <w:next w:val="4"/>
    <w:qFormat/>
    <w:uiPriority w:val="0"/>
    <w:pPr>
      <w:spacing w:line="500" w:lineRule="exact"/>
      <w:ind w:left="1588" w:leftChars="832" w:firstLine="433" w:firstLineChars="196"/>
    </w:pPr>
    <w:rPr>
      <w:kern w:val="0"/>
      <w:sz w:val="20"/>
    </w:rPr>
  </w:style>
  <w:style w:type="paragraph" w:styleId="4">
    <w:name w:val="envelope return"/>
    <w:basedOn w:val="1"/>
    <w:semiHidden/>
    <w:qFormat/>
    <w:uiPriority w:val="99"/>
    <w:pPr>
      <w:snapToGrid w:val="0"/>
      <w:spacing w:after="200" w:line="276" w:lineRule="auto"/>
      <w:jc w:val="left"/>
    </w:pPr>
    <w:rPr>
      <w:rFonts w:ascii="Arial" w:hAnsi="Arial" w:cs="Arial"/>
      <w:kern w:val="0"/>
      <w:sz w:val="22"/>
      <w:szCs w:val="22"/>
      <w:lang w:eastAsia="en-US"/>
    </w:rPr>
  </w:style>
  <w:style w:type="paragraph" w:styleId="5">
    <w:name w:val="toc 2"/>
    <w:basedOn w:val="1"/>
    <w:next w:val="1"/>
    <w:qFormat/>
    <w:uiPriority w:val="39"/>
    <w:pPr>
      <w:ind w:left="210"/>
      <w:jc w:val="left"/>
    </w:pPr>
    <w:rPr>
      <w:rFonts w:ascii="等线" w:eastAsia="等线"/>
      <w:smallCaps/>
      <w:sz w:val="20"/>
      <w:szCs w:val="20"/>
    </w:rPr>
  </w:style>
  <w:style w:type="paragraph" w:styleId="7">
    <w:name w:val="Body Text"/>
    <w:basedOn w:val="1"/>
    <w:qFormat/>
    <w:uiPriority w:val="99"/>
    <w:pPr>
      <w:spacing w:after="120"/>
    </w:pPr>
    <w:rPr>
      <w:kern w:val="0"/>
      <w:sz w:val="20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toc 1"/>
    <w:basedOn w:val="1"/>
    <w:next w:val="1"/>
    <w:qFormat/>
    <w:uiPriority w:val="39"/>
    <w:pPr>
      <w:spacing w:before="120" w:after="120"/>
      <w:jc w:val="left"/>
    </w:pPr>
    <w:rPr>
      <w:rFonts w:ascii="等线" w:eastAsia="等线"/>
      <w:b/>
      <w:bCs/>
      <w:caps/>
      <w:sz w:val="20"/>
      <w:szCs w:val="20"/>
    </w:rPr>
  </w:style>
  <w:style w:type="character" w:styleId="12">
    <w:name w:val="page number"/>
    <w:basedOn w:val="11"/>
    <w:qFormat/>
    <w:uiPriority w:val="99"/>
    <w:rPr>
      <w:rFonts w:cs="Times New Roman"/>
    </w:rPr>
  </w:style>
  <w:style w:type="character" w:customStyle="1" w:styleId="13">
    <w:name w:val="标题 1 Char"/>
    <w:basedOn w:val="11"/>
    <w:link w:val="6"/>
    <w:autoRedefine/>
    <w:qFormat/>
    <w:uiPriority w:val="0"/>
    <w:rPr>
      <w:rFonts w:ascii="Times New Roman" w:hAnsi="Times New Roman" w:eastAsia="黑体" w:cs="Times New Roman"/>
      <w:b/>
      <w:bCs/>
      <w:kern w:val="44"/>
      <w:sz w:val="32"/>
      <w:szCs w:val="44"/>
    </w:rPr>
  </w:style>
  <w:style w:type="paragraph" w:customStyle="1" w:styleId="14">
    <w:name w:val="列表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2025-11-21T01:39:00Z</dcterms:created>
  <dc:creator>123</dc:creator>
  <cp:lastModifiedBy>123</cp:lastModifiedBy>
  <dcterms:modified xsi:type="dcterms:W3CDTF">2025-11-21T01:39:38Z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63EA38D5CC8B4589ACF6FCAB82200B1C_11</vt:lpwstr>
  </property>
  <property fmtid="{D5CDD505-2E9C-101B-9397-08002B2CF9AE}" pid="4" name="KSOTemplateDocerSaveRecord">
    <vt:lpwstr>eyJoZGlkIjoiZTQwNDJjODU2ZWYwYTUwOGZlZDAxNTc0OGEzMzc1YTAiLCJ1c2VySWQiOiIzNzI4MDY5MTcifQ==</vt:lpwstr>
  </property>
</Properties>
</file>