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rPr>
          <w:rFonts w:hint="eastAsia"/>
        </w:rPr>
      </w:pPr>
      <w:r>
        <w:rPr>
          <w:rFonts w:hint="eastAsia"/>
        </w:rPr>
        <w:t>采购内容及项目要求</w:t>
      </w:r>
    </w:p>
    <w:p>
      <w:pPr>
        <w:spacing w:line="560" w:lineRule="exact"/>
        <w:ind w:firstLine="118" w:firstLineChars="49"/>
        <w:rPr>
          <w:rFonts w:ascii="宋体" w:hAnsi="宋体"/>
          <w:b/>
          <w:bCs/>
          <w:sz w:val="24"/>
        </w:rPr>
      </w:pPr>
      <w:r>
        <w:rPr>
          <w:rFonts w:hint="eastAsia" w:ascii="宋体" w:hAnsi="宋体"/>
          <w:b/>
          <w:bCs/>
          <w:sz w:val="24"/>
        </w:rPr>
        <w:t>一、项目概况</w:t>
      </w:r>
    </w:p>
    <w:p>
      <w:pPr>
        <w:widowControl/>
        <w:spacing w:line="460" w:lineRule="exact"/>
        <w:ind w:firstLine="480" w:firstLineChars="200"/>
        <w:jc w:val="left"/>
        <w:rPr>
          <w:rFonts w:hint="eastAsia" w:ascii="宋体" w:hAnsi="宋体"/>
          <w:sz w:val="24"/>
        </w:rPr>
      </w:pPr>
      <w:r>
        <w:rPr>
          <w:rFonts w:hint="eastAsia" w:ascii="宋体" w:hAnsi="宋体"/>
          <w:sz w:val="24"/>
        </w:rPr>
        <w:t>山东大学饮食管理服务中心</w:t>
      </w:r>
      <w:r>
        <w:rPr>
          <w:rFonts w:hint="eastAsia" w:ascii="宋体" w:hAnsi="宋体"/>
          <w:sz w:val="24"/>
          <w:lang w:eastAsia="zh-CN"/>
        </w:rPr>
        <w:t>为保证</w:t>
      </w:r>
      <w:r>
        <w:rPr>
          <w:rFonts w:hint="eastAsia" w:ascii="宋体" w:hAnsi="宋体"/>
          <w:sz w:val="24"/>
        </w:rPr>
        <w:t>2023-2024学年度全校师生医务员工的鲜禽蛋供应保障，饮食管理服务中心拟补充遴选鲜禽蛋供应商。数量：1宗。具体内容详见电子招标文件。</w:t>
      </w:r>
    </w:p>
    <w:p>
      <w:pPr>
        <w:widowControl/>
        <w:spacing w:line="460" w:lineRule="exact"/>
        <w:ind w:firstLine="480" w:firstLineChars="200"/>
        <w:jc w:val="left"/>
        <w:rPr>
          <w:rFonts w:hint="eastAsia" w:ascii="宋体" w:hAnsi="宋体"/>
          <w:sz w:val="24"/>
        </w:rPr>
      </w:pPr>
      <w:r>
        <w:rPr>
          <w:rFonts w:hint="eastAsia" w:ascii="宋体" w:hAnsi="宋体" w:cs="宋体"/>
          <w:kern w:val="0"/>
          <w:sz w:val="24"/>
        </w:rPr>
        <w:t>本项目不分包，</w:t>
      </w:r>
      <w:r>
        <w:rPr>
          <w:rFonts w:hint="eastAsia" w:ascii="宋体" w:hAnsi="宋体"/>
          <w:sz w:val="24"/>
        </w:rPr>
        <w:t>预算金额为人民币</w:t>
      </w:r>
      <w:r>
        <w:rPr>
          <w:rFonts w:hint="eastAsia" w:ascii="宋体" w:hAnsi="宋体"/>
          <w:sz w:val="24"/>
          <w:lang w:val="en-US" w:eastAsia="zh-CN"/>
        </w:rPr>
        <w:t>7</w:t>
      </w:r>
      <w:r>
        <w:rPr>
          <w:rFonts w:hint="eastAsia" w:ascii="宋体" w:hAnsi="宋体"/>
          <w:sz w:val="24"/>
        </w:rPr>
        <w:t>00万元。</w:t>
      </w:r>
    </w:p>
    <w:tbl>
      <w:tblPr>
        <w:tblStyle w:val="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3444"/>
        <w:gridCol w:w="2167"/>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590" w:type="dxa"/>
            <w:noWrap w:val="0"/>
            <w:vAlign w:val="center"/>
          </w:tcPr>
          <w:p>
            <w:pPr>
              <w:jc w:val="center"/>
              <w:rPr>
                <w:rFonts w:hint="eastAsia" w:ascii="宋体" w:hAnsi="宋体" w:eastAsia="宋体" w:cs="宋体"/>
                <w:bCs/>
                <w:sz w:val="24"/>
              </w:rPr>
            </w:pPr>
            <w:r>
              <w:rPr>
                <w:rFonts w:hint="eastAsia" w:ascii="宋体" w:hAnsi="宋体" w:eastAsia="宋体" w:cs="宋体"/>
                <w:bCs/>
                <w:sz w:val="24"/>
              </w:rPr>
              <w:t>分包</w:t>
            </w:r>
          </w:p>
        </w:tc>
        <w:tc>
          <w:tcPr>
            <w:tcW w:w="3809" w:type="dxa"/>
            <w:noWrap w:val="0"/>
            <w:vAlign w:val="center"/>
          </w:tcPr>
          <w:p>
            <w:pPr>
              <w:jc w:val="center"/>
              <w:rPr>
                <w:rFonts w:hint="eastAsia" w:ascii="宋体" w:hAnsi="宋体" w:eastAsia="宋体" w:cs="宋体"/>
                <w:bCs/>
                <w:sz w:val="24"/>
              </w:rPr>
            </w:pPr>
            <w:r>
              <w:rPr>
                <w:rFonts w:hint="eastAsia" w:ascii="宋体" w:hAnsi="宋体" w:eastAsia="宋体" w:cs="宋体"/>
                <w:bCs/>
                <w:sz w:val="24"/>
              </w:rPr>
              <w:t>类别明细</w:t>
            </w:r>
          </w:p>
        </w:tc>
        <w:tc>
          <w:tcPr>
            <w:tcW w:w="2317" w:type="dxa"/>
            <w:noWrap w:val="0"/>
            <w:vAlign w:val="center"/>
          </w:tcPr>
          <w:p>
            <w:pPr>
              <w:ind w:left="660" w:hanging="660" w:hangingChars="275"/>
              <w:jc w:val="center"/>
              <w:rPr>
                <w:rFonts w:hint="eastAsia" w:ascii="宋体" w:hAnsi="宋体" w:eastAsia="宋体" w:cs="宋体"/>
                <w:bCs/>
                <w:sz w:val="24"/>
              </w:rPr>
            </w:pPr>
            <w:r>
              <w:rPr>
                <w:rFonts w:hint="eastAsia" w:ascii="宋体" w:hAnsi="宋体" w:eastAsia="宋体" w:cs="宋体"/>
                <w:bCs/>
                <w:sz w:val="24"/>
              </w:rPr>
              <w:t>供应商数量</w:t>
            </w:r>
          </w:p>
        </w:tc>
        <w:tc>
          <w:tcPr>
            <w:tcW w:w="1565" w:type="dxa"/>
            <w:noWrap w:val="0"/>
            <w:vAlign w:val="center"/>
          </w:tcPr>
          <w:p>
            <w:pPr>
              <w:jc w:val="center"/>
              <w:rPr>
                <w:rFonts w:hint="eastAsia" w:ascii="宋体" w:hAnsi="宋体" w:eastAsia="宋体" w:cs="宋体"/>
                <w:bCs/>
                <w:sz w:val="24"/>
              </w:rPr>
            </w:pPr>
            <w:r>
              <w:rPr>
                <w:rFonts w:hint="eastAsia" w:ascii="宋体" w:hAnsi="宋体" w:eastAsia="宋体" w:cs="宋体"/>
                <w:bCs/>
                <w:sz w:val="24"/>
              </w:rPr>
              <w:t>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590" w:type="dxa"/>
            <w:noWrap w:val="0"/>
            <w:vAlign w:val="center"/>
          </w:tcPr>
          <w:p>
            <w:pPr>
              <w:jc w:val="center"/>
              <w:rPr>
                <w:rFonts w:hint="eastAsia" w:ascii="宋体" w:hAnsi="宋体" w:eastAsia="宋体" w:cs="宋体"/>
                <w:bCs/>
                <w:sz w:val="24"/>
              </w:rPr>
            </w:pPr>
            <w:r>
              <w:rPr>
                <w:rFonts w:hint="eastAsia" w:ascii="宋体" w:hAnsi="宋体" w:eastAsia="宋体" w:cs="宋体"/>
                <w:bCs/>
                <w:sz w:val="24"/>
              </w:rPr>
              <w:t>鲜禽蛋</w:t>
            </w:r>
          </w:p>
        </w:tc>
        <w:tc>
          <w:tcPr>
            <w:tcW w:w="3809" w:type="dxa"/>
            <w:noWrap w:val="0"/>
            <w:vAlign w:val="center"/>
          </w:tcPr>
          <w:p>
            <w:pPr>
              <w:jc w:val="center"/>
              <w:rPr>
                <w:rFonts w:hint="eastAsia" w:ascii="宋体" w:hAnsi="宋体" w:eastAsia="宋体" w:cs="宋体"/>
                <w:bCs/>
                <w:sz w:val="24"/>
              </w:rPr>
            </w:pPr>
            <w:r>
              <w:rPr>
                <w:rFonts w:hint="eastAsia" w:ascii="宋体" w:hAnsi="宋体" w:eastAsia="宋体" w:cs="宋体"/>
                <w:bCs/>
                <w:sz w:val="24"/>
              </w:rPr>
              <w:t>鸡蛋、鹌鹑蛋、鸭蛋、鹅蛋等</w:t>
            </w:r>
          </w:p>
        </w:tc>
        <w:tc>
          <w:tcPr>
            <w:tcW w:w="2317" w:type="dxa"/>
            <w:noWrap w:val="0"/>
            <w:vAlign w:val="center"/>
          </w:tcPr>
          <w:p>
            <w:pPr>
              <w:ind w:left="660" w:hanging="660" w:hangingChars="275"/>
              <w:jc w:val="center"/>
              <w:rPr>
                <w:rFonts w:hint="eastAsia" w:ascii="宋体" w:hAnsi="宋体" w:eastAsia="宋体" w:cs="宋体"/>
                <w:bCs/>
                <w:sz w:val="24"/>
              </w:rPr>
            </w:pPr>
            <w:r>
              <w:rPr>
                <w:rFonts w:hint="eastAsia" w:ascii="宋体" w:hAnsi="宋体" w:eastAsia="宋体" w:cs="宋体"/>
                <w:bCs/>
                <w:sz w:val="24"/>
              </w:rPr>
              <w:t>2</w:t>
            </w:r>
          </w:p>
        </w:tc>
        <w:tc>
          <w:tcPr>
            <w:tcW w:w="1565" w:type="dxa"/>
            <w:noWrap w:val="0"/>
            <w:vAlign w:val="center"/>
          </w:tcPr>
          <w:p>
            <w:pPr>
              <w:jc w:val="center"/>
              <w:rPr>
                <w:rFonts w:hint="eastAsia" w:ascii="宋体" w:hAnsi="宋体" w:eastAsia="宋体" w:cs="宋体"/>
                <w:bCs/>
                <w:sz w:val="24"/>
              </w:rPr>
            </w:pPr>
            <w:r>
              <w:rPr>
                <w:rFonts w:hint="eastAsia" w:ascii="宋体" w:hAnsi="宋体" w:eastAsia="宋体" w:cs="宋体"/>
                <w:bCs/>
                <w:sz w:val="24"/>
                <w:lang w:val="en-US" w:eastAsia="zh-CN"/>
              </w:rPr>
              <w:t>7</w:t>
            </w:r>
            <w:r>
              <w:rPr>
                <w:rFonts w:hint="eastAsia" w:ascii="宋体" w:hAnsi="宋体" w:eastAsia="宋体" w:cs="宋体"/>
                <w:bCs/>
                <w:sz w:val="24"/>
              </w:rPr>
              <w:t>00万元</w:t>
            </w:r>
          </w:p>
        </w:tc>
      </w:tr>
    </w:tbl>
    <w:p>
      <w:pPr>
        <w:widowControl/>
        <w:spacing w:line="460" w:lineRule="exact"/>
        <w:jc w:val="left"/>
        <w:rPr>
          <w:rFonts w:hint="eastAsia" w:ascii="宋体" w:hAnsi="宋体" w:cs="宋体"/>
          <w:kern w:val="0"/>
          <w:sz w:val="24"/>
        </w:rPr>
      </w:pPr>
      <w:r>
        <w:rPr>
          <w:rFonts w:hint="eastAsia" w:ascii="宋体" w:hAnsi="宋体"/>
          <w:b/>
          <w:bCs/>
          <w:sz w:val="24"/>
        </w:rPr>
        <w:t>二、技术条款及商务条款响应要求</w:t>
      </w:r>
    </w:p>
    <w:p>
      <w:pPr>
        <w:spacing w:line="360" w:lineRule="auto"/>
        <w:jc w:val="left"/>
        <w:rPr>
          <w:rFonts w:hint="eastAsia" w:ascii="宋体" w:hAnsi="宋体"/>
          <w:sz w:val="24"/>
        </w:rPr>
      </w:pPr>
      <w:bookmarkStart w:id="0" w:name="_Toc464744381"/>
      <w:bookmarkStart w:id="1" w:name="_Toc464566055"/>
      <w:bookmarkStart w:id="2" w:name="_Toc464565991"/>
      <w:bookmarkStart w:id="3" w:name="_Toc464566023"/>
      <w:bookmarkStart w:id="4" w:name="_Toc465342055"/>
      <w:r>
        <w:rPr>
          <w:rFonts w:hint="eastAsia" w:ascii="宋体" w:hAnsi="宋体"/>
          <w:sz w:val="24"/>
        </w:rPr>
        <w:t>（一）</w:t>
      </w:r>
      <w:bookmarkEnd w:id="0"/>
      <w:bookmarkEnd w:id="1"/>
      <w:bookmarkEnd w:id="2"/>
      <w:bookmarkEnd w:id="3"/>
      <w:bookmarkEnd w:id="4"/>
      <w:r>
        <w:rPr>
          <w:rFonts w:hint="eastAsia" w:ascii="宋体" w:hAnsi="宋体"/>
          <w:sz w:val="24"/>
        </w:rPr>
        <w:t>技术要求</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noWrap w:val="0"/>
            <w:vAlign w:val="center"/>
          </w:tcPr>
          <w:p>
            <w:pPr>
              <w:spacing w:after="200" w:line="276" w:lineRule="auto"/>
              <w:jc w:val="center"/>
              <w:rPr>
                <w:rFonts w:hint="eastAsia" w:ascii="宋体" w:hAnsi="宋体" w:eastAsia="宋体" w:cs="宋体"/>
                <w:b/>
                <w:bCs/>
                <w:sz w:val="32"/>
                <w:szCs w:val="32"/>
              </w:rPr>
            </w:pPr>
            <w:bookmarkStart w:id="5" w:name="_Hlk74663131"/>
            <w:r>
              <w:rPr>
                <w:rFonts w:hint="eastAsia" w:ascii="宋体" w:hAnsi="宋体" w:eastAsia="宋体" w:cs="宋体"/>
                <w:b/>
                <w:bCs/>
                <w:sz w:val="32"/>
                <w:szCs w:val="32"/>
              </w:rPr>
              <w:t>法规及相关技术标准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000" w:type="pct"/>
            <w:noWrap w:val="0"/>
            <w:vAlign w:val="center"/>
          </w:tcPr>
          <w:p>
            <w:pPr>
              <w:widowControl/>
              <w:spacing w:after="200" w:line="276" w:lineRule="auto"/>
              <w:jc w:val="center"/>
              <w:rPr>
                <w:rFonts w:hint="eastAsia" w:ascii="宋体" w:hAnsi="宋体" w:eastAsia="宋体" w:cs="宋体"/>
                <w:bCs/>
                <w:sz w:val="28"/>
                <w:szCs w:val="22"/>
              </w:rPr>
            </w:pPr>
            <w:r>
              <w:rPr>
                <w:rFonts w:hint="eastAsia" w:ascii="宋体" w:hAnsi="宋体" w:eastAsia="宋体" w:cs="宋体"/>
                <w:bCs/>
                <w:sz w:val="28"/>
                <w:szCs w:val="22"/>
              </w:rPr>
              <w:t>鲜禽蛋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000" w:type="pct"/>
            <w:noWrap w:val="0"/>
            <w:vAlign w:val="center"/>
          </w:tcPr>
          <w:p>
            <w:pPr>
              <w:spacing w:after="200" w:line="276" w:lineRule="auto"/>
              <w:rPr>
                <w:rFonts w:hint="eastAsia" w:ascii="宋体" w:hAnsi="宋体" w:eastAsia="宋体" w:cs="宋体"/>
                <w:bCs/>
                <w:sz w:val="24"/>
              </w:rPr>
            </w:pPr>
            <w:r>
              <w:rPr>
                <w:rFonts w:hint="eastAsia" w:ascii="宋体" w:hAnsi="宋体" w:eastAsia="宋体" w:cs="宋体"/>
                <w:bCs/>
                <w:sz w:val="24"/>
              </w:rPr>
              <w:t>下列文件其最新版本适用于本要求。</w:t>
            </w:r>
          </w:p>
          <w:p>
            <w:pPr>
              <w:spacing w:after="200" w:line="276" w:lineRule="auto"/>
              <w:rPr>
                <w:rFonts w:hint="eastAsia" w:ascii="宋体" w:hAnsi="宋体" w:eastAsia="宋体" w:cs="宋体"/>
                <w:bCs/>
                <w:sz w:val="24"/>
              </w:rPr>
            </w:pPr>
            <w:r>
              <w:rPr>
                <w:rFonts w:hint="eastAsia" w:ascii="宋体" w:hAnsi="宋体" w:eastAsia="宋体" w:cs="宋体"/>
                <w:bCs/>
                <w:sz w:val="24"/>
              </w:rPr>
              <w:t>GB 2760  食品安全国家标准 食品添加剂使用标准</w:t>
            </w:r>
          </w:p>
          <w:p>
            <w:pPr>
              <w:spacing w:after="200" w:line="276" w:lineRule="auto"/>
              <w:rPr>
                <w:rFonts w:hint="eastAsia" w:ascii="宋体" w:hAnsi="宋体" w:eastAsia="宋体" w:cs="宋体"/>
                <w:bCs/>
                <w:sz w:val="24"/>
              </w:rPr>
            </w:pPr>
            <w:r>
              <w:rPr>
                <w:rFonts w:hint="eastAsia" w:ascii="宋体" w:hAnsi="宋体" w:eastAsia="宋体" w:cs="宋体"/>
                <w:bCs/>
                <w:sz w:val="24"/>
              </w:rPr>
              <w:t>GB2749食品安全国家标准 蛋与蛋制品</w:t>
            </w:r>
          </w:p>
          <w:p>
            <w:pPr>
              <w:spacing w:after="200" w:line="276" w:lineRule="auto"/>
              <w:rPr>
                <w:rFonts w:hint="eastAsia" w:ascii="宋体" w:hAnsi="宋体" w:eastAsia="宋体" w:cs="宋体"/>
                <w:bCs/>
                <w:sz w:val="24"/>
              </w:rPr>
            </w:pPr>
            <w:r>
              <w:rPr>
                <w:rFonts w:hint="eastAsia" w:ascii="宋体" w:hAnsi="宋体" w:eastAsia="宋体" w:cs="宋体"/>
                <w:bCs/>
                <w:sz w:val="24"/>
              </w:rPr>
              <w:t>GB2762 GB 2762  食品安全国家标准 食品中污染物限量</w:t>
            </w:r>
          </w:p>
          <w:p>
            <w:pPr>
              <w:spacing w:after="200" w:line="276" w:lineRule="auto"/>
              <w:rPr>
                <w:rFonts w:hint="eastAsia" w:ascii="宋体" w:hAnsi="宋体" w:eastAsia="宋体" w:cs="宋体"/>
                <w:bCs/>
                <w:sz w:val="24"/>
              </w:rPr>
            </w:pPr>
            <w:r>
              <w:rPr>
                <w:rFonts w:hint="eastAsia" w:ascii="宋体" w:hAnsi="宋体" w:eastAsia="宋体" w:cs="宋体"/>
                <w:bCs/>
                <w:sz w:val="24"/>
              </w:rPr>
              <w:t>GB 2763  食品安全国家标准 食品中农药最大残留限量</w:t>
            </w:r>
          </w:p>
          <w:p>
            <w:pPr>
              <w:spacing w:after="200" w:line="276" w:lineRule="auto"/>
              <w:rPr>
                <w:rFonts w:hint="eastAsia" w:ascii="宋体" w:hAnsi="宋体" w:eastAsia="宋体" w:cs="宋体"/>
                <w:bCs/>
                <w:sz w:val="24"/>
              </w:rPr>
            </w:pPr>
            <w:r>
              <w:rPr>
                <w:rFonts w:hint="eastAsia" w:ascii="宋体" w:hAnsi="宋体" w:eastAsia="宋体" w:cs="宋体"/>
                <w:bCs/>
                <w:sz w:val="24"/>
              </w:rPr>
              <w:t>GB31650 食品安全国家标准 食品中兽药最大残留限量</w:t>
            </w:r>
          </w:p>
          <w:p>
            <w:pPr>
              <w:spacing w:after="200" w:line="276" w:lineRule="auto"/>
              <w:rPr>
                <w:rFonts w:hint="eastAsia" w:ascii="宋体" w:hAnsi="宋体" w:eastAsia="宋体" w:cs="宋体"/>
                <w:bCs/>
                <w:sz w:val="24"/>
              </w:rPr>
            </w:pPr>
            <w:r>
              <w:rPr>
                <w:rFonts w:hint="eastAsia" w:ascii="宋体" w:hAnsi="宋体" w:eastAsia="宋体" w:cs="宋体"/>
                <w:bCs/>
                <w:sz w:val="24"/>
              </w:rPr>
              <w:t>GB31650.1 食品安全国家标准 食品中41种兽药最大残留限量</w:t>
            </w:r>
          </w:p>
          <w:p>
            <w:pPr>
              <w:spacing w:after="200" w:line="276" w:lineRule="auto"/>
              <w:rPr>
                <w:rFonts w:hint="eastAsia" w:ascii="宋体" w:hAnsi="宋体" w:eastAsia="宋体" w:cs="宋体"/>
                <w:bCs/>
                <w:sz w:val="24"/>
              </w:rPr>
            </w:pPr>
            <w:r>
              <w:rPr>
                <w:rFonts w:hint="eastAsia" w:ascii="宋体" w:hAnsi="宋体" w:eastAsia="宋体" w:cs="宋体"/>
                <w:bCs/>
                <w:sz w:val="24"/>
              </w:rPr>
              <w:t>GB/T 21311  动物源性食品中硝基呋喃类药物代谢物残留量检测方法 高效液相色谱/串 联质谱法</w:t>
            </w:r>
          </w:p>
          <w:p>
            <w:pPr>
              <w:spacing w:after="200" w:line="276" w:lineRule="auto"/>
              <w:rPr>
                <w:rFonts w:hint="eastAsia" w:ascii="宋体" w:hAnsi="宋体" w:eastAsia="宋体" w:cs="宋体"/>
                <w:bCs/>
                <w:sz w:val="24"/>
              </w:rPr>
            </w:pPr>
            <w:r>
              <w:rPr>
                <w:rFonts w:hint="eastAsia" w:ascii="宋体" w:hAnsi="宋体" w:eastAsia="宋体" w:cs="宋体"/>
                <w:bCs/>
                <w:sz w:val="24"/>
              </w:rPr>
              <w:t>GB/T 21312  动物源性食品中 14 种喹诺酮药物残留检测方法 液相色谱-质谱/质谱法</w:t>
            </w:r>
          </w:p>
          <w:p>
            <w:pPr>
              <w:spacing w:after="200" w:line="276" w:lineRule="auto"/>
              <w:rPr>
                <w:rFonts w:hint="eastAsia" w:ascii="宋体" w:hAnsi="宋体" w:eastAsia="宋体" w:cs="宋体"/>
                <w:bCs/>
                <w:sz w:val="24"/>
              </w:rPr>
            </w:pPr>
            <w:r>
              <w:rPr>
                <w:rFonts w:hint="eastAsia" w:ascii="宋体" w:hAnsi="宋体" w:eastAsia="宋体" w:cs="宋体"/>
                <w:bCs/>
                <w:sz w:val="24"/>
              </w:rPr>
              <w:t>GB  23200.115  食品安全国家标准 鸡蛋中氟虫腈及其代谢物残留量的测定 液相色谱- 质谱联用法</w:t>
            </w:r>
          </w:p>
          <w:p>
            <w:pPr>
              <w:spacing w:after="200" w:line="276" w:lineRule="auto"/>
              <w:rPr>
                <w:rFonts w:hint="eastAsia" w:ascii="宋体" w:hAnsi="宋体" w:eastAsia="宋体" w:cs="宋体"/>
                <w:bCs/>
                <w:sz w:val="24"/>
              </w:rPr>
            </w:pPr>
            <w:r>
              <w:rPr>
                <w:rFonts w:hint="eastAsia" w:ascii="宋体" w:hAnsi="宋体" w:eastAsia="宋体" w:cs="宋体"/>
                <w:bCs/>
                <w:sz w:val="24"/>
              </w:rPr>
              <w:t>GB 31650  食品安全国家标准 食品中兽药最大残留限量</w:t>
            </w:r>
          </w:p>
          <w:p>
            <w:pPr>
              <w:spacing w:after="200" w:line="276" w:lineRule="auto"/>
              <w:rPr>
                <w:rFonts w:hint="eastAsia" w:ascii="宋体" w:hAnsi="宋体" w:eastAsia="宋体" w:cs="宋体"/>
                <w:bCs/>
                <w:sz w:val="24"/>
              </w:rPr>
            </w:pPr>
            <w:r>
              <w:rPr>
                <w:rFonts w:hint="eastAsia" w:ascii="宋体" w:hAnsi="宋体" w:eastAsia="宋体" w:cs="宋体"/>
                <w:bCs/>
                <w:sz w:val="24"/>
              </w:rPr>
              <w:t>GB 31650.1  食品安全国家标准 食品中 41 种兽药最大残留限量</w:t>
            </w:r>
          </w:p>
          <w:p>
            <w:pPr>
              <w:spacing w:after="200" w:line="276" w:lineRule="auto"/>
              <w:rPr>
                <w:rFonts w:hint="eastAsia" w:ascii="宋体" w:hAnsi="宋体" w:eastAsia="宋体" w:cs="宋体"/>
                <w:bCs/>
                <w:sz w:val="24"/>
              </w:rPr>
            </w:pPr>
            <w:r>
              <w:rPr>
                <w:rFonts w:hint="eastAsia" w:ascii="宋体" w:hAnsi="宋体" w:eastAsia="宋体" w:cs="宋体"/>
                <w:bCs/>
                <w:sz w:val="24"/>
              </w:rPr>
              <w:t>GB 31658.20  食品安全国家标准 动物性食品中酰胺醇类药物及其代谢物残留量的测定 液相色谱- 串联质谱法</w:t>
            </w:r>
          </w:p>
          <w:p>
            <w:pPr>
              <w:spacing w:after="200" w:line="276" w:lineRule="auto"/>
              <w:rPr>
                <w:rFonts w:hint="eastAsia" w:ascii="宋体" w:hAnsi="宋体" w:eastAsia="宋体" w:cs="宋体"/>
                <w:bCs/>
                <w:sz w:val="24"/>
              </w:rPr>
            </w:pPr>
            <w:r>
              <w:rPr>
                <w:rFonts w:hint="eastAsia" w:ascii="宋体" w:hAnsi="宋体" w:eastAsia="宋体" w:cs="宋体"/>
                <w:bCs/>
                <w:sz w:val="24"/>
              </w:rPr>
              <w:t>GB  31659.2  食品安全国家标准 禽蛋、奶和奶粉中多西环素残留量的测定 液相色谱- 串联质谱法</w:t>
            </w:r>
          </w:p>
          <w:p>
            <w:pPr>
              <w:spacing w:after="200" w:line="276" w:lineRule="auto"/>
              <w:rPr>
                <w:rFonts w:hint="eastAsia" w:ascii="宋体" w:hAnsi="宋体" w:eastAsia="宋体" w:cs="宋体"/>
                <w:bCs/>
                <w:sz w:val="24"/>
              </w:rPr>
            </w:pPr>
            <w:r>
              <w:rPr>
                <w:rFonts w:hint="eastAsia" w:ascii="宋体" w:hAnsi="宋体" w:eastAsia="宋体" w:cs="宋体"/>
                <w:bCs/>
                <w:sz w:val="24"/>
              </w:rPr>
              <w:t>SN/T 2538  进出口动物源性食品中二甲氧苄氨嘧啶、三甲氧苄氨嘧啶和二甲氧甲基苄氨 嘧啶残留量的检测方法 液相色谱-质谱/质谱法</w:t>
            </w:r>
          </w:p>
          <w:p>
            <w:pPr>
              <w:spacing w:after="200" w:line="276" w:lineRule="auto"/>
              <w:rPr>
                <w:rFonts w:hint="eastAsia" w:ascii="宋体" w:hAnsi="宋体" w:eastAsia="宋体" w:cs="宋体"/>
                <w:bCs/>
                <w:sz w:val="24"/>
              </w:rPr>
            </w:pPr>
            <w:r>
              <w:rPr>
                <w:rFonts w:hint="eastAsia" w:ascii="宋体" w:hAnsi="宋体" w:eastAsia="宋体" w:cs="宋体"/>
                <w:bCs/>
                <w:sz w:val="24"/>
              </w:rPr>
              <w:t>SN/T 2624  动物源性食品中多种碱性药物残留量的检测方法 液相色谱-质谱/质谱法 农业农村部公告第 250 号 食品动物中禁止使用的药品及其他化合物清单</w:t>
            </w:r>
          </w:p>
          <w:p>
            <w:pPr>
              <w:spacing w:after="200" w:line="276" w:lineRule="auto"/>
              <w:rPr>
                <w:rFonts w:hint="eastAsia" w:ascii="宋体" w:hAnsi="宋体" w:eastAsia="宋体" w:cs="宋体"/>
                <w:bCs/>
                <w:sz w:val="24"/>
              </w:rPr>
            </w:pPr>
            <w:r>
              <w:rPr>
                <w:rFonts w:hint="eastAsia" w:ascii="宋体" w:hAnsi="宋体" w:eastAsia="宋体" w:cs="宋体"/>
                <w:bCs/>
                <w:sz w:val="24"/>
              </w:rPr>
              <w:t>农业部 1025 号公告-23-2008  动物源食品中磺胺类药物残留检测 液相色谱- 串联质谱法 产品明示标准和质量要求</w:t>
            </w:r>
          </w:p>
          <w:p>
            <w:pPr>
              <w:spacing w:after="200" w:line="276" w:lineRule="auto"/>
              <w:rPr>
                <w:rFonts w:hint="eastAsia" w:ascii="宋体" w:hAnsi="宋体" w:eastAsia="宋体" w:cs="宋体"/>
                <w:bCs/>
                <w:sz w:val="24"/>
              </w:rPr>
            </w:pPr>
            <w:r>
              <w:rPr>
                <w:rFonts w:hint="eastAsia" w:ascii="宋体" w:hAnsi="宋体" w:eastAsia="宋体" w:cs="宋体"/>
                <w:bCs/>
                <w:sz w:val="24"/>
              </w:rPr>
              <w:t>相关的法律法规、部门规章和规定</w:t>
            </w:r>
          </w:p>
        </w:tc>
      </w:tr>
      <w:bookmarkEnd w:id="5"/>
    </w:tbl>
    <w:p>
      <w:pPr>
        <w:widowControl/>
        <w:numPr>
          <w:ilvl w:val="0"/>
          <w:numId w:val="1"/>
        </w:numPr>
        <w:spacing w:line="440" w:lineRule="exact"/>
        <w:jc w:val="left"/>
        <w:rPr>
          <w:rFonts w:hint="eastAsia" w:ascii="宋体" w:hAnsi="宋体"/>
          <w:sz w:val="24"/>
        </w:rPr>
      </w:pPr>
      <w:r>
        <w:rPr>
          <w:rFonts w:hint="eastAsia" w:ascii="宋体" w:hAnsi="宋体"/>
          <w:sz w:val="24"/>
        </w:rPr>
        <w:t>商务要求</w:t>
      </w:r>
    </w:p>
    <w:p>
      <w:pPr>
        <w:spacing w:line="580" w:lineRule="exact"/>
        <w:jc w:val="left"/>
        <w:rPr>
          <w:rFonts w:hint="eastAsia" w:ascii="宋体" w:hAnsi="宋体" w:cs="宋体"/>
          <w:b/>
          <w:sz w:val="24"/>
        </w:rPr>
      </w:pPr>
      <w:r>
        <w:rPr>
          <w:rFonts w:hint="eastAsia" w:ascii="宋体" w:hAnsi="宋体" w:cs="宋体"/>
          <w:b/>
          <w:sz w:val="24"/>
        </w:rPr>
        <w:t>1.报价要求</w:t>
      </w:r>
    </w:p>
    <w:p>
      <w:pPr>
        <w:spacing w:line="580" w:lineRule="exact"/>
        <w:jc w:val="left"/>
        <w:rPr>
          <w:rFonts w:hint="eastAsia" w:ascii="宋体" w:hAnsi="宋体" w:cs="宋体"/>
          <w:sz w:val="24"/>
        </w:rPr>
      </w:pPr>
      <w:r>
        <w:rPr>
          <w:rFonts w:hint="eastAsia" w:ascii="宋体" w:hAnsi="宋体" w:cs="宋体"/>
          <w:sz w:val="24"/>
        </w:rPr>
        <w:t>1.1</w:t>
      </w:r>
      <w:r>
        <w:rPr>
          <w:rFonts w:hint="eastAsia" w:ascii="宋体" w:hAnsi="宋体" w:cs="宋体"/>
          <w:sz w:val="24"/>
          <w:lang w:eastAsia="zh-CN"/>
        </w:rPr>
        <w:t>供应商</w:t>
      </w:r>
      <w:r>
        <w:rPr>
          <w:rFonts w:hint="eastAsia" w:ascii="宋体" w:hAnsi="宋体" w:cs="宋体"/>
          <w:sz w:val="24"/>
        </w:rPr>
        <w:t>报价为下浮金额，</w:t>
      </w:r>
      <w:bookmarkStart w:id="6" w:name="_Hlk93484464"/>
      <w:r>
        <w:rPr>
          <w:rFonts w:hint="eastAsia" w:ascii="宋体" w:hAnsi="宋体" w:cs="宋体"/>
          <w:sz w:val="24"/>
        </w:rPr>
        <w:t>下浮金额中应包含税费、成本、利润、运输、装卸、各类人工成本等其他完成本次项目的所有费用，且报价为含税价。</w:t>
      </w:r>
      <w:bookmarkEnd w:id="6"/>
    </w:p>
    <w:p>
      <w:pPr>
        <w:spacing w:line="580" w:lineRule="exact"/>
        <w:jc w:val="left"/>
        <w:rPr>
          <w:rFonts w:hint="eastAsia" w:ascii="宋体" w:hAnsi="宋体" w:cs="宋体"/>
          <w:b/>
          <w:color w:val="auto"/>
          <w:sz w:val="24"/>
        </w:rPr>
      </w:pPr>
      <w:r>
        <w:rPr>
          <w:rFonts w:hint="eastAsia" w:ascii="宋体" w:hAnsi="宋体" w:cs="宋体"/>
          <w:sz w:val="24"/>
        </w:rPr>
        <w:t>1.2鲜禽蛋遴选报价为“下浮金额”，</w:t>
      </w:r>
      <w:r>
        <w:rPr>
          <w:rFonts w:hint="eastAsia" w:ascii="宋体" w:hAnsi="宋体" w:cs="宋体"/>
          <w:sz w:val="24"/>
          <w:lang w:eastAsia="zh-CN"/>
        </w:rPr>
        <w:t>供应商</w:t>
      </w:r>
      <w:r>
        <w:rPr>
          <w:rFonts w:hint="eastAsia" w:ascii="宋体" w:hAnsi="宋体" w:cs="宋体"/>
          <w:sz w:val="24"/>
        </w:rPr>
        <w:t>的下浮金额以济南市发展和改革委员会济南物价公布的</w:t>
      </w:r>
      <w:bookmarkStart w:id="7" w:name="_Hlk132616925"/>
      <w:r>
        <w:rPr>
          <w:rFonts w:hint="eastAsia" w:ascii="宋体" w:hAnsi="宋体" w:cs="宋体"/>
          <w:b/>
          <w:sz w:val="24"/>
        </w:rPr>
        <w:t>投标截止时间前第三天的</w:t>
      </w:r>
      <w:bookmarkEnd w:id="7"/>
      <w:r>
        <w:rPr>
          <w:rFonts w:hint="eastAsia" w:ascii="宋体" w:hAnsi="宋体" w:cs="宋体"/>
          <w:sz w:val="24"/>
        </w:rPr>
        <w:t>“济南市主要农副产品价格”中“鸡蛋”</w:t>
      </w:r>
      <w:r>
        <w:rPr>
          <w:rFonts w:hint="eastAsia" w:ascii="宋体" w:hAnsi="宋体" w:cs="宋体"/>
          <w:b/>
          <w:sz w:val="24"/>
        </w:rPr>
        <w:t>农贸市场</w:t>
      </w:r>
      <w:r>
        <w:rPr>
          <w:rFonts w:hint="eastAsia" w:ascii="宋体" w:hAnsi="宋体" w:cs="宋体"/>
          <w:sz w:val="24"/>
        </w:rPr>
        <w:t>价</w:t>
      </w:r>
      <w:r>
        <w:rPr>
          <w:rFonts w:hint="eastAsia" w:ascii="宋体" w:hAnsi="宋体" w:cs="宋体"/>
          <w:color w:val="auto"/>
          <w:sz w:val="24"/>
        </w:rPr>
        <w:t>格为基准，</w:t>
      </w:r>
      <w:r>
        <w:rPr>
          <w:rFonts w:hint="eastAsia" w:ascii="宋体" w:hAnsi="宋体" w:cs="宋体"/>
          <w:b/>
          <w:color w:val="auto"/>
          <w:sz w:val="24"/>
        </w:rPr>
        <w:t>每斤下浮</w:t>
      </w:r>
      <w:r>
        <w:rPr>
          <w:rFonts w:hint="eastAsia" w:ascii="宋体" w:hAnsi="宋体" w:cs="宋体"/>
          <w:b/>
          <w:color w:val="auto"/>
          <w:sz w:val="24"/>
          <w:u w:val="single"/>
        </w:rPr>
        <w:t xml:space="preserve">   </w:t>
      </w:r>
      <w:r>
        <w:rPr>
          <w:rFonts w:hint="eastAsia" w:ascii="宋体" w:hAnsi="宋体" w:cs="宋体"/>
          <w:b/>
          <w:color w:val="auto"/>
          <w:sz w:val="24"/>
        </w:rPr>
        <w:t>元。下浮金额需为0.02</w:t>
      </w:r>
      <w:r>
        <w:rPr>
          <w:rFonts w:hint="eastAsia" w:ascii="宋体" w:hAnsi="宋体" w:cs="宋体"/>
          <w:b/>
          <w:color w:val="auto"/>
          <w:sz w:val="24"/>
          <w:lang w:eastAsia="zh-CN"/>
        </w:rPr>
        <w:t>元</w:t>
      </w:r>
      <w:r>
        <w:rPr>
          <w:rFonts w:hint="eastAsia" w:ascii="宋体" w:hAnsi="宋体" w:cs="宋体"/>
          <w:b/>
          <w:color w:val="auto"/>
          <w:sz w:val="24"/>
        </w:rPr>
        <w:t>的整倍数，报价不符合整倍数要求的为无效投标。</w:t>
      </w:r>
      <w:r>
        <w:rPr>
          <w:rFonts w:hint="eastAsia" w:ascii="宋体" w:hAnsi="宋体" w:cs="宋体"/>
          <w:b/>
          <w:color w:val="auto"/>
          <w:sz w:val="24"/>
          <w:lang w:eastAsia="zh-CN"/>
        </w:rPr>
        <w:t>（</w:t>
      </w:r>
      <w:r>
        <w:rPr>
          <w:rFonts w:hint="eastAsia" w:ascii="宋体" w:hAnsi="宋体" w:cs="宋体"/>
          <w:color w:val="auto"/>
          <w:sz w:val="24"/>
        </w:rPr>
        <w:t>济南市主要农副产品价格</w:t>
      </w:r>
    </w:p>
    <w:p>
      <w:pPr>
        <w:spacing w:line="580" w:lineRule="exact"/>
        <w:jc w:val="left"/>
        <w:rPr>
          <w:rFonts w:hint="eastAsia" w:ascii="宋体" w:hAnsi="宋体" w:cs="宋体"/>
          <w:b/>
          <w:color w:val="auto"/>
          <w:sz w:val="24"/>
        </w:rPr>
      </w:pPr>
      <w:r>
        <w:rPr>
          <w:rFonts w:hint="eastAsia" w:ascii="宋体" w:hAnsi="宋体" w:cs="宋体"/>
          <w:color w:val="auto"/>
          <w:sz w:val="24"/>
        </w:rPr>
        <w:t>http://119.163.120.130:88/allow/allow_1/Default.aspx?d=2)</w:t>
      </w:r>
    </w:p>
    <w:p>
      <w:pPr>
        <w:spacing w:line="580" w:lineRule="exact"/>
        <w:jc w:val="left"/>
        <w:rPr>
          <w:rFonts w:hint="eastAsia" w:ascii="宋体" w:hAnsi="宋体" w:cs="宋体"/>
          <w:b/>
          <w:color w:val="auto"/>
          <w:sz w:val="24"/>
        </w:rPr>
      </w:pPr>
      <w:r>
        <w:rPr>
          <w:rFonts w:hint="eastAsia" w:ascii="宋体" w:hAnsi="宋体" w:cs="宋体"/>
          <w:color w:val="auto"/>
          <w:sz w:val="24"/>
        </w:rPr>
        <w:t>1.3</w:t>
      </w:r>
      <w:r>
        <w:rPr>
          <w:rFonts w:hint="eastAsia" w:ascii="宋体" w:hAnsi="宋体" w:cs="宋体"/>
          <w:b/>
          <w:color w:val="auto"/>
          <w:sz w:val="24"/>
        </w:rPr>
        <w:t>确认的遴选报价合同期内不予调整</w:t>
      </w:r>
    </w:p>
    <w:p>
      <w:pPr>
        <w:spacing w:line="580" w:lineRule="exact"/>
        <w:jc w:val="left"/>
        <w:rPr>
          <w:rFonts w:hint="eastAsia" w:ascii="宋体" w:hAnsi="宋体" w:cs="宋体"/>
          <w:b/>
          <w:sz w:val="24"/>
        </w:rPr>
      </w:pPr>
      <w:r>
        <w:rPr>
          <w:rFonts w:hint="eastAsia" w:ascii="宋体" w:hAnsi="宋体" w:cs="宋体"/>
          <w:b/>
          <w:sz w:val="24"/>
        </w:rPr>
        <w:t>2.遴选供应商确定及定价方法</w:t>
      </w:r>
    </w:p>
    <w:p>
      <w:pPr>
        <w:spacing w:line="580" w:lineRule="exact"/>
        <w:jc w:val="left"/>
        <w:rPr>
          <w:rFonts w:hint="eastAsia" w:ascii="宋体" w:hAnsi="宋体" w:eastAsia="宋体" w:cs="宋体"/>
          <w:sz w:val="24"/>
        </w:rPr>
      </w:pPr>
      <w:r>
        <w:rPr>
          <w:rFonts w:hint="eastAsia" w:ascii="宋体" w:hAnsi="宋体" w:eastAsia="宋体" w:cs="宋体"/>
          <w:sz w:val="24"/>
        </w:rPr>
        <w:t>2.1鲜禽蛋经综合评分排序前二位的供应商，为遴选供应商。排名3-4位的为候选供应商，项目执行过程中，若确定的遴选供应商因故被暂停或终止合同，可由下一名递补。本次遴选只保障供应商的遴选资格，不保证供货数量。</w:t>
      </w:r>
    </w:p>
    <w:p>
      <w:pPr>
        <w:spacing w:line="580" w:lineRule="exact"/>
        <w:jc w:val="left"/>
        <w:rPr>
          <w:rFonts w:hint="eastAsia" w:ascii="宋体" w:hAnsi="宋体" w:eastAsia="宋体" w:cs="宋体"/>
          <w:sz w:val="24"/>
        </w:rPr>
      </w:pPr>
      <w:r>
        <w:rPr>
          <w:rFonts w:hint="eastAsia" w:ascii="宋体" w:hAnsi="宋体" w:eastAsia="宋体" w:cs="宋体"/>
          <w:sz w:val="24"/>
        </w:rPr>
        <w:t>2.2基准价格-确认的遴选报价（</w:t>
      </w:r>
      <w:r>
        <w:rPr>
          <w:rFonts w:hint="eastAsia" w:ascii="宋体" w:hAnsi="宋体" w:eastAsia="宋体" w:cs="宋体"/>
          <w:sz w:val="24"/>
          <w:lang w:eastAsia="zh-CN"/>
        </w:rPr>
        <w:t>下浮金额</w:t>
      </w:r>
      <w:r>
        <w:rPr>
          <w:rFonts w:hint="eastAsia" w:ascii="宋体" w:hAnsi="宋体" w:eastAsia="宋体" w:cs="宋体"/>
          <w:sz w:val="24"/>
        </w:rPr>
        <w:t>）=遴选供应商每日结算价格</w:t>
      </w:r>
    </w:p>
    <w:p>
      <w:pPr>
        <w:spacing w:line="580" w:lineRule="exact"/>
        <w:jc w:val="left"/>
        <w:rPr>
          <w:rFonts w:hint="eastAsia" w:ascii="宋体" w:hAnsi="宋体" w:eastAsia="宋体" w:cs="宋体"/>
          <w:sz w:val="24"/>
        </w:rPr>
      </w:pPr>
      <w:r>
        <w:rPr>
          <w:rFonts w:hint="eastAsia" w:ascii="宋体" w:hAnsi="宋体" w:eastAsia="宋体" w:cs="宋体"/>
          <w:sz w:val="24"/>
        </w:rPr>
        <w:t>基准价格参照：济南市发展和改革委员会济南物价每日公布的 “济南市主要农副产品价格”中“鸡蛋”农贸市场价格。</w:t>
      </w:r>
      <w:r>
        <w:rPr>
          <w:rFonts w:hint="eastAsia" w:ascii="宋体" w:hAnsi="宋体" w:eastAsia="宋体" w:cs="宋体"/>
          <w:sz w:val="24"/>
          <w:lang w:eastAsia="zh-CN"/>
        </w:rPr>
        <w:t>（</w:t>
      </w:r>
      <w:r>
        <w:rPr>
          <w:rFonts w:hint="eastAsia" w:ascii="宋体" w:hAnsi="宋体" w:eastAsia="宋体" w:cs="宋体"/>
          <w:sz w:val="24"/>
        </w:rPr>
        <w:t>http://119.163.120.130:88/allow/allow_1/Default.aspx?d=2)</w:t>
      </w:r>
    </w:p>
    <w:p>
      <w:pPr>
        <w:spacing w:line="580" w:lineRule="exact"/>
        <w:jc w:val="left"/>
        <w:rPr>
          <w:rFonts w:hint="eastAsia" w:ascii="宋体" w:hAnsi="宋体" w:eastAsia="宋体" w:cs="宋体"/>
          <w:sz w:val="24"/>
        </w:rPr>
      </w:pPr>
      <w:r>
        <w:rPr>
          <w:rFonts w:hint="eastAsia" w:ascii="宋体" w:hAnsi="宋体" w:eastAsia="宋体" w:cs="宋体"/>
          <w:sz w:val="24"/>
        </w:rPr>
        <w:t>3.关于投标报价与结算价格的告知与承诺</w:t>
      </w:r>
    </w:p>
    <w:p>
      <w:pPr>
        <w:spacing w:line="580" w:lineRule="exact"/>
        <w:jc w:val="left"/>
        <w:rPr>
          <w:rFonts w:hint="eastAsia" w:ascii="宋体" w:hAnsi="宋体" w:eastAsia="宋体" w:cs="宋体"/>
          <w:sz w:val="24"/>
        </w:rPr>
      </w:pPr>
      <w:r>
        <w:rPr>
          <w:rFonts w:hint="eastAsia" w:ascii="宋体" w:hAnsi="宋体" w:eastAsia="宋体" w:cs="宋体"/>
          <w:sz w:val="24"/>
        </w:rPr>
        <w:t>3.1投标人必须完全明确并响应采购人的定价方式与基准价格发布平台。</w:t>
      </w:r>
    </w:p>
    <w:p>
      <w:pPr>
        <w:spacing w:line="580" w:lineRule="exact"/>
        <w:jc w:val="left"/>
        <w:rPr>
          <w:rFonts w:hint="eastAsia" w:ascii="宋体" w:hAnsi="宋体" w:eastAsia="宋体" w:cs="宋体"/>
          <w:sz w:val="24"/>
        </w:rPr>
      </w:pPr>
      <w:r>
        <w:rPr>
          <w:rFonts w:hint="eastAsia" w:ascii="宋体" w:hAnsi="宋体" w:eastAsia="宋体" w:cs="宋体"/>
          <w:sz w:val="24"/>
        </w:rPr>
        <w:t>3.2投标人应根据基准价格发布平台的历史价格合理报价，若评审委员会认为投标人的报价明显低于其他通过符合性审查投标人的报价，有可能影响产品质量或者不能诚信履约的则直接启动“第9条 低于成本价不正当竞争预防措施”。</w:t>
      </w:r>
    </w:p>
    <w:p>
      <w:pPr>
        <w:spacing w:line="580" w:lineRule="exact"/>
        <w:jc w:val="left"/>
        <w:rPr>
          <w:rFonts w:hint="eastAsia" w:ascii="宋体" w:hAnsi="宋体" w:eastAsia="宋体" w:cs="宋体"/>
          <w:sz w:val="24"/>
        </w:rPr>
      </w:pPr>
      <w:r>
        <w:rPr>
          <w:rFonts w:hint="eastAsia" w:ascii="宋体" w:hAnsi="宋体" w:eastAsia="宋体" w:cs="宋体"/>
          <w:sz w:val="24"/>
        </w:rPr>
        <w:t>3.3本次遴选只保障供应商的遴选资格，不保证供货数量。确认的遴选报价合同期内不予调整。确定的遴选供应商因故被暂停或终止合同，可由下一名递补。</w:t>
      </w:r>
    </w:p>
    <w:p>
      <w:pPr>
        <w:spacing w:line="580" w:lineRule="exact"/>
        <w:jc w:val="left"/>
        <w:rPr>
          <w:rFonts w:hint="eastAsia" w:ascii="宋体" w:hAnsi="宋体" w:eastAsia="宋体" w:cs="宋体"/>
          <w:sz w:val="24"/>
        </w:rPr>
      </w:pPr>
      <w:r>
        <w:rPr>
          <w:rFonts w:hint="eastAsia" w:ascii="宋体" w:hAnsi="宋体" w:eastAsia="宋体" w:cs="宋体"/>
          <w:sz w:val="24"/>
        </w:rPr>
        <w:t>3.4以上内容投标人需完全明确并</w:t>
      </w:r>
      <w:r>
        <w:rPr>
          <w:rFonts w:hint="eastAsia" w:ascii="宋体" w:hAnsi="宋体" w:eastAsia="宋体" w:cs="宋体"/>
          <w:sz w:val="24"/>
          <w:lang w:eastAsia="zh-CN"/>
        </w:rPr>
        <w:t>作出</w:t>
      </w:r>
      <w:r>
        <w:rPr>
          <w:rFonts w:hint="eastAsia" w:ascii="宋体" w:hAnsi="宋体" w:eastAsia="宋体" w:cs="宋体"/>
          <w:sz w:val="24"/>
        </w:rPr>
        <w:t>书面承诺。</w:t>
      </w:r>
    </w:p>
    <w:p>
      <w:pPr>
        <w:spacing w:line="580" w:lineRule="exact"/>
        <w:jc w:val="left"/>
        <w:rPr>
          <w:rFonts w:hint="eastAsia" w:ascii="宋体" w:hAnsi="宋体" w:eastAsia="宋体" w:cs="宋体"/>
          <w:sz w:val="24"/>
        </w:rPr>
      </w:pPr>
      <w:r>
        <w:rPr>
          <w:rFonts w:hint="eastAsia" w:ascii="宋体" w:hAnsi="宋体" w:eastAsia="宋体" w:cs="宋体"/>
          <w:sz w:val="24"/>
        </w:rPr>
        <w:t>3.5采购人在开标投标截止时间前第三天将基准价格及历史价格发送至投标人邮箱。</w:t>
      </w:r>
    </w:p>
    <w:p>
      <w:pPr>
        <w:spacing w:line="580" w:lineRule="exact"/>
        <w:jc w:val="left"/>
        <w:rPr>
          <w:rFonts w:hint="eastAsia" w:ascii="宋体" w:hAnsi="宋体" w:eastAsia="宋体" w:cs="宋体"/>
          <w:sz w:val="24"/>
        </w:rPr>
      </w:pPr>
      <w:r>
        <w:rPr>
          <w:rFonts w:hint="eastAsia" w:ascii="宋体" w:hAnsi="宋体" w:eastAsia="宋体" w:cs="宋体"/>
          <w:sz w:val="24"/>
        </w:rPr>
        <w:t>4.配送及交货时限要求</w:t>
      </w:r>
    </w:p>
    <w:p>
      <w:pPr>
        <w:spacing w:line="580" w:lineRule="exact"/>
        <w:jc w:val="left"/>
        <w:rPr>
          <w:rFonts w:hint="eastAsia" w:ascii="宋体" w:hAnsi="宋体" w:cs="宋体"/>
          <w:sz w:val="24"/>
        </w:rPr>
      </w:pPr>
      <w:r>
        <w:rPr>
          <w:rFonts w:hint="eastAsia" w:ascii="宋体" w:hAnsi="宋体" w:cs="宋体"/>
          <w:b/>
          <w:sz w:val="24"/>
        </w:rPr>
        <w:t xml:space="preserve">4.1 </w:t>
      </w:r>
      <w:r>
        <w:rPr>
          <w:rFonts w:hint="eastAsia" w:ascii="宋体" w:hAnsi="宋体" w:cs="宋体"/>
          <w:sz w:val="24"/>
        </w:rPr>
        <w:t>配送区域</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7"/>
        <w:gridCol w:w="2802"/>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配送区域</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山东大学中心校区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齐园餐厅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山大南路27号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山东大学洪家楼校区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三号食堂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洪家楼5号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sz w:val="24"/>
              </w:rPr>
            </w:pPr>
            <w:r>
              <w:rPr>
                <w:rFonts w:hint="eastAsia" w:ascii="宋体" w:hAnsi="宋体" w:eastAsia="宋体" w:cs="宋体"/>
                <w:color w:val="000000"/>
                <w:sz w:val="24"/>
              </w:rPr>
              <w:t>山东大学洪家楼校区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七号食堂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洪家楼5号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山东大学趵突泉校区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杏园餐厅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文化西路44号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山东大学千佛山校区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经十路17923号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sz w:val="24"/>
              </w:rPr>
            </w:pPr>
            <w:r>
              <w:rPr>
                <w:rFonts w:hint="eastAsia" w:ascii="宋体" w:hAnsi="宋体" w:eastAsia="宋体" w:cs="宋体"/>
                <w:color w:val="000000"/>
                <w:sz w:val="24"/>
              </w:rPr>
              <w:t>山东大学千佛山校区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经十路17923号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山东大学兴隆山校区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二环南路12550号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000000"/>
                <w:sz w:val="24"/>
              </w:rPr>
            </w:pPr>
            <w:r>
              <w:rPr>
                <w:rFonts w:hint="eastAsia" w:ascii="宋体" w:hAnsi="宋体" w:eastAsia="宋体" w:cs="宋体"/>
                <w:color w:val="000000"/>
                <w:sz w:val="24"/>
              </w:rPr>
              <w:t>山东大学兴隆山校区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二环南路12550号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color w:val="000000"/>
                <w:sz w:val="24"/>
              </w:rPr>
              <w:t>山东大学齐鲁软件园校区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学生食堂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舜华路1500号</w:t>
            </w:r>
          </w:p>
        </w:tc>
      </w:tr>
    </w:tbl>
    <w:p>
      <w:pPr>
        <w:spacing w:line="580" w:lineRule="exact"/>
        <w:jc w:val="left"/>
        <w:rPr>
          <w:rFonts w:hint="eastAsia" w:ascii="宋体" w:hAnsi="宋体" w:cs="宋体"/>
          <w:sz w:val="24"/>
        </w:rPr>
      </w:pPr>
      <w:r>
        <w:rPr>
          <w:rFonts w:hint="eastAsia" w:ascii="宋体" w:hAnsi="宋体" w:cs="宋体"/>
          <w:sz w:val="24"/>
        </w:rPr>
        <w:t>4.2鲜禽蛋类配送频次为每1-2天一次，</w:t>
      </w:r>
      <w:r>
        <w:rPr>
          <w:rFonts w:hint="eastAsia" w:ascii="宋体" w:hAnsi="宋体" w:cs="宋体"/>
          <w:sz w:val="24"/>
          <w:lang w:eastAsia="zh-CN"/>
        </w:rPr>
        <w:t>供应商</w:t>
      </w:r>
      <w:r>
        <w:rPr>
          <w:rFonts w:hint="eastAsia" w:ascii="宋体" w:hAnsi="宋体" w:cs="宋体"/>
          <w:sz w:val="24"/>
        </w:rPr>
        <w:t>需按照餐厅数量配置运输资源，配送时限以订单要求的为准。</w:t>
      </w:r>
    </w:p>
    <w:p>
      <w:pPr>
        <w:spacing w:line="580" w:lineRule="exact"/>
        <w:jc w:val="left"/>
        <w:rPr>
          <w:rFonts w:hint="eastAsia" w:ascii="宋体" w:hAnsi="宋体" w:cs="宋体"/>
          <w:sz w:val="24"/>
        </w:rPr>
      </w:pPr>
      <w:r>
        <w:rPr>
          <w:rFonts w:hint="eastAsia" w:ascii="宋体" w:hAnsi="宋体" w:cs="宋体"/>
          <w:sz w:val="24"/>
        </w:rPr>
        <w:t>4.3需使用食品专用运输车辆，低温产品需使用食品专用冷链车辆。运输中需有遮盖物,防止日晒、雨淋、渗漏、污染和标签脱落。不得与有害、有毒、有异常气味的物品一同运输。</w:t>
      </w:r>
    </w:p>
    <w:p>
      <w:pPr>
        <w:spacing w:line="580" w:lineRule="exact"/>
        <w:jc w:val="left"/>
        <w:rPr>
          <w:rFonts w:hint="eastAsia" w:ascii="宋体" w:hAnsi="宋体" w:cs="宋体"/>
          <w:sz w:val="24"/>
        </w:rPr>
      </w:pPr>
      <w:r>
        <w:rPr>
          <w:rFonts w:hint="eastAsia" w:ascii="宋体" w:hAnsi="宋体" w:cs="宋体"/>
          <w:sz w:val="24"/>
        </w:rPr>
        <w:t>4.4进入校园后，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pPr>
        <w:spacing w:line="580" w:lineRule="exact"/>
        <w:jc w:val="left"/>
        <w:rPr>
          <w:rFonts w:hint="eastAsia" w:ascii="宋体" w:hAnsi="宋体" w:cs="宋体"/>
          <w:b/>
          <w:sz w:val="24"/>
        </w:rPr>
      </w:pPr>
      <w:r>
        <w:rPr>
          <w:rFonts w:hint="eastAsia" w:ascii="宋体" w:hAnsi="宋体" w:cs="宋体"/>
          <w:b/>
          <w:sz w:val="24"/>
        </w:rPr>
        <w:t>5.货物验收</w:t>
      </w:r>
    </w:p>
    <w:p>
      <w:pPr>
        <w:spacing w:line="580" w:lineRule="exact"/>
        <w:jc w:val="left"/>
        <w:rPr>
          <w:rFonts w:hint="eastAsia" w:ascii="宋体" w:hAnsi="宋体" w:cs="宋体"/>
          <w:sz w:val="24"/>
        </w:rPr>
      </w:pPr>
      <w:r>
        <w:rPr>
          <w:rFonts w:hint="eastAsia" w:ascii="宋体" w:hAnsi="宋体" w:cs="宋体"/>
          <w:sz w:val="24"/>
        </w:rPr>
        <w:t>5.1</w:t>
      </w:r>
      <w:r>
        <w:rPr>
          <w:rFonts w:hint="eastAsia" w:ascii="宋体" w:hAnsi="宋体" w:cs="宋体"/>
          <w:sz w:val="24"/>
          <w:lang w:eastAsia="zh-CN"/>
        </w:rPr>
        <w:t>供应商</w:t>
      </w:r>
      <w:r>
        <w:rPr>
          <w:rFonts w:hint="eastAsia" w:ascii="宋体" w:hAnsi="宋体" w:cs="宋体"/>
          <w:sz w:val="24"/>
        </w:rPr>
        <w:t>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pPr>
        <w:spacing w:line="580" w:lineRule="exact"/>
        <w:jc w:val="left"/>
        <w:rPr>
          <w:rFonts w:hint="eastAsia" w:ascii="宋体" w:hAnsi="宋体" w:cs="宋体"/>
          <w:sz w:val="24"/>
        </w:rPr>
      </w:pPr>
      <w:r>
        <w:rPr>
          <w:rFonts w:hint="eastAsia" w:ascii="宋体" w:hAnsi="宋体" w:cs="宋体"/>
          <w:sz w:val="24"/>
        </w:rPr>
        <w:t>5.2中标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pPr>
        <w:spacing w:line="580" w:lineRule="exact"/>
        <w:jc w:val="left"/>
        <w:rPr>
          <w:rFonts w:hint="eastAsia" w:ascii="宋体" w:hAnsi="宋体" w:cs="宋体"/>
          <w:sz w:val="24"/>
        </w:rPr>
      </w:pPr>
      <w:r>
        <w:rPr>
          <w:rFonts w:hint="eastAsia" w:ascii="宋体" w:hAnsi="宋体" w:cs="宋体"/>
          <w:sz w:val="24"/>
        </w:rPr>
        <w:t>5.3供应商应提供的随货资质包括：销货清单（加盖公章）一式三份、产品合格证。非同一批次产品的，需提供相应批次的出厂检验报告。</w:t>
      </w:r>
    </w:p>
    <w:p>
      <w:pPr>
        <w:spacing w:line="580" w:lineRule="exact"/>
        <w:jc w:val="left"/>
        <w:rPr>
          <w:rFonts w:hint="eastAsia" w:ascii="宋体" w:hAnsi="宋体" w:cs="宋体"/>
          <w:sz w:val="24"/>
        </w:rPr>
      </w:pPr>
      <w:r>
        <w:rPr>
          <w:rFonts w:hint="eastAsia" w:ascii="宋体" w:hAnsi="宋体" w:cs="宋体"/>
          <w:sz w:val="24"/>
        </w:rPr>
        <w:t>5.4验收流程和不合格品处置方式应按照采购人制定的《饮食管理服务中心采购验收标准》执行。</w:t>
      </w:r>
    </w:p>
    <w:p>
      <w:pPr>
        <w:spacing w:line="580" w:lineRule="exact"/>
        <w:jc w:val="left"/>
        <w:rPr>
          <w:rFonts w:hint="eastAsia" w:ascii="宋体" w:hAnsi="宋体" w:cs="宋体"/>
          <w:b/>
          <w:sz w:val="24"/>
        </w:rPr>
      </w:pPr>
      <w:r>
        <w:rPr>
          <w:rFonts w:hint="eastAsia" w:ascii="宋体" w:hAnsi="宋体" w:cs="宋体"/>
          <w:b/>
          <w:sz w:val="24"/>
        </w:rPr>
        <w:t>6. 服务保障及其他要求</w:t>
      </w:r>
    </w:p>
    <w:p>
      <w:pPr>
        <w:spacing w:line="580" w:lineRule="exact"/>
        <w:jc w:val="left"/>
        <w:rPr>
          <w:rFonts w:hint="eastAsia" w:ascii="宋体" w:hAnsi="宋体" w:cs="宋体"/>
          <w:sz w:val="24"/>
        </w:rPr>
      </w:pPr>
      <w:r>
        <w:rPr>
          <w:rFonts w:hint="eastAsia" w:ascii="宋体" w:hAnsi="宋体" w:cs="宋体"/>
          <w:sz w:val="24"/>
        </w:rPr>
        <w:t>6.1供应商应具有组织配送、调运、分拣、二次搬运的能力。供应商具有固定的配送网点服务能力。</w:t>
      </w:r>
    </w:p>
    <w:p>
      <w:pPr>
        <w:spacing w:line="580" w:lineRule="exact"/>
        <w:jc w:val="left"/>
        <w:rPr>
          <w:rFonts w:hint="eastAsia" w:ascii="宋体" w:hAnsi="宋体" w:cs="宋体"/>
          <w:sz w:val="24"/>
        </w:rPr>
      </w:pPr>
      <w:r>
        <w:rPr>
          <w:rFonts w:hint="eastAsia" w:ascii="宋体" w:hAnsi="宋体" w:cs="宋体"/>
          <w:sz w:val="24"/>
        </w:rPr>
        <w:t>6.2若采购人发现在质保期内食材腐烂变质，供应商应及时进行处理，并更换相应数量的物资。</w:t>
      </w:r>
    </w:p>
    <w:p>
      <w:pPr>
        <w:spacing w:line="580" w:lineRule="exact"/>
        <w:jc w:val="left"/>
        <w:rPr>
          <w:rFonts w:hint="eastAsia" w:ascii="宋体" w:hAnsi="宋体" w:cs="宋体"/>
          <w:sz w:val="24"/>
        </w:rPr>
      </w:pPr>
      <w:r>
        <w:rPr>
          <w:rFonts w:hint="eastAsia" w:ascii="宋体" w:hAnsi="宋体" w:cs="宋体"/>
          <w:sz w:val="24"/>
        </w:rPr>
        <w:t>6.3供应商应按采购人要求，配合完成相关资质索证等，包括但不仅限于营业执照、食品生产许可证或食品经营许可证、税务登记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pPr>
        <w:spacing w:line="580" w:lineRule="exact"/>
        <w:jc w:val="left"/>
        <w:rPr>
          <w:rFonts w:hint="eastAsia" w:ascii="宋体" w:hAnsi="宋体" w:cs="宋体"/>
          <w:sz w:val="24"/>
        </w:rPr>
      </w:pPr>
      <w:r>
        <w:rPr>
          <w:rFonts w:hint="eastAsia" w:ascii="宋体" w:hAnsi="宋体" w:cs="宋体"/>
          <w:sz w:val="24"/>
        </w:rPr>
        <w:t>6.4因存在食材质量问题或因食材质量原因发生的食品安全事故，供应商主要负责人和相关主管人员必须到现场指导、处理，慰问学生、家长及相关当事人，做好安抚工作和善后处理。</w:t>
      </w:r>
    </w:p>
    <w:p>
      <w:pPr>
        <w:spacing w:line="580" w:lineRule="exact"/>
        <w:jc w:val="left"/>
        <w:rPr>
          <w:rFonts w:hint="eastAsia" w:ascii="宋体" w:hAnsi="宋体" w:cs="宋体"/>
          <w:sz w:val="24"/>
        </w:rPr>
      </w:pPr>
      <w:r>
        <w:rPr>
          <w:rFonts w:hint="eastAsia" w:ascii="宋体" w:hAnsi="宋体" w:cs="宋体"/>
          <w:sz w:val="24"/>
        </w:rPr>
        <w:t>6.5保证根据学校教学规律，在寒暑假等假期内，以及在发生诸如货源紧张、物价突涨时供应商应顾全大局，确保供应，保障学校稳定。应保持契约精神，在未出现紧急议价调价情况下，不得以无货为由拒绝供货。</w:t>
      </w:r>
    </w:p>
    <w:p>
      <w:pPr>
        <w:spacing w:line="580" w:lineRule="exact"/>
        <w:jc w:val="left"/>
        <w:rPr>
          <w:rFonts w:hint="eastAsia" w:ascii="宋体" w:hAnsi="宋体" w:cs="宋体"/>
          <w:b/>
          <w:sz w:val="24"/>
        </w:rPr>
      </w:pPr>
      <w:r>
        <w:rPr>
          <w:rFonts w:hint="eastAsia" w:ascii="宋体" w:hAnsi="宋体" w:cs="宋体"/>
          <w:b/>
          <w:sz w:val="24"/>
        </w:rPr>
        <w:t>7.履约保证金：每包人民币贰万元整</w:t>
      </w:r>
    </w:p>
    <w:p>
      <w:pPr>
        <w:spacing w:line="580" w:lineRule="exact"/>
        <w:jc w:val="left"/>
        <w:rPr>
          <w:rFonts w:hint="eastAsia" w:ascii="宋体" w:hAnsi="宋体" w:cs="宋体"/>
          <w:b/>
          <w:sz w:val="24"/>
        </w:rPr>
      </w:pPr>
      <w:r>
        <w:rPr>
          <w:rFonts w:hint="eastAsia" w:ascii="宋体" w:hAnsi="宋体" w:cs="宋体"/>
          <w:b/>
          <w:sz w:val="24"/>
        </w:rPr>
        <w:t>8.其他要求</w:t>
      </w:r>
    </w:p>
    <w:p>
      <w:pPr>
        <w:spacing w:line="580" w:lineRule="exact"/>
        <w:jc w:val="left"/>
        <w:rPr>
          <w:rFonts w:hint="eastAsia" w:ascii="宋体" w:hAnsi="宋体" w:eastAsia="宋体" w:cs="宋体"/>
          <w:sz w:val="24"/>
        </w:rPr>
      </w:pPr>
      <w:r>
        <w:rPr>
          <w:rFonts w:hint="eastAsia" w:ascii="宋体" w:hAnsi="宋体" w:eastAsia="宋体" w:cs="宋体"/>
          <w:sz w:val="24"/>
        </w:rPr>
        <w:t>8.1</w:t>
      </w:r>
      <w:r>
        <w:rPr>
          <w:rFonts w:hint="eastAsia" w:ascii="宋体" w:hAnsi="宋体" w:eastAsia="宋体" w:cs="宋体"/>
          <w:sz w:val="24"/>
          <w:lang w:eastAsia="zh-CN"/>
        </w:rPr>
        <w:t>供应商</w:t>
      </w:r>
      <w:r>
        <w:rPr>
          <w:rFonts w:hint="eastAsia" w:ascii="宋体" w:hAnsi="宋体" w:eastAsia="宋体" w:cs="宋体"/>
          <w:sz w:val="24"/>
        </w:rPr>
        <w:t>还应承诺拟一旦中标后，在本次项目的管理人员必须为本单位人员且与响应文件中拟派的管理层人员一致。若在服务期间，需更换本项目的管理人员，应向采购人报备并得到确认，更换的管理人员也必须为本单位人员。</w:t>
      </w:r>
    </w:p>
    <w:p>
      <w:pPr>
        <w:spacing w:line="580" w:lineRule="exact"/>
        <w:jc w:val="left"/>
        <w:rPr>
          <w:rFonts w:hint="eastAsia" w:ascii="宋体" w:hAnsi="宋体" w:eastAsia="宋体" w:cs="宋体"/>
          <w:sz w:val="24"/>
        </w:rPr>
      </w:pPr>
      <w:r>
        <w:rPr>
          <w:rFonts w:hint="eastAsia" w:ascii="宋体" w:hAnsi="宋体" w:eastAsia="宋体" w:cs="宋体"/>
          <w:sz w:val="24"/>
        </w:rPr>
        <w:t>8.2供应商需自行提供配送业务，不得将配送项目进行任何方式的分包、转包。</w:t>
      </w:r>
    </w:p>
    <w:p>
      <w:pPr>
        <w:spacing w:line="580" w:lineRule="exact"/>
        <w:jc w:val="left"/>
        <w:rPr>
          <w:rFonts w:hint="eastAsia" w:ascii="宋体" w:hAnsi="宋体" w:cs="宋体"/>
          <w:b/>
          <w:sz w:val="24"/>
        </w:rPr>
      </w:pPr>
      <w:r>
        <w:rPr>
          <w:rFonts w:hint="eastAsia" w:ascii="宋体" w:hAnsi="宋体" w:cs="宋体"/>
          <w:b/>
          <w:sz w:val="24"/>
        </w:rPr>
        <w:t>9. 低于成本价不正当竞争预防措施</w:t>
      </w:r>
    </w:p>
    <w:p>
      <w:pPr>
        <w:spacing w:line="580" w:lineRule="exact"/>
        <w:jc w:val="left"/>
        <w:rPr>
          <w:rFonts w:hint="eastAsia" w:ascii="宋体" w:hAnsi="宋体" w:cs="宋体"/>
          <w:sz w:val="24"/>
        </w:rPr>
      </w:pPr>
      <w:r>
        <w:rPr>
          <w:rFonts w:hint="eastAsia" w:ascii="宋体" w:hAnsi="宋体" w:cs="宋体"/>
          <w:sz w:val="24"/>
        </w:rPr>
        <w:t>9.1在评标过程中，评审委员会认为</w:t>
      </w:r>
      <w:r>
        <w:rPr>
          <w:rFonts w:hint="eastAsia" w:ascii="宋体" w:hAnsi="宋体" w:cs="宋体"/>
          <w:sz w:val="24"/>
          <w:lang w:eastAsia="zh-CN"/>
        </w:rPr>
        <w:t>供应商</w:t>
      </w:r>
      <w:r>
        <w:rPr>
          <w:rFonts w:hint="eastAsia" w:ascii="宋体" w:hAnsi="宋体" w:cs="宋体"/>
          <w:sz w:val="24"/>
        </w:rPr>
        <w:t>的报价明显低于其他通过符合性审查</w:t>
      </w:r>
      <w:r>
        <w:rPr>
          <w:rFonts w:hint="eastAsia" w:ascii="宋体" w:hAnsi="宋体" w:cs="宋体"/>
          <w:sz w:val="24"/>
          <w:lang w:eastAsia="zh-CN"/>
        </w:rPr>
        <w:t>供应商</w:t>
      </w:r>
      <w:r>
        <w:rPr>
          <w:rFonts w:hint="eastAsia" w:ascii="宋体" w:hAnsi="宋体" w:cs="宋体"/>
          <w:sz w:val="24"/>
        </w:rPr>
        <w:t>的报价，有可能影响产品质量或者不能诚信履约的，评审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pPr>
        <w:spacing w:line="580" w:lineRule="exact"/>
        <w:jc w:val="left"/>
        <w:rPr>
          <w:rFonts w:hint="eastAsia" w:ascii="宋体" w:hAnsi="宋体" w:cs="宋体"/>
          <w:sz w:val="24"/>
        </w:rPr>
      </w:pPr>
      <w:r>
        <w:rPr>
          <w:rFonts w:hint="eastAsia" w:ascii="宋体" w:hAnsi="宋体" w:cs="宋体"/>
          <w:sz w:val="24"/>
        </w:rPr>
        <w:t>9.2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w:t>
      </w:r>
      <w:r>
        <w:rPr>
          <w:rFonts w:hint="eastAsia" w:ascii="宋体" w:hAnsi="宋体" w:cs="宋体"/>
          <w:sz w:val="24"/>
          <w:lang w:eastAsia="zh-CN"/>
        </w:rPr>
        <w:t>或者</w:t>
      </w:r>
      <w:r>
        <w:rPr>
          <w:rFonts w:hint="eastAsia" w:ascii="宋体" w:hAnsi="宋体" w:cs="宋体"/>
          <w:sz w:val="24"/>
        </w:rPr>
        <w:t>授权投标代理人签字确认。</w:t>
      </w:r>
    </w:p>
    <w:p>
      <w:pPr>
        <w:spacing w:line="580" w:lineRule="exact"/>
        <w:jc w:val="left"/>
        <w:rPr>
          <w:rFonts w:hint="eastAsia" w:ascii="宋体" w:hAnsi="宋体" w:cs="宋体"/>
          <w:sz w:val="24"/>
        </w:rPr>
      </w:pPr>
      <w:r>
        <w:rPr>
          <w:rFonts w:hint="eastAsia" w:ascii="宋体" w:hAnsi="宋体" w:cs="宋体"/>
          <w:sz w:val="24"/>
        </w:rPr>
        <w:t>9.3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投标文件作为无效处理。</w:t>
      </w:r>
    </w:p>
    <w:p>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5258C9"/>
    <w:multiLevelType w:val="singleLevel"/>
    <w:tmpl w:val="7B5258C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wNDJjODU2ZWYwYTUwOGZlZDAxNTc0OGEzMzc1YTAifQ=="/>
  </w:docVars>
  <w:rsids>
    <w:rsidRoot w:val="0FBC75BB"/>
    <w:rsid w:val="03933F15"/>
    <w:rsid w:val="043717B3"/>
    <w:rsid w:val="099D420C"/>
    <w:rsid w:val="09BE679D"/>
    <w:rsid w:val="0BEB50FD"/>
    <w:rsid w:val="0FBC75BB"/>
    <w:rsid w:val="12103FC8"/>
    <w:rsid w:val="14346C5B"/>
    <w:rsid w:val="1512554A"/>
    <w:rsid w:val="177D4528"/>
    <w:rsid w:val="17B6291A"/>
    <w:rsid w:val="19687267"/>
    <w:rsid w:val="1C307611"/>
    <w:rsid w:val="1D726778"/>
    <w:rsid w:val="21DC1B0A"/>
    <w:rsid w:val="22515338"/>
    <w:rsid w:val="23E12E9B"/>
    <w:rsid w:val="2C510BC5"/>
    <w:rsid w:val="30F564DF"/>
    <w:rsid w:val="35716941"/>
    <w:rsid w:val="379F4589"/>
    <w:rsid w:val="37BF7E96"/>
    <w:rsid w:val="3BD9218B"/>
    <w:rsid w:val="3C5B5A1E"/>
    <w:rsid w:val="3F267B12"/>
    <w:rsid w:val="41DA74B9"/>
    <w:rsid w:val="441D5FD9"/>
    <w:rsid w:val="47D50562"/>
    <w:rsid w:val="493347BA"/>
    <w:rsid w:val="495F64C4"/>
    <w:rsid w:val="4EB82654"/>
    <w:rsid w:val="503E09C4"/>
    <w:rsid w:val="59442D68"/>
    <w:rsid w:val="5C63787C"/>
    <w:rsid w:val="5C85223F"/>
    <w:rsid w:val="5EE653D6"/>
    <w:rsid w:val="66B7338B"/>
    <w:rsid w:val="683E4145"/>
    <w:rsid w:val="6A626951"/>
    <w:rsid w:val="6CB73CB8"/>
    <w:rsid w:val="6DA00D8C"/>
    <w:rsid w:val="70E522FE"/>
    <w:rsid w:val="73D605A0"/>
    <w:rsid w:val="74BF646F"/>
    <w:rsid w:val="77F63A70"/>
    <w:rsid w:val="7E7F5533"/>
    <w:rsid w:val="7EDC5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
    <w:qFormat/>
    <w:uiPriority w:val="0"/>
    <w:pPr>
      <w:keepNext/>
      <w:keepLines/>
      <w:spacing w:before="50" w:beforeLines="50" w:after="50" w:afterLines="50" w:line="360" w:lineRule="auto"/>
      <w:jc w:val="center"/>
      <w:outlineLvl w:val="0"/>
    </w:pPr>
    <w:rPr>
      <w:rFonts w:ascii="Times New Roman" w:hAnsi="Times New Roman" w:eastAsia="宋体"/>
      <w:b/>
      <w:bCs/>
      <w:kern w:val="44"/>
      <w:sz w:val="44"/>
      <w:szCs w:val="44"/>
    </w:rPr>
  </w:style>
  <w:style w:type="paragraph" w:styleId="3">
    <w:name w:val="heading 2"/>
    <w:basedOn w:val="1"/>
    <w:next w:val="1"/>
    <w:link w:val="7"/>
    <w:semiHidden/>
    <w:unhideWhenUsed/>
    <w:qFormat/>
    <w:uiPriority w:val="0"/>
    <w:pPr>
      <w:tabs>
        <w:tab w:val="left" w:pos="720"/>
      </w:tabs>
      <w:spacing w:line="560" w:lineRule="exact"/>
      <w:ind w:left="0"/>
      <w:jc w:val="center"/>
      <w:outlineLvl w:val="1"/>
    </w:pPr>
    <w:rPr>
      <w:rFonts w:ascii="宋体" w:hAnsi="宋体" w:eastAsia="仿宋_GB2312" w:cs="Times New Roman"/>
      <w:b/>
      <w:sz w:val="32"/>
      <w:szCs w:val="28"/>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标题 1 Char"/>
    <w:link w:val="2"/>
    <w:qFormat/>
    <w:uiPriority w:val="0"/>
    <w:rPr>
      <w:rFonts w:ascii="Times New Roman" w:hAnsi="Times New Roman" w:eastAsia="宋体"/>
      <w:b/>
      <w:bCs/>
      <w:kern w:val="44"/>
      <w:sz w:val="44"/>
      <w:szCs w:val="44"/>
      <w:lang w:val="en-US" w:eastAsia="zh-CN" w:bidi="ar-SA"/>
    </w:rPr>
  </w:style>
  <w:style w:type="character" w:customStyle="1" w:styleId="7">
    <w:name w:val="标题 2 Char1"/>
    <w:basedOn w:val="5"/>
    <w:link w:val="3"/>
    <w:qFormat/>
    <w:uiPriority w:val="0"/>
    <w:rPr>
      <w:rFonts w:ascii="宋体" w:hAnsi="宋体" w:eastAsia="仿宋_GB2312" w:cs="Times New Roman"/>
      <w:b/>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2023-10-12T08:02:00Z</dcterms:created>
  <dc:creator>123</dc:creator>
  <cp:lastModifiedBy>123</cp:lastModifiedBy>
  <dcterms:modified xsi:type="dcterms:W3CDTF">2023-10-12T08:02:45Z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90639C18E8A0400E89EC1F88672E5E2F_11</vt:lpwstr>
  </property>
</Properties>
</file>