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9AA0A0">
      <w:pPr>
        <w:pStyle w:val="2"/>
        <w:spacing w:before="120" w:after="120" w:line="240" w:lineRule="auto"/>
        <w:jc w:val="center"/>
        <w:rPr>
          <w:rFonts w:ascii="宋体" w:hAnsi="宋体"/>
          <w:color w:val="auto"/>
          <w:kern w:val="2"/>
          <w:sz w:val="32"/>
        </w:rPr>
      </w:pPr>
      <w:r>
        <w:rPr>
          <w:rFonts w:hint="eastAsia" w:ascii="宋体" w:hAnsi="宋体"/>
          <w:color w:val="auto"/>
          <w:kern w:val="2"/>
          <w:sz w:val="32"/>
        </w:rPr>
        <w:t>采购内容及项目要求</w:t>
      </w:r>
    </w:p>
    <w:p w14:paraId="68060BCC">
      <w:pPr>
        <w:spacing w:line="560" w:lineRule="exact"/>
        <w:ind w:firstLine="118" w:firstLineChars="49"/>
        <w:rPr>
          <w:rFonts w:hint="eastAsia" w:ascii="宋体" w:hAnsi="宋体"/>
          <w:b/>
          <w:bCs/>
          <w:color w:val="auto"/>
          <w:sz w:val="24"/>
        </w:rPr>
      </w:pPr>
      <w:r>
        <w:rPr>
          <w:rFonts w:hint="eastAsia" w:ascii="宋体" w:hAnsi="宋体"/>
          <w:b/>
          <w:bCs/>
          <w:color w:val="auto"/>
          <w:sz w:val="24"/>
        </w:rPr>
        <w:t>一、项目概况</w:t>
      </w:r>
    </w:p>
    <w:p w14:paraId="4F705989">
      <w:pPr>
        <w:widowControl/>
        <w:spacing w:line="560" w:lineRule="exact"/>
        <w:ind w:firstLine="480" w:firstLineChars="200"/>
        <w:jc w:val="left"/>
        <w:rPr>
          <w:rFonts w:hint="eastAsia" w:ascii="宋体" w:hAnsi="宋体"/>
          <w:color w:val="auto"/>
          <w:sz w:val="24"/>
          <w:highlight w:val="none"/>
        </w:rPr>
      </w:pPr>
      <w:r>
        <w:rPr>
          <w:rFonts w:hint="eastAsia" w:ascii="宋体" w:hAnsi="宋体" w:cs="宋体"/>
          <w:color w:val="auto"/>
          <w:kern w:val="0"/>
          <w:sz w:val="24"/>
          <w:lang w:val="en-US" w:eastAsia="zh-CN"/>
        </w:rPr>
        <w:t>山东大学济南六个校区和两个园区各相关实验室在教学与科研实验活动中，每年预计产生约300吨实验室危</w:t>
      </w:r>
      <w:r>
        <w:rPr>
          <w:rFonts w:hint="eastAsia" w:ascii="宋体" w:hAnsi="宋体" w:cs="宋体"/>
          <w:color w:val="auto"/>
          <w:kern w:val="0"/>
          <w:sz w:val="24"/>
          <w:highlight w:val="none"/>
          <w:lang w:val="en-US" w:eastAsia="zh-CN"/>
        </w:rPr>
        <w:t>险废物，由于受环保因素的制约、危废处置企业的特殊性。本项目共分为三个包，每包确定一名中标单位，各包兼投不兼中。服务期限为三年，合同采用一年一签的形式，每年服务期满后，采购人在年度预算能够保障的情况下，根据中标人服务质量以及实际情况，自主决定是否与中标人续签下一年度合同。确定中标人后，在合同期限内采购人将委托中标人按照合同约定承担指定校区的实验室危险废物处置工作</w:t>
      </w:r>
      <w:r>
        <w:rPr>
          <w:rFonts w:hint="eastAsia" w:ascii="宋体" w:hAnsi="宋体"/>
          <w:color w:val="auto"/>
          <w:sz w:val="24"/>
          <w:highlight w:val="none"/>
        </w:rPr>
        <w:t>。</w:t>
      </w:r>
    </w:p>
    <w:p w14:paraId="2BC73BAE">
      <w:pPr>
        <w:widowControl/>
        <w:spacing w:line="560" w:lineRule="exact"/>
        <w:jc w:val="left"/>
        <w:rPr>
          <w:rFonts w:hint="eastAsia" w:ascii="宋体" w:hAnsi="宋体" w:eastAsia="宋体" w:cs="宋体"/>
          <w:b/>
          <w:bCs/>
          <w:color w:val="auto"/>
          <w:kern w:val="0"/>
          <w:sz w:val="24"/>
          <w:highlight w:val="none"/>
          <w:lang w:val="en-US" w:eastAsia="zh-CN"/>
        </w:rPr>
      </w:pPr>
      <w:r>
        <w:rPr>
          <w:rFonts w:hint="eastAsia" w:ascii="宋体" w:hAnsi="宋体" w:eastAsia="宋体" w:cs="宋体"/>
          <w:b/>
          <w:bCs/>
          <w:color w:val="auto"/>
          <w:kern w:val="0"/>
          <w:sz w:val="24"/>
          <w:highlight w:val="none"/>
          <w:lang w:val="en-US" w:eastAsia="zh-CN"/>
        </w:rPr>
        <w:t>二、投标报价</w:t>
      </w:r>
    </w:p>
    <w:p w14:paraId="097F81C7">
      <w:pPr>
        <w:widowControl/>
        <w:spacing w:line="560" w:lineRule="exact"/>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highlight w:val="none"/>
          <w:lang w:val="en-US" w:eastAsia="zh-CN"/>
        </w:rPr>
        <w:t>1、按照三类实验室危险废物分别报价，单价包含运输费、处置费、保险费（如有）等 。在价格评分中以总价为标准，暂定处置量为300吨，详</w:t>
      </w:r>
      <w:r>
        <w:rPr>
          <w:rFonts w:hint="eastAsia" w:ascii="宋体" w:hAnsi="宋体" w:eastAsia="宋体" w:cs="宋体"/>
          <w:color w:val="auto"/>
          <w:kern w:val="0"/>
          <w:sz w:val="24"/>
          <w:lang w:val="en-US" w:eastAsia="zh-CN"/>
        </w:rPr>
        <w:t>见下表：</w:t>
      </w:r>
    </w:p>
    <w:p w14:paraId="2FB2EC68">
      <w:pPr>
        <w:widowControl/>
        <w:spacing w:line="560" w:lineRule="exact"/>
        <w:ind w:firstLine="480" w:firstLineChars="200"/>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标段</w:t>
      </w:r>
      <w:r>
        <w:rPr>
          <w:rFonts w:hint="eastAsia" w:ascii="宋体" w:hAnsi="宋体" w:cs="宋体"/>
          <w:color w:val="auto"/>
          <w:kern w:val="0"/>
          <w:sz w:val="24"/>
          <w:highlight w:val="none"/>
          <w:lang w:val="en-US" w:eastAsia="zh-CN"/>
        </w:rPr>
        <w:t>3</w:t>
      </w:r>
      <w:r>
        <w:rPr>
          <w:rFonts w:hint="eastAsia" w:ascii="宋体" w:hAnsi="宋体" w:eastAsia="宋体" w:cs="宋体"/>
          <w:color w:val="auto"/>
          <w:kern w:val="0"/>
          <w:sz w:val="24"/>
          <w:highlight w:val="none"/>
          <w:lang w:val="en-US" w:eastAsia="zh-CN"/>
        </w:rPr>
        <w:t>：</w:t>
      </w:r>
    </w:p>
    <w:tbl>
      <w:tblPr>
        <w:tblStyle w:val="9"/>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1"/>
        <w:gridCol w:w="1964"/>
        <w:gridCol w:w="2268"/>
        <w:gridCol w:w="1276"/>
        <w:gridCol w:w="1134"/>
        <w:gridCol w:w="1524"/>
      </w:tblGrid>
      <w:tr w14:paraId="4377C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121" w:type="dxa"/>
            <w:noWrap w:val="0"/>
            <w:vAlign w:val="center"/>
          </w:tcPr>
          <w:p w14:paraId="102DFF54">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序号</w:t>
            </w:r>
          </w:p>
        </w:tc>
        <w:tc>
          <w:tcPr>
            <w:tcW w:w="1964" w:type="dxa"/>
            <w:noWrap w:val="0"/>
            <w:vAlign w:val="center"/>
          </w:tcPr>
          <w:p w14:paraId="07431E90">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项目名称</w:t>
            </w:r>
          </w:p>
        </w:tc>
        <w:tc>
          <w:tcPr>
            <w:tcW w:w="2268" w:type="dxa"/>
            <w:noWrap w:val="0"/>
            <w:vAlign w:val="center"/>
          </w:tcPr>
          <w:p w14:paraId="76BDF4C2">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代码</w:t>
            </w:r>
          </w:p>
        </w:tc>
        <w:tc>
          <w:tcPr>
            <w:tcW w:w="1276" w:type="dxa"/>
            <w:noWrap w:val="0"/>
            <w:vAlign w:val="center"/>
          </w:tcPr>
          <w:p w14:paraId="41EBA37F">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数量</w:t>
            </w:r>
          </w:p>
          <w:p w14:paraId="026C2FC9">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（吨）</w:t>
            </w:r>
          </w:p>
        </w:tc>
        <w:tc>
          <w:tcPr>
            <w:tcW w:w="1134" w:type="dxa"/>
            <w:noWrap w:val="0"/>
            <w:vAlign w:val="center"/>
          </w:tcPr>
          <w:p w14:paraId="4A4101E9">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单价</w:t>
            </w:r>
          </w:p>
          <w:p w14:paraId="16DB2E21">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（元）</w:t>
            </w:r>
          </w:p>
        </w:tc>
        <w:tc>
          <w:tcPr>
            <w:tcW w:w="1524" w:type="dxa"/>
            <w:noWrap w:val="0"/>
            <w:vAlign w:val="center"/>
          </w:tcPr>
          <w:p w14:paraId="0D1EF18C">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总价</w:t>
            </w:r>
          </w:p>
          <w:p w14:paraId="275EF942">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（元）</w:t>
            </w:r>
          </w:p>
        </w:tc>
      </w:tr>
      <w:tr w14:paraId="339DC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1121" w:type="dxa"/>
            <w:noWrap w:val="0"/>
            <w:vAlign w:val="center"/>
          </w:tcPr>
          <w:p w14:paraId="25712D96">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p>
        </w:tc>
        <w:tc>
          <w:tcPr>
            <w:tcW w:w="1964" w:type="dxa"/>
            <w:noWrap w:val="0"/>
            <w:vAlign w:val="center"/>
          </w:tcPr>
          <w:p w14:paraId="2D8B8754">
            <w:pPr>
              <w:spacing w:line="6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sz w:val="24"/>
                <w:szCs w:val="24"/>
                <w:highlight w:val="none"/>
              </w:rPr>
              <w:t>试剂空瓶</w:t>
            </w:r>
          </w:p>
        </w:tc>
        <w:tc>
          <w:tcPr>
            <w:tcW w:w="2268" w:type="dxa"/>
            <w:noWrap w:val="0"/>
            <w:vAlign w:val="center"/>
          </w:tcPr>
          <w:p w14:paraId="3293DA31">
            <w:pPr>
              <w:spacing w:line="6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sz w:val="24"/>
                <w:szCs w:val="24"/>
                <w:highlight w:val="none"/>
              </w:rPr>
              <w:t>900-041-49</w:t>
            </w:r>
          </w:p>
        </w:tc>
        <w:tc>
          <w:tcPr>
            <w:tcW w:w="1276" w:type="dxa"/>
            <w:noWrap w:val="0"/>
            <w:vAlign w:val="center"/>
          </w:tcPr>
          <w:p w14:paraId="497EB819">
            <w:pPr>
              <w:spacing w:line="60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40</w:t>
            </w:r>
          </w:p>
        </w:tc>
        <w:tc>
          <w:tcPr>
            <w:tcW w:w="1134" w:type="dxa"/>
            <w:noWrap w:val="0"/>
            <w:vAlign w:val="center"/>
          </w:tcPr>
          <w:p w14:paraId="4C6B075A">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szCs w:val="24"/>
                <w:highlight w:val="none"/>
                <w:lang w:val="en-US" w:eastAsia="zh-CN"/>
              </w:rPr>
            </w:pPr>
          </w:p>
        </w:tc>
        <w:tc>
          <w:tcPr>
            <w:tcW w:w="1524" w:type="dxa"/>
            <w:noWrap w:val="0"/>
            <w:vAlign w:val="center"/>
          </w:tcPr>
          <w:p w14:paraId="34290A12">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szCs w:val="24"/>
                <w:highlight w:val="none"/>
                <w:lang w:val="en-US" w:eastAsia="zh-CN"/>
              </w:rPr>
            </w:pPr>
          </w:p>
        </w:tc>
      </w:tr>
      <w:tr w14:paraId="55D0E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1121" w:type="dxa"/>
            <w:noWrap w:val="0"/>
            <w:vAlign w:val="center"/>
          </w:tcPr>
          <w:p w14:paraId="5D740AFE">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p>
        </w:tc>
        <w:tc>
          <w:tcPr>
            <w:tcW w:w="1964" w:type="dxa"/>
            <w:noWrap w:val="0"/>
            <w:vAlign w:val="center"/>
          </w:tcPr>
          <w:p w14:paraId="24B6DDA0">
            <w:pPr>
              <w:spacing w:line="6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sz w:val="24"/>
                <w:szCs w:val="24"/>
                <w:highlight w:val="none"/>
              </w:rPr>
              <w:t>实验废液</w:t>
            </w:r>
          </w:p>
        </w:tc>
        <w:tc>
          <w:tcPr>
            <w:tcW w:w="2268" w:type="dxa"/>
            <w:noWrap w:val="0"/>
            <w:vAlign w:val="top"/>
          </w:tcPr>
          <w:p w14:paraId="10B312A1">
            <w:pPr>
              <w:spacing w:line="6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sz w:val="24"/>
                <w:szCs w:val="24"/>
                <w:highlight w:val="none"/>
              </w:rPr>
              <w:t>900-047-49</w:t>
            </w:r>
          </w:p>
        </w:tc>
        <w:tc>
          <w:tcPr>
            <w:tcW w:w="1276" w:type="dxa"/>
            <w:noWrap w:val="0"/>
            <w:vAlign w:val="center"/>
          </w:tcPr>
          <w:p w14:paraId="3A6683E6">
            <w:pPr>
              <w:spacing w:line="60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55</w:t>
            </w:r>
          </w:p>
        </w:tc>
        <w:tc>
          <w:tcPr>
            <w:tcW w:w="1134" w:type="dxa"/>
            <w:noWrap w:val="0"/>
            <w:vAlign w:val="center"/>
          </w:tcPr>
          <w:p w14:paraId="624B3C3E">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szCs w:val="24"/>
                <w:highlight w:val="none"/>
                <w:lang w:val="en-US" w:eastAsia="zh-CN"/>
              </w:rPr>
            </w:pPr>
          </w:p>
        </w:tc>
        <w:tc>
          <w:tcPr>
            <w:tcW w:w="1524" w:type="dxa"/>
            <w:noWrap w:val="0"/>
            <w:vAlign w:val="center"/>
          </w:tcPr>
          <w:p w14:paraId="67977CF4">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szCs w:val="24"/>
                <w:highlight w:val="none"/>
                <w:lang w:val="en-US" w:eastAsia="zh-CN"/>
              </w:rPr>
            </w:pPr>
          </w:p>
        </w:tc>
      </w:tr>
      <w:tr w14:paraId="1B249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1121" w:type="dxa"/>
            <w:noWrap w:val="0"/>
            <w:vAlign w:val="center"/>
          </w:tcPr>
          <w:p w14:paraId="0650E1AD">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w:t>
            </w:r>
          </w:p>
        </w:tc>
        <w:tc>
          <w:tcPr>
            <w:tcW w:w="1964" w:type="dxa"/>
            <w:noWrap w:val="0"/>
            <w:vAlign w:val="center"/>
          </w:tcPr>
          <w:p w14:paraId="663EAD6A">
            <w:pPr>
              <w:spacing w:line="6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sz w:val="24"/>
                <w:szCs w:val="24"/>
                <w:highlight w:val="none"/>
              </w:rPr>
              <w:t>普通过期试剂</w:t>
            </w:r>
          </w:p>
        </w:tc>
        <w:tc>
          <w:tcPr>
            <w:tcW w:w="2268" w:type="dxa"/>
            <w:noWrap w:val="0"/>
            <w:vAlign w:val="top"/>
          </w:tcPr>
          <w:p w14:paraId="52606F6A">
            <w:pPr>
              <w:spacing w:line="60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sz w:val="24"/>
                <w:szCs w:val="24"/>
                <w:highlight w:val="none"/>
              </w:rPr>
              <w:t>900-999-49</w:t>
            </w:r>
          </w:p>
        </w:tc>
        <w:tc>
          <w:tcPr>
            <w:tcW w:w="1276" w:type="dxa"/>
            <w:noWrap w:val="0"/>
            <w:vAlign w:val="center"/>
          </w:tcPr>
          <w:p w14:paraId="2DF977CB">
            <w:pPr>
              <w:spacing w:line="60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w:t>
            </w:r>
          </w:p>
        </w:tc>
        <w:tc>
          <w:tcPr>
            <w:tcW w:w="1134" w:type="dxa"/>
            <w:noWrap w:val="0"/>
            <w:vAlign w:val="center"/>
          </w:tcPr>
          <w:p w14:paraId="70A43AAC">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szCs w:val="24"/>
                <w:highlight w:val="none"/>
                <w:lang w:val="en-US" w:eastAsia="zh-CN"/>
              </w:rPr>
            </w:pPr>
          </w:p>
        </w:tc>
        <w:tc>
          <w:tcPr>
            <w:tcW w:w="1524" w:type="dxa"/>
            <w:noWrap w:val="0"/>
            <w:vAlign w:val="center"/>
          </w:tcPr>
          <w:p w14:paraId="45A0AF29">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szCs w:val="24"/>
                <w:highlight w:val="none"/>
                <w:lang w:val="en-US" w:eastAsia="zh-CN"/>
              </w:rPr>
            </w:pPr>
          </w:p>
        </w:tc>
      </w:tr>
      <w:tr w14:paraId="78E78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7763" w:type="dxa"/>
            <w:gridSpan w:val="5"/>
            <w:noWrap w:val="0"/>
            <w:vAlign w:val="center"/>
          </w:tcPr>
          <w:p w14:paraId="1BC34F6B">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合    计</w:t>
            </w:r>
          </w:p>
        </w:tc>
        <w:tc>
          <w:tcPr>
            <w:tcW w:w="1524" w:type="dxa"/>
            <w:noWrap w:val="0"/>
            <w:vAlign w:val="center"/>
          </w:tcPr>
          <w:p w14:paraId="063CF49C">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auto"/>
              <w:rPr>
                <w:rFonts w:hint="eastAsia" w:ascii="宋体" w:hAnsi="宋体" w:eastAsia="宋体" w:cs="宋体"/>
                <w:color w:val="auto"/>
                <w:kern w:val="0"/>
                <w:sz w:val="24"/>
                <w:highlight w:val="none"/>
                <w:lang w:val="en-US" w:eastAsia="zh-CN"/>
              </w:rPr>
            </w:pPr>
          </w:p>
        </w:tc>
      </w:tr>
    </w:tbl>
    <w:p w14:paraId="4788551F">
      <w:pPr>
        <w:widowControl/>
        <w:spacing w:line="560" w:lineRule="exact"/>
        <w:ind w:firstLine="480" w:firstLineChars="200"/>
        <w:jc w:val="left"/>
        <w:rPr>
          <w:rFonts w:hint="eastAsia" w:ascii="宋体" w:hAnsi="宋体" w:eastAsia="宋体" w:cs="宋体"/>
          <w:color w:val="auto"/>
          <w:kern w:val="0"/>
          <w:sz w:val="24"/>
          <w:lang w:val="en-US" w:eastAsia="zh-CN"/>
        </w:rPr>
      </w:pPr>
      <w:bookmarkStart w:id="2" w:name="_GoBack"/>
      <w:bookmarkEnd w:id="2"/>
      <w:r>
        <w:rPr>
          <w:rFonts w:hint="eastAsia" w:ascii="宋体" w:hAnsi="宋体" w:eastAsia="宋体" w:cs="宋体"/>
          <w:color w:val="auto"/>
          <w:kern w:val="0"/>
          <w:sz w:val="24"/>
          <w:lang w:val="en-US" w:eastAsia="zh-CN"/>
        </w:rPr>
        <w:t>2、采购人每年产生的实验室危险废物的数量不确定，与中标人签订的委托处置合同中数量为预估量，结算时按本次招标确定的处置单价（处置费、运输费、保险费）和实际转运量（产废单位、处置单位和运输单位三方确认的数量）据实结算。</w:t>
      </w:r>
    </w:p>
    <w:p w14:paraId="216125DD">
      <w:pPr>
        <w:widowControl/>
        <w:spacing w:line="560" w:lineRule="exact"/>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3、采购人不接受任何选择性报价，对每一项内容只允许有一个报价。</w:t>
      </w:r>
    </w:p>
    <w:p w14:paraId="6D875E05">
      <w:pPr>
        <w:widowControl/>
        <w:spacing w:line="560" w:lineRule="exact"/>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4、根据学校危险废物处置特点及学校实际情况，投标人在本采购活动中只能中一个标段（投标人可以参与所有</w:t>
      </w:r>
      <w:r>
        <w:rPr>
          <w:rFonts w:hint="eastAsia" w:ascii="宋体" w:hAnsi="宋体" w:cs="宋体"/>
          <w:color w:val="auto"/>
          <w:kern w:val="0"/>
          <w:sz w:val="24"/>
          <w:lang w:val="en-US" w:eastAsia="zh-CN"/>
        </w:rPr>
        <w:t>三</w:t>
      </w:r>
      <w:r>
        <w:rPr>
          <w:rFonts w:hint="eastAsia" w:ascii="宋体" w:hAnsi="宋体" w:eastAsia="宋体" w:cs="宋体"/>
          <w:color w:val="auto"/>
          <w:kern w:val="0"/>
          <w:sz w:val="24"/>
          <w:lang w:val="en-US" w:eastAsia="zh-CN"/>
        </w:rPr>
        <w:t>个标段的投标，但只允许中一个标段）；在有效投标人数量满足法定条件的情形下，若中标人拒绝签订合同，或在合同履行过程中被相关行政部门处罚，或未经采购人同意不履行合同义务和责任的，采购人可以按照评审报告推荐的中标候选人名单排序，确定下一候选人为中标人。</w:t>
      </w:r>
    </w:p>
    <w:p w14:paraId="03876A65">
      <w:pPr>
        <w:widowControl/>
        <w:spacing w:line="560" w:lineRule="exact"/>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三、危废处置服务公司的主要工作内容及要求</w:t>
      </w:r>
    </w:p>
    <w:p w14:paraId="524F3E43">
      <w:pPr>
        <w:widowControl/>
        <w:spacing w:line="560" w:lineRule="exact"/>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1.按《中华人民共和国民法典》《中华人民共和国环境保护法》《中华人民共和国固体废物污染环境防治法》《中华人民共和国政府采购法》《危险废物转移联单管理办法》《危险废物经营许可证管理办法》《山东省实施&lt;中华人民共和国固体废物污染环境防治法&gt;办法》等文件相关规定转运采购人产生的实验室危险废物。</w:t>
      </w:r>
    </w:p>
    <w:p w14:paraId="568FFF20">
      <w:pPr>
        <w:widowControl/>
        <w:spacing w:line="560" w:lineRule="exact"/>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highlight w:val="none"/>
          <w:lang w:val="en-US" w:eastAsia="zh-CN"/>
        </w:rPr>
        <w:t>2.</w:t>
      </w:r>
      <w:r>
        <w:rPr>
          <w:rFonts w:hint="eastAsia" w:ascii="宋体" w:hAnsi="宋体" w:cs="宋体"/>
          <w:color w:val="auto"/>
          <w:kern w:val="0"/>
          <w:sz w:val="24"/>
          <w:highlight w:val="none"/>
          <w:lang w:val="en-US" w:eastAsia="zh-CN"/>
        </w:rPr>
        <w:t>服务期限为三年，合同采用一年一签的形式，每年服务期满后，采购人在年度预算能够保障的情况下，根据中标人服务质量以及实际情况，自主决定是否与中标人续签下一年度合同。</w:t>
      </w:r>
      <w:r>
        <w:rPr>
          <w:rFonts w:hint="eastAsia" w:ascii="宋体" w:hAnsi="宋体" w:eastAsia="宋体" w:cs="宋体"/>
          <w:color w:val="auto"/>
          <w:kern w:val="0"/>
          <w:sz w:val="24"/>
          <w:highlight w:val="none"/>
          <w:lang w:val="en-US" w:eastAsia="zh-CN"/>
        </w:rPr>
        <w:t>如中标单位在服务期内出现资质被吊销时，学校有权立即合同。在服务期内危废处置服务</w:t>
      </w:r>
      <w:r>
        <w:rPr>
          <w:rFonts w:hint="eastAsia" w:ascii="宋体" w:hAnsi="宋体" w:eastAsia="宋体" w:cs="宋体"/>
          <w:color w:val="auto"/>
          <w:kern w:val="0"/>
          <w:sz w:val="24"/>
          <w:lang w:val="en-US" w:eastAsia="zh-CN"/>
        </w:rPr>
        <w:t>公司无法满足学校要求，学校有权随时终止合同。</w:t>
      </w:r>
    </w:p>
    <w:p w14:paraId="06EC17DF">
      <w:pPr>
        <w:widowControl/>
        <w:spacing w:line="560" w:lineRule="exact"/>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3.协助采购人办理相关转运手续；遵守山东大学的安全规章制度和校内秩序要求。</w:t>
      </w:r>
    </w:p>
    <w:p w14:paraId="0BDE065C">
      <w:pPr>
        <w:widowControl/>
        <w:spacing w:line="560" w:lineRule="exact"/>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4.保障对采购人产生的危险废物及时清运，对采购人提出的转运处置需求优先安排转运和处置，不得以各种非正当理由推脱。</w:t>
      </w:r>
    </w:p>
    <w:p w14:paraId="31F5C904">
      <w:pPr>
        <w:widowControl/>
        <w:spacing w:line="560" w:lineRule="exact"/>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5.危废处置服务公司无专用运输车辆的中标企业，由处置企业负责联系物流公司合作并签订运输协议，学校只负责与中标处置企业签订委托处置合同。</w:t>
      </w:r>
    </w:p>
    <w:p w14:paraId="7E33F064">
      <w:pPr>
        <w:widowControl/>
        <w:spacing w:line="560" w:lineRule="exact"/>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6.中标危废处置服务公司应当遵守国家有关安全、劳动保护等方面的规定，并根据自身实际情况和项目履约实际情况，购买涉及履约风险的对应保险，确保此项目工作内容安全保障。</w:t>
      </w:r>
    </w:p>
    <w:p w14:paraId="6A882935">
      <w:pPr>
        <w:widowControl/>
        <w:spacing w:line="560" w:lineRule="exact"/>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7.中标危废处置服务公司承担一切与本项目实验室危险废物收集、转移、处理与处置过程中产生的安全事故、环境污染事故、交通事故等责任和后果。</w:t>
      </w:r>
    </w:p>
    <w:p w14:paraId="27F9C334">
      <w:pPr>
        <w:widowControl/>
        <w:spacing w:line="560" w:lineRule="exact"/>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8、按照济南市交警大队通知：“自2025年7月3日起纬二路、英雄山路、玉函小区南路、旅游路（舜耕路至奥体东路）、奥体东路、经十路（奥体东路至奥体中路）、奥体中路、八涧堡北路、祝舜路、七里堡路、黄台南路、历山路、明湖东路、明湖北路、明湖西路合围区域”内的危化品（不含剧毒）运输车，禁止白天通行，夜间通行时间22点至次日6点”的要求，山大中心校区、趵突泉校区、千佛山校区和软件园校区都在管控范围内，为便于学校危险废物转移清运车辆道路通行证的办理，建议危险废物处置企业提供相对固定的危险废物转移清运车辆。</w:t>
      </w:r>
    </w:p>
    <w:p w14:paraId="3DDC4E22">
      <w:pPr>
        <w:widowControl/>
        <w:spacing w:line="560" w:lineRule="exact"/>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9、因我单位产生的危险废物主要为实验废液、试剂空瓶和瓶装过期试剂，所包含的主要成分比较复杂、种类繁多，相比其他单位的危险废物处置难度较大，成本高。</w:t>
      </w:r>
    </w:p>
    <w:p w14:paraId="7122DF02">
      <w:pPr>
        <w:widowControl/>
        <w:spacing w:line="560" w:lineRule="exact"/>
        <w:ind w:firstLine="480" w:firstLineChars="200"/>
        <w:jc w:val="left"/>
        <w:rPr>
          <w:rFonts w:hint="eastAsia" w:ascii="宋体" w:hAnsi="宋体" w:eastAsia="宋体" w:cs="宋体"/>
          <w:color w:val="auto"/>
          <w:kern w:val="0"/>
          <w:sz w:val="24"/>
          <w:lang w:val="en-US" w:eastAsia="zh-CN"/>
        </w:rPr>
      </w:pPr>
      <w:bookmarkStart w:id="0" w:name="_Toc486842354"/>
      <w:bookmarkStart w:id="1" w:name="_Toc125217255"/>
      <w:r>
        <w:rPr>
          <w:rFonts w:hint="eastAsia" w:ascii="宋体" w:hAnsi="宋体" w:eastAsia="宋体" w:cs="宋体"/>
          <w:color w:val="auto"/>
          <w:kern w:val="0"/>
          <w:sz w:val="24"/>
          <w:lang w:val="en-US" w:eastAsia="zh-CN"/>
        </w:rPr>
        <w:t>四、其他服务</w:t>
      </w:r>
      <w:bookmarkEnd w:id="0"/>
      <w:bookmarkEnd w:id="1"/>
    </w:p>
    <w:p w14:paraId="7051B22F">
      <w:pPr>
        <w:widowControl/>
        <w:spacing w:line="560" w:lineRule="exact"/>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除采购人提出的各项服务要求外，投标人可根据自身业务的开展情况说明可提供的其他增值服务。</w:t>
      </w:r>
    </w:p>
    <w:p w14:paraId="11748DE6">
      <w:pPr>
        <w:rPr>
          <w:rFonts w:hint="eastAsia" w:ascii="仿宋" w:hAnsi="仿宋" w:eastAsia="仿宋" w:cs="仿宋"/>
          <w:b/>
          <w:sz w:val="28"/>
          <w:szCs w:val="28"/>
        </w:rPr>
      </w:pPr>
    </w:p>
    <w:p w14:paraId="5E61558A">
      <w:pPr>
        <w:rPr>
          <w:rFonts w:hint="eastAsia" w:ascii="仿宋" w:hAnsi="仿宋" w:eastAsia="仿宋" w:cs="仿宋"/>
          <w:b/>
          <w:sz w:val="28"/>
          <w:szCs w:val="28"/>
        </w:rPr>
      </w:pPr>
      <w:r>
        <w:rPr>
          <w:rFonts w:hint="eastAsia" w:ascii="仿宋" w:hAnsi="仿宋" w:eastAsia="仿宋" w:cs="仿宋"/>
          <w:b/>
          <w:sz w:val="28"/>
          <w:szCs w:val="28"/>
        </w:rPr>
        <w:br w:type="page"/>
      </w:r>
    </w:p>
    <w:p w14:paraId="1B42BBF7">
      <w:pPr>
        <w:spacing w:line="460" w:lineRule="exact"/>
        <w:jc w:val="center"/>
        <w:rPr>
          <w:rFonts w:hint="eastAsia" w:ascii="宋体" w:hAnsi="宋体" w:eastAsia="宋体" w:cs="宋体"/>
          <w:b/>
          <w:sz w:val="28"/>
          <w:szCs w:val="28"/>
        </w:rPr>
      </w:pPr>
      <w:r>
        <w:rPr>
          <w:rFonts w:hint="eastAsia" w:ascii="宋体" w:hAnsi="宋体" w:eastAsia="宋体" w:cs="宋体"/>
          <w:b/>
          <w:sz w:val="28"/>
          <w:szCs w:val="28"/>
        </w:rPr>
        <w:t>山东大学2026-2028年度实验室危险废物处置服务项目</w:t>
      </w:r>
    </w:p>
    <w:p w14:paraId="13D990C8">
      <w:pPr>
        <w:spacing w:line="460" w:lineRule="exact"/>
        <w:jc w:val="center"/>
        <w:rPr>
          <w:rFonts w:hint="eastAsia" w:ascii="宋体" w:hAnsi="宋体" w:eastAsia="宋体" w:cs="宋体"/>
          <w:b/>
          <w:bCs/>
          <w:sz w:val="24"/>
        </w:rPr>
      </w:pPr>
      <w:r>
        <w:rPr>
          <w:rFonts w:hint="eastAsia" w:ascii="宋体" w:hAnsi="宋体" w:eastAsia="宋体" w:cs="宋体"/>
          <w:b/>
          <w:sz w:val="28"/>
          <w:szCs w:val="28"/>
        </w:rPr>
        <w:t>技术条款响应一览表     （标段</w:t>
      </w:r>
      <w:r>
        <w:rPr>
          <w:rFonts w:hint="eastAsia" w:ascii="宋体" w:hAnsi="宋体" w:eastAsia="宋体" w:cs="宋体"/>
          <w:b/>
          <w:sz w:val="28"/>
          <w:szCs w:val="28"/>
          <w:u w:val="single"/>
        </w:rPr>
        <w:t xml:space="preserve"> </w:t>
      </w:r>
      <w:r>
        <w:rPr>
          <w:rFonts w:hint="eastAsia" w:ascii="宋体" w:hAnsi="宋体" w:cs="宋体"/>
          <w:b/>
          <w:sz w:val="28"/>
          <w:szCs w:val="28"/>
          <w:u w:val="single"/>
          <w:lang w:val="en-US" w:eastAsia="zh-CN"/>
        </w:rPr>
        <w:t xml:space="preserve">  </w:t>
      </w:r>
      <w:r>
        <w:rPr>
          <w:rFonts w:hint="eastAsia" w:ascii="宋体" w:hAnsi="宋体" w:eastAsia="宋体" w:cs="宋体"/>
          <w:b/>
          <w:sz w:val="28"/>
          <w:szCs w:val="28"/>
        </w:rPr>
        <w:t>）</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1"/>
        <w:gridCol w:w="4498"/>
        <w:gridCol w:w="2533"/>
      </w:tblGrid>
      <w:tr w14:paraId="281BA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1521" w:type="dxa"/>
            <w:vAlign w:val="center"/>
          </w:tcPr>
          <w:p w14:paraId="68217F20">
            <w:pPr>
              <w:spacing w:line="288" w:lineRule="auto"/>
              <w:jc w:val="center"/>
              <w:rPr>
                <w:rFonts w:hint="eastAsia" w:ascii="宋体" w:hAnsi="宋体" w:eastAsia="宋体" w:cs="宋体"/>
                <w:b/>
                <w:bCs/>
                <w:color w:val="000000"/>
                <w:sz w:val="24"/>
              </w:rPr>
            </w:pPr>
            <w:r>
              <w:rPr>
                <w:rFonts w:hint="eastAsia" w:ascii="宋体" w:hAnsi="宋体" w:eastAsia="宋体" w:cs="宋体"/>
                <w:b/>
                <w:bCs/>
                <w:color w:val="000000"/>
                <w:sz w:val="24"/>
              </w:rPr>
              <w:t>序号</w:t>
            </w:r>
          </w:p>
        </w:tc>
        <w:tc>
          <w:tcPr>
            <w:tcW w:w="4606" w:type="dxa"/>
            <w:vAlign w:val="center"/>
          </w:tcPr>
          <w:p w14:paraId="24FA31DC">
            <w:pPr>
              <w:spacing w:line="288" w:lineRule="auto"/>
              <w:jc w:val="center"/>
              <w:rPr>
                <w:rFonts w:hint="eastAsia" w:ascii="宋体" w:hAnsi="宋体" w:eastAsia="宋体" w:cs="宋体"/>
                <w:b/>
                <w:bCs/>
                <w:color w:val="000000"/>
                <w:sz w:val="24"/>
              </w:rPr>
            </w:pPr>
            <w:r>
              <w:rPr>
                <w:rFonts w:hint="eastAsia" w:ascii="宋体" w:hAnsi="宋体" w:eastAsia="宋体" w:cs="宋体"/>
                <w:b/>
                <w:bCs/>
                <w:color w:val="000000"/>
                <w:sz w:val="24"/>
              </w:rPr>
              <w:t>原条款描述</w:t>
            </w:r>
          </w:p>
        </w:tc>
        <w:tc>
          <w:tcPr>
            <w:tcW w:w="2592" w:type="dxa"/>
            <w:vAlign w:val="center"/>
          </w:tcPr>
          <w:p w14:paraId="108B8FDE">
            <w:pPr>
              <w:spacing w:line="288" w:lineRule="auto"/>
              <w:jc w:val="center"/>
              <w:rPr>
                <w:rFonts w:hint="eastAsia" w:ascii="宋体" w:hAnsi="宋体" w:eastAsia="宋体" w:cs="宋体"/>
                <w:b/>
                <w:bCs/>
                <w:color w:val="000000"/>
                <w:sz w:val="24"/>
              </w:rPr>
            </w:pPr>
            <w:r>
              <w:rPr>
                <w:rFonts w:hint="eastAsia" w:ascii="宋体" w:hAnsi="宋体" w:eastAsia="宋体" w:cs="宋体"/>
                <w:b/>
                <w:bCs/>
                <w:color w:val="000000"/>
                <w:sz w:val="24"/>
              </w:rPr>
              <w:t>投标人响应描述</w:t>
            </w:r>
          </w:p>
        </w:tc>
      </w:tr>
      <w:tr w14:paraId="77752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1521" w:type="dxa"/>
            <w:vAlign w:val="center"/>
          </w:tcPr>
          <w:p w14:paraId="62CE9AF4">
            <w:pPr>
              <w:spacing w:line="288" w:lineRule="auto"/>
              <w:jc w:val="center"/>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1</w:t>
            </w:r>
          </w:p>
        </w:tc>
        <w:tc>
          <w:tcPr>
            <w:tcW w:w="4606" w:type="dxa"/>
            <w:vAlign w:val="center"/>
          </w:tcPr>
          <w:p w14:paraId="06FE53F1">
            <w:pPr>
              <w:spacing w:line="288" w:lineRule="auto"/>
              <w:jc w:val="center"/>
              <w:rPr>
                <w:rFonts w:hint="eastAsia" w:ascii="宋体" w:hAnsi="宋体" w:eastAsia="宋体" w:cs="宋体"/>
                <w:sz w:val="24"/>
              </w:rPr>
            </w:pPr>
            <w:r>
              <w:rPr>
                <w:rFonts w:hint="eastAsia" w:ascii="宋体" w:hAnsi="宋体" w:eastAsia="宋体" w:cs="宋体"/>
                <w:sz w:val="24"/>
              </w:rPr>
              <w:t>中标人根据用户单位的要求，提供必要的技术支持。</w:t>
            </w:r>
          </w:p>
        </w:tc>
        <w:tc>
          <w:tcPr>
            <w:tcW w:w="2592" w:type="dxa"/>
            <w:vAlign w:val="center"/>
          </w:tcPr>
          <w:p w14:paraId="2C6EE8B0">
            <w:pPr>
              <w:spacing w:line="288" w:lineRule="auto"/>
              <w:ind w:firstLine="480" w:firstLineChars="200"/>
              <w:jc w:val="center"/>
              <w:rPr>
                <w:rFonts w:hint="eastAsia" w:ascii="宋体" w:hAnsi="宋体" w:eastAsia="宋体" w:cs="宋体"/>
                <w:color w:val="000000"/>
                <w:sz w:val="24"/>
              </w:rPr>
            </w:pPr>
          </w:p>
        </w:tc>
      </w:tr>
      <w:tr w14:paraId="07F22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8" w:hRule="atLeast"/>
        </w:trPr>
        <w:tc>
          <w:tcPr>
            <w:tcW w:w="1521" w:type="dxa"/>
            <w:vAlign w:val="center"/>
          </w:tcPr>
          <w:p w14:paraId="40D08A8A">
            <w:pPr>
              <w:spacing w:line="288" w:lineRule="auto"/>
              <w:jc w:val="center"/>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2</w:t>
            </w:r>
          </w:p>
        </w:tc>
        <w:tc>
          <w:tcPr>
            <w:tcW w:w="4606" w:type="dxa"/>
            <w:vAlign w:val="center"/>
          </w:tcPr>
          <w:p w14:paraId="46C3F7B9">
            <w:pPr>
              <w:spacing w:line="288" w:lineRule="auto"/>
              <w:jc w:val="center"/>
              <w:rPr>
                <w:rFonts w:hint="eastAsia" w:ascii="宋体" w:hAnsi="宋体" w:eastAsia="宋体" w:cs="宋体"/>
                <w:sz w:val="24"/>
              </w:rPr>
            </w:pPr>
            <w:r>
              <w:rPr>
                <w:rFonts w:hint="eastAsia" w:ascii="宋体" w:hAnsi="宋体" w:eastAsia="宋体" w:cs="宋体"/>
                <w:sz w:val="24"/>
              </w:rPr>
              <w:t>用户在提前5个工作日以书面或电话形式向中标人提出清运请求，中标人在两个工作日内给予答复并确定清运日期。</w:t>
            </w:r>
          </w:p>
        </w:tc>
        <w:tc>
          <w:tcPr>
            <w:tcW w:w="2592" w:type="dxa"/>
            <w:vAlign w:val="center"/>
          </w:tcPr>
          <w:p w14:paraId="7C9AEC05">
            <w:pPr>
              <w:spacing w:line="288" w:lineRule="auto"/>
              <w:ind w:firstLine="480" w:firstLineChars="200"/>
              <w:jc w:val="center"/>
              <w:rPr>
                <w:rFonts w:hint="eastAsia" w:ascii="宋体" w:hAnsi="宋体" w:eastAsia="宋体" w:cs="宋体"/>
                <w:color w:val="000000"/>
                <w:sz w:val="24"/>
              </w:rPr>
            </w:pPr>
          </w:p>
        </w:tc>
      </w:tr>
      <w:tr w14:paraId="5CA7E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1521" w:type="dxa"/>
            <w:vAlign w:val="center"/>
          </w:tcPr>
          <w:p w14:paraId="7104E6B9">
            <w:pPr>
              <w:spacing w:line="288" w:lineRule="auto"/>
              <w:jc w:val="center"/>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3</w:t>
            </w:r>
          </w:p>
        </w:tc>
        <w:tc>
          <w:tcPr>
            <w:tcW w:w="4606" w:type="dxa"/>
            <w:vAlign w:val="center"/>
          </w:tcPr>
          <w:p w14:paraId="4650E8F3">
            <w:pPr>
              <w:spacing w:line="288" w:lineRule="auto"/>
              <w:jc w:val="center"/>
              <w:rPr>
                <w:rFonts w:hint="eastAsia" w:ascii="宋体" w:hAnsi="宋体" w:eastAsia="宋体" w:cs="宋体"/>
                <w:sz w:val="24"/>
              </w:rPr>
            </w:pPr>
            <w:r>
              <w:rPr>
                <w:rFonts w:hint="eastAsia" w:ascii="宋体" w:hAnsi="宋体" w:eastAsia="宋体" w:cs="宋体"/>
                <w:sz w:val="24"/>
              </w:rPr>
              <w:t>招标方不负责装车，中标方负责一切装卸事宜。</w:t>
            </w:r>
          </w:p>
        </w:tc>
        <w:tc>
          <w:tcPr>
            <w:tcW w:w="2592" w:type="dxa"/>
            <w:vAlign w:val="center"/>
          </w:tcPr>
          <w:p w14:paraId="44B3BAA3">
            <w:pPr>
              <w:spacing w:line="288" w:lineRule="auto"/>
              <w:ind w:firstLine="480" w:firstLineChars="200"/>
              <w:jc w:val="center"/>
              <w:rPr>
                <w:rFonts w:hint="eastAsia" w:ascii="宋体" w:hAnsi="宋体" w:eastAsia="宋体" w:cs="宋体"/>
                <w:color w:val="000000"/>
                <w:sz w:val="24"/>
              </w:rPr>
            </w:pPr>
          </w:p>
        </w:tc>
      </w:tr>
      <w:tr w14:paraId="60064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1521" w:type="dxa"/>
            <w:vAlign w:val="center"/>
          </w:tcPr>
          <w:p w14:paraId="2457536E">
            <w:pPr>
              <w:spacing w:line="288" w:lineRule="auto"/>
              <w:jc w:val="center"/>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4</w:t>
            </w:r>
          </w:p>
        </w:tc>
        <w:tc>
          <w:tcPr>
            <w:tcW w:w="4606" w:type="dxa"/>
            <w:vAlign w:val="center"/>
          </w:tcPr>
          <w:p w14:paraId="230223A2">
            <w:pPr>
              <w:spacing w:line="288" w:lineRule="auto"/>
              <w:jc w:val="center"/>
              <w:rPr>
                <w:rFonts w:hint="eastAsia" w:ascii="宋体" w:hAnsi="宋体" w:eastAsia="宋体" w:cs="宋体"/>
                <w:sz w:val="24"/>
              </w:rPr>
            </w:pPr>
            <w:r>
              <w:rPr>
                <w:rFonts w:hint="eastAsia" w:ascii="宋体" w:hAnsi="宋体" w:eastAsia="宋体" w:cs="宋体"/>
                <w:sz w:val="24"/>
              </w:rPr>
              <w:t>计量由双方协商，任何一方可提供地磅进行称重计量并确认。</w:t>
            </w:r>
          </w:p>
        </w:tc>
        <w:tc>
          <w:tcPr>
            <w:tcW w:w="2592" w:type="dxa"/>
            <w:vAlign w:val="center"/>
          </w:tcPr>
          <w:p w14:paraId="036CD33E">
            <w:pPr>
              <w:spacing w:line="288" w:lineRule="auto"/>
              <w:ind w:firstLine="480" w:firstLineChars="200"/>
              <w:jc w:val="center"/>
              <w:rPr>
                <w:rFonts w:hint="eastAsia" w:ascii="宋体" w:hAnsi="宋体" w:eastAsia="宋体" w:cs="宋体"/>
                <w:color w:val="000000"/>
                <w:sz w:val="24"/>
              </w:rPr>
            </w:pPr>
          </w:p>
        </w:tc>
      </w:tr>
      <w:tr w14:paraId="50CBF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1521" w:type="dxa"/>
            <w:vAlign w:val="center"/>
          </w:tcPr>
          <w:p w14:paraId="77866108">
            <w:pPr>
              <w:spacing w:line="288" w:lineRule="auto"/>
              <w:jc w:val="center"/>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5</w:t>
            </w:r>
          </w:p>
        </w:tc>
        <w:tc>
          <w:tcPr>
            <w:tcW w:w="4606" w:type="dxa"/>
            <w:vAlign w:val="center"/>
          </w:tcPr>
          <w:p w14:paraId="51B24AC8">
            <w:pPr>
              <w:spacing w:line="288" w:lineRule="auto"/>
              <w:jc w:val="center"/>
              <w:rPr>
                <w:rFonts w:hint="eastAsia" w:ascii="宋体" w:hAnsi="宋体" w:eastAsia="宋体" w:cs="宋体"/>
                <w:sz w:val="24"/>
              </w:rPr>
            </w:pPr>
            <w:r>
              <w:rPr>
                <w:rFonts w:hint="eastAsia" w:ascii="宋体" w:hAnsi="宋体" w:eastAsia="宋体" w:cs="宋体"/>
                <w:sz w:val="24"/>
              </w:rPr>
              <w:t>按三方确认的危险废物转移联单数量据实结算。</w:t>
            </w:r>
          </w:p>
        </w:tc>
        <w:tc>
          <w:tcPr>
            <w:tcW w:w="2592" w:type="dxa"/>
            <w:vAlign w:val="center"/>
          </w:tcPr>
          <w:p w14:paraId="0DC13CA4">
            <w:pPr>
              <w:spacing w:line="288" w:lineRule="auto"/>
              <w:ind w:firstLine="480" w:firstLineChars="200"/>
              <w:jc w:val="center"/>
              <w:rPr>
                <w:rFonts w:hint="eastAsia" w:ascii="宋体" w:hAnsi="宋体" w:eastAsia="宋体" w:cs="宋体"/>
                <w:color w:val="000000"/>
                <w:sz w:val="24"/>
              </w:rPr>
            </w:pPr>
          </w:p>
        </w:tc>
      </w:tr>
      <w:tr w14:paraId="1BAE9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1521" w:type="dxa"/>
            <w:vAlign w:val="center"/>
          </w:tcPr>
          <w:p w14:paraId="320053B2">
            <w:pPr>
              <w:spacing w:line="288" w:lineRule="auto"/>
              <w:jc w:val="center"/>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6</w:t>
            </w:r>
          </w:p>
        </w:tc>
        <w:tc>
          <w:tcPr>
            <w:tcW w:w="4606" w:type="dxa"/>
            <w:vAlign w:val="center"/>
          </w:tcPr>
          <w:p w14:paraId="44FEBAA9">
            <w:pPr>
              <w:spacing w:line="288" w:lineRule="auto"/>
              <w:jc w:val="center"/>
              <w:rPr>
                <w:rFonts w:hint="eastAsia" w:ascii="宋体" w:hAnsi="宋体" w:eastAsia="宋体" w:cs="宋体"/>
                <w:sz w:val="24"/>
              </w:rPr>
            </w:pPr>
            <w:r>
              <w:rPr>
                <w:rFonts w:hint="eastAsia" w:ascii="宋体" w:hAnsi="宋体" w:eastAsia="宋体" w:cs="宋体"/>
                <w:sz w:val="24"/>
              </w:rPr>
              <w:t>提供相对固定的危险废物转运车辆（注明车牌号）</w:t>
            </w:r>
          </w:p>
        </w:tc>
        <w:tc>
          <w:tcPr>
            <w:tcW w:w="2592" w:type="dxa"/>
            <w:vAlign w:val="center"/>
          </w:tcPr>
          <w:p w14:paraId="7F16BCCC">
            <w:pPr>
              <w:spacing w:line="288" w:lineRule="auto"/>
              <w:ind w:firstLine="480" w:firstLineChars="200"/>
              <w:jc w:val="center"/>
              <w:rPr>
                <w:rFonts w:hint="eastAsia" w:ascii="宋体" w:hAnsi="宋体" w:eastAsia="宋体" w:cs="宋体"/>
                <w:color w:val="000000"/>
                <w:sz w:val="24"/>
              </w:rPr>
            </w:pPr>
          </w:p>
        </w:tc>
      </w:tr>
      <w:tr w14:paraId="57873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trPr>
        <w:tc>
          <w:tcPr>
            <w:tcW w:w="1521" w:type="dxa"/>
            <w:vAlign w:val="center"/>
          </w:tcPr>
          <w:p w14:paraId="190FE0E2">
            <w:pPr>
              <w:spacing w:line="288" w:lineRule="auto"/>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7</w:t>
            </w:r>
          </w:p>
        </w:tc>
        <w:tc>
          <w:tcPr>
            <w:tcW w:w="4606" w:type="dxa"/>
            <w:vAlign w:val="center"/>
          </w:tcPr>
          <w:p w14:paraId="29771055">
            <w:pPr>
              <w:spacing w:line="288" w:lineRule="auto"/>
              <w:jc w:val="center"/>
              <w:rPr>
                <w:rFonts w:hint="eastAsia" w:ascii="宋体" w:hAnsi="宋体" w:eastAsia="宋体" w:cs="宋体"/>
                <w:sz w:val="24"/>
                <w:lang w:val="en-US" w:eastAsia="zh-CN"/>
              </w:rPr>
            </w:pPr>
            <w:r>
              <w:rPr>
                <w:rFonts w:hint="eastAsia" w:ascii="宋体" w:hAnsi="宋体" w:eastAsia="宋体" w:cs="宋体"/>
                <w:sz w:val="24"/>
                <w:lang w:val="en-US" w:eastAsia="zh-CN"/>
              </w:rPr>
              <w:t>中标单位在搬运、清运及运输过程中出现的任何安全问题均由中标单位承担。</w:t>
            </w:r>
          </w:p>
        </w:tc>
        <w:tc>
          <w:tcPr>
            <w:tcW w:w="2592" w:type="dxa"/>
            <w:vAlign w:val="center"/>
          </w:tcPr>
          <w:p w14:paraId="78966D36">
            <w:pPr>
              <w:spacing w:line="288" w:lineRule="auto"/>
              <w:ind w:firstLine="480" w:firstLineChars="200"/>
              <w:jc w:val="center"/>
              <w:rPr>
                <w:rFonts w:hint="eastAsia" w:ascii="宋体" w:hAnsi="宋体" w:eastAsia="宋体" w:cs="宋体"/>
                <w:color w:val="000000"/>
                <w:sz w:val="24"/>
              </w:rPr>
            </w:pPr>
          </w:p>
        </w:tc>
      </w:tr>
    </w:tbl>
    <w:p w14:paraId="5EBB7844">
      <w:pPr>
        <w:rPr>
          <w:rFonts w:hint="eastAsia" w:ascii="宋体" w:hAnsi="宋体"/>
          <w:b/>
          <w:bCs/>
          <w:sz w:val="32"/>
          <w:szCs w:val="32"/>
        </w:rPr>
      </w:pPr>
      <w:r>
        <w:rPr>
          <w:rFonts w:hint="eastAsia" w:ascii="宋体" w:hAnsi="宋体"/>
          <w:b/>
          <w:bCs/>
          <w:sz w:val="32"/>
          <w:szCs w:val="32"/>
        </w:rPr>
        <w:br w:type="page"/>
      </w:r>
    </w:p>
    <w:p w14:paraId="73543FEC">
      <w:pPr>
        <w:jc w:val="center"/>
        <w:rPr>
          <w:rFonts w:ascii="宋体" w:hAnsi="宋体"/>
          <w:b/>
          <w:bCs/>
          <w:sz w:val="32"/>
          <w:szCs w:val="32"/>
        </w:rPr>
      </w:pPr>
      <w:r>
        <w:rPr>
          <w:rFonts w:hint="eastAsia" w:ascii="宋体" w:hAnsi="宋体"/>
          <w:b/>
          <w:bCs/>
          <w:sz w:val="32"/>
          <w:szCs w:val="32"/>
        </w:rPr>
        <w:t>山东大学采购商务条款响应一览表</w:t>
      </w:r>
    </w:p>
    <w:p w14:paraId="78220235">
      <w:pPr>
        <w:rPr>
          <w:b/>
          <w:bCs/>
          <w:sz w:val="32"/>
          <w:szCs w:val="32"/>
        </w:rPr>
      </w:pPr>
      <w:r>
        <w:rPr>
          <w:b/>
          <w:bCs/>
          <w:sz w:val="32"/>
          <w:szCs w:val="32"/>
        </w:rPr>
        <w:t xml:space="preserve"> </w:t>
      </w:r>
    </w:p>
    <w:tbl>
      <w:tblPr>
        <w:tblStyle w:val="9"/>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125"/>
        <w:gridCol w:w="1363"/>
        <w:gridCol w:w="3957"/>
        <w:gridCol w:w="1969"/>
      </w:tblGrid>
      <w:tr w14:paraId="0B71D7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672" w:type="dxa"/>
            <w:tcBorders>
              <w:top w:val="single" w:color="auto" w:sz="4" w:space="0"/>
              <w:left w:val="single" w:color="auto" w:sz="4" w:space="0"/>
              <w:bottom w:val="single" w:color="auto" w:sz="4" w:space="0"/>
              <w:right w:val="single" w:color="auto" w:sz="4" w:space="0"/>
            </w:tcBorders>
            <w:vAlign w:val="center"/>
          </w:tcPr>
          <w:p w14:paraId="216C520F">
            <w:pPr>
              <w:jc w:val="center"/>
              <w:rPr>
                <w:b/>
                <w:bCs/>
                <w:sz w:val="28"/>
                <w:szCs w:val="28"/>
                <w:highlight w:val="none"/>
              </w:rPr>
            </w:pPr>
            <w:r>
              <w:rPr>
                <w:rFonts w:hint="eastAsia" w:ascii="宋体" w:hAnsi="宋体"/>
                <w:b/>
                <w:bCs/>
                <w:sz w:val="28"/>
                <w:szCs w:val="28"/>
                <w:highlight w:val="none"/>
              </w:rPr>
              <w:t>项目序号</w:t>
            </w:r>
          </w:p>
        </w:tc>
        <w:tc>
          <w:tcPr>
            <w:tcW w:w="2117" w:type="dxa"/>
            <w:tcBorders>
              <w:top w:val="single" w:color="auto" w:sz="4" w:space="0"/>
              <w:left w:val="nil"/>
              <w:bottom w:val="single" w:color="auto" w:sz="4" w:space="0"/>
              <w:right w:val="single" w:color="auto" w:sz="4" w:space="0"/>
            </w:tcBorders>
            <w:vAlign w:val="center"/>
          </w:tcPr>
          <w:p w14:paraId="633CEBC6">
            <w:pPr>
              <w:jc w:val="center"/>
              <w:rPr>
                <w:b/>
                <w:bCs/>
                <w:sz w:val="28"/>
                <w:szCs w:val="28"/>
                <w:highlight w:val="none"/>
              </w:rPr>
            </w:pPr>
            <w:r>
              <w:rPr>
                <w:rFonts w:hint="eastAsia" w:ascii="宋体" w:hAnsi="宋体"/>
                <w:b/>
                <w:bCs/>
                <w:sz w:val="28"/>
                <w:szCs w:val="28"/>
                <w:highlight w:val="none"/>
              </w:rPr>
              <w:t>项目名称</w:t>
            </w:r>
          </w:p>
        </w:tc>
        <w:tc>
          <w:tcPr>
            <w:tcW w:w="6799" w:type="dxa"/>
            <w:tcBorders>
              <w:top w:val="single" w:color="auto" w:sz="4" w:space="0"/>
              <w:left w:val="nil"/>
              <w:bottom w:val="single" w:color="auto" w:sz="4" w:space="0"/>
              <w:right w:val="single" w:color="auto" w:sz="4" w:space="0"/>
            </w:tcBorders>
            <w:vAlign w:val="center"/>
          </w:tcPr>
          <w:p w14:paraId="0422B380">
            <w:pPr>
              <w:jc w:val="center"/>
              <w:rPr>
                <w:b/>
                <w:bCs/>
                <w:sz w:val="28"/>
                <w:szCs w:val="28"/>
                <w:highlight w:val="none"/>
              </w:rPr>
            </w:pPr>
            <w:r>
              <w:rPr>
                <w:rFonts w:hint="eastAsia" w:ascii="宋体" w:hAnsi="宋体"/>
                <w:b/>
                <w:bCs/>
                <w:sz w:val="28"/>
                <w:szCs w:val="28"/>
                <w:highlight w:val="none"/>
              </w:rPr>
              <w:t>招标人要求</w:t>
            </w:r>
          </w:p>
        </w:tc>
        <w:tc>
          <w:tcPr>
            <w:tcW w:w="3252" w:type="dxa"/>
            <w:tcBorders>
              <w:top w:val="single" w:color="auto" w:sz="4" w:space="0"/>
              <w:left w:val="nil"/>
              <w:bottom w:val="single" w:color="auto" w:sz="4" w:space="0"/>
              <w:right w:val="single" w:color="auto" w:sz="4" w:space="0"/>
            </w:tcBorders>
            <w:vAlign w:val="center"/>
          </w:tcPr>
          <w:p w14:paraId="551D34D3">
            <w:pPr>
              <w:jc w:val="center"/>
              <w:rPr>
                <w:b/>
                <w:bCs/>
                <w:sz w:val="28"/>
                <w:szCs w:val="28"/>
                <w:highlight w:val="none"/>
              </w:rPr>
            </w:pPr>
            <w:r>
              <w:rPr>
                <w:rFonts w:hint="eastAsia" w:ascii="宋体" w:hAnsi="宋体"/>
                <w:b/>
                <w:bCs/>
                <w:sz w:val="28"/>
                <w:szCs w:val="28"/>
                <w:highlight w:val="none"/>
              </w:rPr>
              <w:t>投标人响应</w:t>
            </w:r>
          </w:p>
        </w:tc>
      </w:tr>
      <w:tr w14:paraId="639697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672" w:type="dxa"/>
            <w:tcBorders>
              <w:top w:val="single" w:color="auto" w:sz="4" w:space="0"/>
              <w:left w:val="single" w:color="auto" w:sz="4" w:space="0"/>
              <w:bottom w:val="single" w:color="auto" w:sz="4" w:space="0"/>
              <w:right w:val="single" w:color="auto" w:sz="4" w:space="0"/>
            </w:tcBorders>
            <w:vAlign w:val="center"/>
          </w:tcPr>
          <w:p w14:paraId="166ADFEA">
            <w:pPr>
              <w:jc w:val="center"/>
              <w:rPr>
                <w:rFonts w:ascii="宋体" w:hAnsi="宋体"/>
                <w:b/>
                <w:bCs/>
                <w:sz w:val="24"/>
                <w:szCs w:val="24"/>
                <w:highlight w:val="none"/>
              </w:rPr>
            </w:pPr>
            <w:r>
              <w:rPr>
                <w:rFonts w:hint="eastAsia" w:ascii="宋体" w:hAnsi="宋体"/>
                <w:b/>
                <w:bCs/>
                <w:sz w:val="24"/>
                <w:szCs w:val="24"/>
                <w:highlight w:val="none"/>
              </w:rPr>
              <w:t>1</w:t>
            </w:r>
          </w:p>
        </w:tc>
        <w:tc>
          <w:tcPr>
            <w:tcW w:w="2117" w:type="dxa"/>
            <w:tcBorders>
              <w:top w:val="single" w:color="auto" w:sz="4" w:space="0"/>
              <w:left w:val="nil"/>
              <w:bottom w:val="single" w:color="auto" w:sz="4" w:space="0"/>
              <w:right w:val="single" w:color="auto" w:sz="4" w:space="0"/>
            </w:tcBorders>
            <w:vAlign w:val="center"/>
          </w:tcPr>
          <w:p w14:paraId="05495723">
            <w:pPr>
              <w:jc w:val="center"/>
              <w:rPr>
                <w:rFonts w:hint="eastAsia" w:ascii="宋体" w:hAnsi="宋体"/>
                <w:sz w:val="24"/>
                <w:szCs w:val="24"/>
                <w:highlight w:val="none"/>
              </w:rPr>
            </w:pPr>
            <w:r>
              <w:rPr>
                <w:rFonts w:hint="eastAsia" w:ascii="宋体" w:hAnsi="宋体"/>
                <w:sz w:val="24"/>
                <w:szCs w:val="24"/>
                <w:highlight w:val="none"/>
              </w:rPr>
              <w:t>成交价</w:t>
            </w:r>
          </w:p>
        </w:tc>
        <w:tc>
          <w:tcPr>
            <w:tcW w:w="6799" w:type="dxa"/>
            <w:tcBorders>
              <w:top w:val="single" w:color="auto" w:sz="4" w:space="0"/>
              <w:left w:val="nil"/>
              <w:bottom w:val="single" w:color="auto" w:sz="4" w:space="0"/>
              <w:right w:val="single" w:color="auto" w:sz="4" w:space="0"/>
            </w:tcBorders>
            <w:vAlign w:val="center"/>
          </w:tcPr>
          <w:p w14:paraId="4FBC1F25">
            <w:pPr>
              <w:jc w:val="center"/>
              <w:rPr>
                <w:rFonts w:hint="eastAsia" w:ascii="宋体" w:hAnsi="宋体"/>
                <w:sz w:val="24"/>
                <w:szCs w:val="24"/>
                <w:highlight w:val="none"/>
              </w:rPr>
            </w:pPr>
            <w:r>
              <w:rPr>
                <w:rFonts w:hint="eastAsia" w:ascii="宋体" w:hAnsi="宋体"/>
                <w:sz w:val="24"/>
                <w:szCs w:val="24"/>
                <w:highlight w:val="none"/>
                <w:lang w:val="en-US" w:eastAsia="zh-CN"/>
              </w:rPr>
              <w:t>人民币</w:t>
            </w:r>
          </w:p>
        </w:tc>
        <w:tc>
          <w:tcPr>
            <w:tcW w:w="3252" w:type="dxa"/>
            <w:tcBorders>
              <w:top w:val="single" w:color="auto" w:sz="4" w:space="0"/>
              <w:left w:val="nil"/>
              <w:bottom w:val="single" w:color="auto" w:sz="4" w:space="0"/>
              <w:right w:val="single" w:color="auto" w:sz="4" w:space="0"/>
            </w:tcBorders>
            <w:vAlign w:val="center"/>
          </w:tcPr>
          <w:p w14:paraId="7522BAC2">
            <w:pPr>
              <w:jc w:val="center"/>
              <w:rPr>
                <w:rFonts w:ascii="宋体" w:hAnsi="宋体"/>
                <w:highlight w:val="none"/>
              </w:rPr>
            </w:pPr>
          </w:p>
        </w:tc>
      </w:tr>
      <w:tr w14:paraId="0F5599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672" w:type="dxa"/>
            <w:tcBorders>
              <w:top w:val="single" w:color="auto" w:sz="4" w:space="0"/>
              <w:left w:val="single" w:color="auto" w:sz="4" w:space="0"/>
              <w:bottom w:val="single" w:color="auto" w:sz="4" w:space="0"/>
              <w:right w:val="single" w:color="auto" w:sz="4" w:space="0"/>
            </w:tcBorders>
            <w:vAlign w:val="center"/>
          </w:tcPr>
          <w:p w14:paraId="23135FB7">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w:t>
            </w:r>
          </w:p>
        </w:tc>
        <w:tc>
          <w:tcPr>
            <w:tcW w:w="2117" w:type="dxa"/>
            <w:tcBorders>
              <w:top w:val="single" w:color="auto" w:sz="4" w:space="0"/>
              <w:left w:val="nil"/>
              <w:bottom w:val="single" w:color="auto" w:sz="4" w:space="0"/>
              <w:right w:val="single" w:color="auto" w:sz="4" w:space="0"/>
            </w:tcBorders>
            <w:vAlign w:val="center"/>
          </w:tcPr>
          <w:p w14:paraId="613758A3">
            <w:pPr>
              <w:jc w:val="center"/>
              <w:rPr>
                <w:rFonts w:hint="eastAsia" w:ascii="宋体" w:hAnsi="宋体"/>
                <w:sz w:val="24"/>
                <w:szCs w:val="24"/>
                <w:highlight w:val="none"/>
                <w:lang w:val="en-US" w:eastAsia="zh-CN"/>
              </w:rPr>
            </w:pPr>
            <w:r>
              <w:rPr>
                <w:rFonts w:hint="eastAsia" w:ascii="宋体" w:hAnsi="宋体"/>
                <w:sz w:val="24"/>
                <w:szCs w:val="24"/>
                <w:highlight w:val="none"/>
                <w:lang w:val="en-US" w:eastAsia="zh-CN"/>
              </w:rPr>
              <w:t>服务期限</w:t>
            </w:r>
          </w:p>
        </w:tc>
        <w:tc>
          <w:tcPr>
            <w:tcW w:w="6799" w:type="dxa"/>
            <w:tcBorders>
              <w:top w:val="single" w:color="auto" w:sz="4" w:space="0"/>
              <w:left w:val="nil"/>
              <w:bottom w:val="single" w:color="auto" w:sz="4" w:space="0"/>
              <w:right w:val="single" w:color="auto" w:sz="4" w:space="0"/>
            </w:tcBorders>
            <w:vAlign w:val="center"/>
          </w:tcPr>
          <w:p w14:paraId="030F8885">
            <w:pPr>
              <w:jc w:val="center"/>
              <w:rPr>
                <w:rFonts w:hint="eastAsia" w:ascii="宋体" w:hAnsi="宋体"/>
                <w:sz w:val="24"/>
                <w:szCs w:val="24"/>
                <w:highlight w:val="none"/>
                <w:lang w:val="en-US" w:eastAsia="zh-CN"/>
              </w:rPr>
            </w:pPr>
            <w:r>
              <w:rPr>
                <w:rFonts w:hint="eastAsia" w:ascii="宋体" w:hAnsi="宋体"/>
                <w:sz w:val="24"/>
                <w:szCs w:val="24"/>
                <w:highlight w:val="none"/>
                <w:lang w:val="en-US" w:eastAsia="zh-CN"/>
              </w:rPr>
              <w:t>服务期限为三年，合同采用一年一签的形式，每年服务期满后，采购人在年度预算能够保障的情况下，根据中标人服务质量以及实际情况，自主决定是否与中标人续签下一年度合同。</w:t>
            </w:r>
          </w:p>
        </w:tc>
        <w:tc>
          <w:tcPr>
            <w:tcW w:w="3252" w:type="dxa"/>
            <w:tcBorders>
              <w:top w:val="single" w:color="auto" w:sz="4" w:space="0"/>
              <w:left w:val="nil"/>
              <w:bottom w:val="single" w:color="auto" w:sz="4" w:space="0"/>
              <w:right w:val="single" w:color="auto" w:sz="4" w:space="0"/>
            </w:tcBorders>
            <w:vAlign w:val="center"/>
          </w:tcPr>
          <w:p w14:paraId="67E600B9">
            <w:pPr>
              <w:jc w:val="center"/>
              <w:rPr>
                <w:rFonts w:ascii="宋体" w:hAnsi="宋体"/>
                <w:highlight w:val="none"/>
              </w:rPr>
            </w:pPr>
          </w:p>
        </w:tc>
      </w:tr>
      <w:tr w14:paraId="7F7DBD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672" w:type="dxa"/>
            <w:tcBorders>
              <w:top w:val="single" w:color="auto" w:sz="4" w:space="0"/>
              <w:left w:val="single" w:color="auto" w:sz="4" w:space="0"/>
              <w:bottom w:val="single" w:color="auto" w:sz="4" w:space="0"/>
              <w:right w:val="single" w:color="auto" w:sz="4" w:space="0"/>
            </w:tcBorders>
            <w:vAlign w:val="center"/>
          </w:tcPr>
          <w:p w14:paraId="5CD1F600">
            <w:pPr>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3</w:t>
            </w:r>
          </w:p>
        </w:tc>
        <w:tc>
          <w:tcPr>
            <w:tcW w:w="2117" w:type="dxa"/>
            <w:tcBorders>
              <w:top w:val="single" w:color="auto" w:sz="4" w:space="0"/>
              <w:left w:val="nil"/>
              <w:bottom w:val="single" w:color="auto" w:sz="4" w:space="0"/>
              <w:right w:val="single" w:color="auto" w:sz="4" w:space="0"/>
            </w:tcBorders>
            <w:vAlign w:val="center"/>
          </w:tcPr>
          <w:p w14:paraId="6E121030">
            <w:pPr>
              <w:jc w:val="center"/>
              <w:rPr>
                <w:rFonts w:hint="eastAsia" w:ascii="宋体" w:hAnsi="宋体"/>
                <w:sz w:val="24"/>
                <w:szCs w:val="24"/>
                <w:highlight w:val="none"/>
              </w:rPr>
            </w:pPr>
            <w:r>
              <w:rPr>
                <w:rFonts w:hint="eastAsia" w:ascii="宋体" w:hAnsi="宋体"/>
                <w:sz w:val="24"/>
                <w:szCs w:val="24"/>
                <w:highlight w:val="none"/>
              </w:rPr>
              <w:t>付款方式</w:t>
            </w:r>
          </w:p>
        </w:tc>
        <w:tc>
          <w:tcPr>
            <w:tcW w:w="6799" w:type="dxa"/>
            <w:tcBorders>
              <w:top w:val="single" w:color="auto" w:sz="4" w:space="0"/>
              <w:left w:val="nil"/>
              <w:bottom w:val="single" w:color="auto" w:sz="4" w:space="0"/>
              <w:right w:val="single" w:color="auto" w:sz="4" w:space="0"/>
            </w:tcBorders>
            <w:vAlign w:val="center"/>
          </w:tcPr>
          <w:p w14:paraId="5A5F5B06">
            <w:pPr>
              <w:jc w:val="center"/>
              <w:rPr>
                <w:rFonts w:hint="eastAsia" w:ascii="宋体" w:hAnsi="宋体"/>
                <w:sz w:val="24"/>
                <w:szCs w:val="24"/>
                <w:highlight w:val="none"/>
              </w:rPr>
            </w:pPr>
            <w:r>
              <w:rPr>
                <w:rFonts w:hint="eastAsia" w:ascii="宋体" w:hAnsi="宋体"/>
                <w:sz w:val="24"/>
                <w:szCs w:val="24"/>
                <w:highlight w:val="none"/>
              </w:rPr>
              <w:t>结算时按招标确定的处置单价（处置费、运输费、保险费）和每一批次实际转运量（产废单位、处置单位和运输单位三方确认的转移联单数量）据实结算，通过银行转账或电汇方式支付。</w:t>
            </w:r>
          </w:p>
        </w:tc>
        <w:tc>
          <w:tcPr>
            <w:tcW w:w="3252" w:type="dxa"/>
            <w:tcBorders>
              <w:top w:val="single" w:color="auto" w:sz="4" w:space="0"/>
              <w:left w:val="nil"/>
              <w:bottom w:val="single" w:color="auto" w:sz="4" w:space="0"/>
              <w:right w:val="single" w:color="auto" w:sz="4" w:space="0"/>
            </w:tcBorders>
            <w:vAlign w:val="center"/>
          </w:tcPr>
          <w:p w14:paraId="3A0BE070">
            <w:pPr>
              <w:jc w:val="center"/>
              <w:rPr>
                <w:rFonts w:ascii="宋体" w:hAnsi="宋体"/>
                <w:highlight w:val="none"/>
              </w:rPr>
            </w:pPr>
          </w:p>
        </w:tc>
      </w:tr>
      <w:tr w14:paraId="253418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672" w:type="dxa"/>
            <w:tcBorders>
              <w:top w:val="single" w:color="auto" w:sz="4" w:space="0"/>
              <w:left w:val="single" w:color="auto" w:sz="4" w:space="0"/>
              <w:bottom w:val="single" w:color="auto" w:sz="4" w:space="0"/>
              <w:right w:val="single" w:color="auto" w:sz="4" w:space="0"/>
            </w:tcBorders>
            <w:vAlign w:val="center"/>
          </w:tcPr>
          <w:p w14:paraId="53F31886">
            <w:pPr>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4</w:t>
            </w:r>
          </w:p>
        </w:tc>
        <w:tc>
          <w:tcPr>
            <w:tcW w:w="2117" w:type="dxa"/>
            <w:tcBorders>
              <w:top w:val="single" w:color="auto" w:sz="4" w:space="0"/>
              <w:left w:val="nil"/>
              <w:bottom w:val="single" w:color="auto" w:sz="4" w:space="0"/>
              <w:right w:val="single" w:color="auto" w:sz="4" w:space="0"/>
            </w:tcBorders>
            <w:vAlign w:val="center"/>
          </w:tcPr>
          <w:p w14:paraId="2CC9576D">
            <w:pPr>
              <w:jc w:val="center"/>
              <w:rPr>
                <w:rFonts w:hint="eastAsia" w:ascii="宋体" w:hAnsi="宋体"/>
                <w:sz w:val="24"/>
                <w:szCs w:val="24"/>
                <w:highlight w:val="none"/>
              </w:rPr>
            </w:pPr>
            <w:r>
              <w:rPr>
                <w:rFonts w:hint="eastAsia" w:ascii="宋体" w:hAnsi="宋体"/>
                <w:sz w:val="24"/>
                <w:szCs w:val="24"/>
                <w:highlight w:val="none"/>
              </w:rPr>
              <w:t>培训</w:t>
            </w:r>
          </w:p>
        </w:tc>
        <w:tc>
          <w:tcPr>
            <w:tcW w:w="6799" w:type="dxa"/>
            <w:tcBorders>
              <w:top w:val="single" w:color="auto" w:sz="4" w:space="0"/>
              <w:left w:val="nil"/>
              <w:bottom w:val="single" w:color="auto" w:sz="4" w:space="0"/>
              <w:right w:val="single" w:color="auto" w:sz="4" w:space="0"/>
            </w:tcBorders>
          </w:tcPr>
          <w:p w14:paraId="2E136F05">
            <w:pPr>
              <w:jc w:val="center"/>
              <w:rPr>
                <w:rFonts w:hint="eastAsia" w:ascii="宋体" w:hAnsi="宋体"/>
                <w:sz w:val="24"/>
                <w:szCs w:val="24"/>
                <w:highlight w:val="none"/>
              </w:rPr>
            </w:pPr>
            <w:r>
              <w:rPr>
                <w:rFonts w:hint="eastAsia" w:ascii="宋体" w:hAnsi="宋体"/>
                <w:sz w:val="24"/>
                <w:szCs w:val="24"/>
                <w:highlight w:val="none"/>
              </w:rPr>
              <w:t>乙方中标后，可选择适当时间为学校教学科研实验室的相关人员进行危险废物的安全培训。（请注明培训次数）</w:t>
            </w:r>
          </w:p>
        </w:tc>
        <w:tc>
          <w:tcPr>
            <w:tcW w:w="3252" w:type="dxa"/>
            <w:tcBorders>
              <w:top w:val="single" w:color="auto" w:sz="4" w:space="0"/>
              <w:left w:val="nil"/>
              <w:bottom w:val="single" w:color="auto" w:sz="4" w:space="0"/>
              <w:right w:val="single" w:color="auto" w:sz="4" w:space="0"/>
            </w:tcBorders>
          </w:tcPr>
          <w:p w14:paraId="2633AAAB">
            <w:pPr>
              <w:rPr>
                <w:rFonts w:ascii="宋体" w:hAnsi="宋体"/>
                <w:highlight w:val="none"/>
              </w:rPr>
            </w:pPr>
          </w:p>
        </w:tc>
      </w:tr>
      <w:tr w14:paraId="3F36D4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672" w:type="dxa"/>
            <w:tcBorders>
              <w:top w:val="single" w:color="auto" w:sz="4" w:space="0"/>
              <w:left w:val="single" w:color="auto" w:sz="4" w:space="0"/>
              <w:bottom w:val="single" w:color="auto" w:sz="4" w:space="0"/>
              <w:right w:val="single" w:color="auto" w:sz="4" w:space="0"/>
            </w:tcBorders>
            <w:vAlign w:val="center"/>
          </w:tcPr>
          <w:p w14:paraId="067CD8D0">
            <w:pPr>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5</w:t>
            </w:r>
          </w:p>
        </w:tc>
        <w:tc>
          <w:tcPr>
            <w:tcW w:w="2117" w:type="dxa"/>
            <w:tcBorders>
              <w:top w:val="single" w:color="auto" w:sz="4" w:space="0"/>
              <w:left w:val="nil"/>
              <w:bottom w:val="single" w:color="auto" w:sz="4" w:space="0"/>
              <w:right w:val="single" w:color="auto" w:sz="4" w:space="0"/>
            </w:tcBorders>
            <w:vAlign w:val="center"/>
          </w:tcPr>
          <w:p w14:paraId="42944B46">
            <w:pPr>
              <w:jc w:val="center"/>
              <w:rPr>
                <w:rFonts w:hint="eastAsia" w:ascii="宋体" w:hAnsi="宋体"/>
                <w:sz w:val="24"/>
                <w:szCs w:val="24"/>
                <w:highlight w:val="none"/>
              </w:rPr>
            </w:pPr>
            <w:r>
              <w:rPr>
                <w:rFonts w:hint="eastAsia" w:ascii="宋体" w:hAnsi="宋体"/>
                <w:sz w:val="24"/>
                <w:szCs w:val="24"/>
                <w:highlight w:val="none"/>
              </w:rPr>
              <w:t>其他条款</w:t>
            </w:r>
          </w:p>
        </w:tc>
        <w:tc>
          <w:tcPr>
            <w:tcW w:w="6799" w:type="dxa"/>
            <w:tcBorders>
              <w:top w:val="single" w:color="auto" w:sz="4" w:space="0"/>
              <w:left w:val="nil"/>
              <w:bottom w:val="single" w:color="auto" w:sz="4" w:space="0"/>
              <w:right w:val="single" w:color="auto" w:sz="4" w:space="0"/>
            </w:tcBorders>
          </w:tcPr>
          <w:p w14:paraId="24ECB63A">
            <w:pPr>
              <w:jc w:val="center"/>
              <w:rPr>
                <w:rFonts w:hint="eastAsia" w:ascii="宋体" w:hAnsi="宋体"/>
                <w:sz w:val="24"/>
                <w:szCs w:val="24"/>
                <w:highlight w:val="none"/>
              </w:rPr>
            </w:pPr>
            <w:r>
              <w:rPr>
                <w:rFonts w:hint="eastAsia" w:ascii="宋体" w:hAnsi="宋体"/>
                <w:sz w:val="24"/>
                <w:szCs w:val="24"/>
                <w:highlight w:val="none"/>
              </w:rPr>
              <w:t>若甲方存有一定数量的过期化学品时，乙方能够委派两名技术人员到现场进行分拣</w:t>
            </w:r>
          </w:p>
        </w:tc>
        <w:tc>
          <w:tcPr>
            <w:tcW w:w="3252" w:type="dxa"/>
            <w:tcBorders>
              <w:top w:val="single" w:color="auto" w:sz="4" w:space="0"/>
              <w:left w:val="nil"/>
              <w:bottom w:val="single" w:color="auto" w:sz="4" w:space="0"/>
              <w:right w:val="single" w:color="auto" w:sz="4" w:space="0"/>
            </w:tcBorders>
          </w:tcPr>
          <w:p w14:paraId="42D5B91E">
            <w:pPr>
              <w:rPr>
                <w:rFonts w:ascii="宋体" w:hAnsi="宋体"/>
                <w:highlight w:val="none"/>
              </w:rPr>
            </w:pPr>
          </w:p>
        </w:tc>
      </w:tr>
    </w:tbl>
    <w:p w14:paraId="3D663AE5">
      <w:pPr>
        <w:spacing w:line="360" w:lineRule="auto"/>
        <w:rPr>
          <w:rFonts w:hint="eastAsia" w:ascii="宋体" w:hAnsi="宋体" w:eastAsia="宋体" w:cs="宋体"/>
          <w:color w:val="FF0000"/>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37"/>
    <w:rsid w:val="002D7CBF"/>
    <w:rsid w:val="003A2CAB"/>
    <w:rsid w:val="0045527B"/>
    <w:rsid w:val="00592F41"/>
    <w:rsid w:val="007313E1"/>
    <w:rsid w:val="00951B95"/>
    <w:rsid w:val="00997CFC"/>
    <w:rsid w:val="009D34A1"/>
    <w:rsid w:val="00A70919"/>
    <w:rsid w:val="00C02437"/>
    <w:rsid w:val="00D71C0C"/>
    <w:rsid w:val="00E004A5"/>
    <w:rsid w:val="00E86B16"/>
    <w:rsid w:val="00F85F04"/>
    <w:rsid w:val="00FA6E23"/>
    <w:rsid w:val="00FF2D0B"/>
    <w:rsid w:val="0337379A"/>
    <w:rsid w:val="1D1B6299"/>
    <w:rsid w:val="247E7102"/>
    <w:rsid w:val="31BD4BF8"/>
    <w:rsid w:val="75D176BF"/>
    <w:rsid w:val="796762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qFormat/>
    <w:uiPriority w:val="9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link w:val="13"/>
    <w:unhideWhenUsed/>
    <w:qFormat/>
    <w:uiPriority w:val="99"/>
    <w:pPr>
      <w:spacing w:before="100" w:beforeAutospacing="1" w:after="120"/>
    </w:pPr>
    <w:rPr>
      <w:rFonts w:ascii="等线" w:hAnsi="等线" w:eastAsia="等线"/>
    </w:rPr>
  </w:style>
  <w:style w:type="paragraph" w:styleId="5">
    <w:name w:val="Body Text Indent"/>
    <w:basedOn w:val="1"/>
    <w:link w:val="16"/>
    <w:semiHidden/>
    <w:unhideWhenUsed/>
    <w:qFormat/>
    <w:uiPriority w:val="99"/>
    <w:pPr>
      <w:spacing w:after="120"/>
      <w:ind w:left="420" w:leftChars="200"/>
    </w:pPr>
  </w:style>
  <w:style w:type="paragraph" w:styleId="6">
    <w:name w:val="Plain Text"/>
    <w:basedOn w:val="1"/>
    <w:link w:val="18"/>
    <w:qFormat/>
    <w:uiPriority w:val="99"/>
    <w:rPr>
      <w:rFonts w:ascii="宋体" w:hAnsi="Courier New"/>
      <w:kern w:val="0"/>
      <w:sz w:val="20"/>
    </w:rPr>
  </w:style>
  <w:style w:type="paragraph" w:styleId="7">
    <w:name w:val="footer"/>
    <w:basedOn w:val="1"/>
    <w:link w:val="15"/>
    <w:unhideWhenUsed/>
    <w:qFormat/>
    <w:uiPriority w:val="99"/>
    <w:pPr>
      <w:tabs>
        <w:tab w:val="center" w:pos="4153"/>
        <w:tab w:val="right" w:pos="8306"/>
      </w:tabs>
      <w:snapToGrid w:val="0"/>
      <w:jc w:val="left"/>
    </w:pPr>
    <w:rPr>
      <w:sz w:val="18"/>
      <w:szCs w:val="18"/>
    </w:rPr>
  </w:style>
  <w:style w:type="paragraph" w:styleId="8">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character" w:styleId="11">
    <w:name w:val="page number"/>
    <w:qFormat/>
    <w:uiPriority w:val="99"/>
    <w:rPr>
      <w:rFonts w:cs="Times New Roman"/>
    </w:rPr>
  </w:style>
  <w:style w:type="paragraph" w:customStyle="1" w:styleId="12">
    <w:name w:val="xl25"/>
    <w:basedOn w:val="1"/>
    <w:qFormat/>
    <w:uiPriority w:val="0"/>
    <w:pPr>
      <w:widowControl/>
      <w:spacing w:before="100" w:beforeAutospacing="1" w:after="100" w:afterAutospacing="1"/>
      <w:jc w:val="center"/>
    </w:pPr>
    <w:rPr>
      <w:rFonts w:ascii="宋体" w:hAnsi="宋体" w:cs="宋体"/>
      <w:kern w:val="0"/>
      <w:sz w:val="24"/>
      <w:szCs w:val="24"/>
    </w:rPr>
  </w:style>
  <w:style w:type="character" w:customStyle="1" w:styleId="13">
    <w:name w:val="正文文本 字符"/>
    <w:basedOn w:val="10"/>
    <w:link w:val="4"/>
    <w:qFormat/>
    <w:uiPriority w:val="99"/>
    <w:rPr>
      <w:rFonts w:ascii="等线" w:hAnsi="等线" w:eastAsia="等线" w:cs="Times New Roman"/>
      <w:szCs w:val="21"/>
    </w:rPr>
  </w:style>
  <w:style w:type="character" w:customStyle="1" w:styleId="14">
    <w:name w:val="页眉 字符"/>
    <w:basedOn w:val="10"/>
    <w:link w:val="8"/>
    <w:qFormat/>
    <w:uiPriority w:val="99"/>
    <w:rPr>
      <w:rFonts w:ascii="Times New Roman" w:hAnsi="Times New Roman" w:eastAsia="宋体" w:cs="Times New Roman"/>
      <w:sz w:val="18"/>
      <w:szCs w:val="18"/>
    </w:rPr>
  </w:style>
  <w:style w:type="character" w:customStyle="1" w:styleId="15">
    <w:name w:val="页脚 字符"/>
    <w:basedOn w:val="10"/>
    <w:link w:val="7"/>
    <w:qFormat/>
    <w:uiPriority w:val="99"/>
    <w:rPr>
      <w:rFonts w:ascii="Times New Roman" w:hAnsi="Times New Roman" w:eastAsia="宋体" w:cs="Times New Roman"/>
      <w:sz w:val="18"/>
      <w:szCs w:val="18"/>
    </w:rPr>
  </w:style>
  <w:style w:type="character" w:customStyle="1" w:styleId="16">
    <w:name w:val="正文文本缩进 字符"/>
    <w:basedOn w:val="10"/>
    <w:link w:val="5"/>
    <w:semiHidden/>
    <w:qFormat/>
    <w:uiPriority w:val="99"/>
    <w:rPr>
      <w:rFonts w:ascii="Times New Roman" w:hAnsi="Times New Roman" w:eastAsia="宋体" w:cs="Times New Roman"/>
      <w:szCs w:val="21"/>
    </w:rPr>
  </w:style>
  <w:style w:type="character" w:customStyle="1" w:styleId="17">
    <w:name w:val="纯文本 字符"/>
    <w:basedOn w:val="10"/>
    <w:semiHidden/>
    <w:qFormat/>
    <w:uiPriority w:val="99"/>
    <w:rPr>
      <w:rFonts w:hAnsi="Courier New" w:cs="Courier New" w:asciiTheme="minorEastAsia"/>
      <w:szCs w:val="21"/>
    </w:rPr>
  </w:style>
  <w:style w:type="character" w:customStyle="1" w:styleId="18">
    <w:name w:val="纯文本 字符1"/>
    <w:link w:val="6"/>
    <w:qFormat/>
    <w:uiPriority w:val="0"/>
    <w:rPr>
      <w:rFonts w:ascii="宋体" w:hAnsi="Courier New" w:eastAsia="宋体" w:cs="Times New Roman"/>
      <w:kern w:val="0"/>
      <w:sz w:val="20"/>
      <w:szCs w:val="21"/>
    </w:rPr>
  </w:style>
  <w:style w:type="paragraph" w:styleId="19">
    <w:name w:val="List Paragraph"/>
    <w:basedOn w:val="1"/>
    <w:qFormat/>
    <w:uiPriority w:val="34"/>
    <w:pPr>
      <w:ind w:firstLine="420" w:firstLineChars="200"/>
    </w:pPr>
    <w:rPr>
      <w:rFonts w:ascii="Calibri" w:hAnsi="Calibri"/>
      <w:szCs w:val="22"/>
    </w:rPr>
  </w:style>
  <w:style w:type="paragraph" w:customStyle="1" w:styleId="20">
    <w:name w:val="正文文字3"/>
    <w:basedOn w:val="4"/>
    <w:qFormat/>
    <w:uiPriority w:val="0"/>
    <w:pPr>
      <w:spacing w:before="0" w:beforeAutospacing="0" w:after="0"/>
    </w:pPr>
    <w:rPr>
      <w:rFonts w:ascii="Times New Roman" w:hAnsi="Times New Roman" w:eastAsia="宋体"/>
      <w:kern w:val="0"/>
      <w:sz w:val="20"/>
      <w:szCs w:val="24"/>
    </w:rPr>
  </w:style>
  <w:style w:type="character" w:customStyle="1" w:styleId="21">
    <w:name w:val="Hyperlink.1"/>
    <w:qFormat/>
    <w:uiPriority w:val="0"/>
    <w:rPr>
      <w:rFonts w:ascii="宋体" w:hAnsi="宋体" w:eastAsia="宋体" w:cs="宋体"/>
      <w:lang w:val="zh-TW" w:eastAsia="zh-TW"/>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2322</Words>
  <Characters>2445</Characters>
  <Lines>25</Lines>
  <Paragraphs>7</Paragraphs>
  <TotalTime>1</TotalTime>
  <ScaleCrop>false</ScaleCrop>
  <LinksUpToDate>false</LinksUpToDate>
  <CharactersWithSpaces>2467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2025-10-31T00:24:00Z</dcterms:created>
  <dc:creator>User</dc:creator>
  <cp:lastModifiedBy>NTKO</cp:lastModifiedBy>
  <cp:lastPrinted>2025-11-11T09:08:00Z</cp:lastPrinted>
  <dcterms:modified xsi:type="dcterms:W3CDTF">2026-01-12T11:25:53Z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eyJoZGlkIjoiNjBmMzc0MTM4NjJhMmUzY2JiNzliNTRlNzc5MmI0OWYiLCJ1c2VySWQiOiIzNzY3MjM0MjQifQ==</vt:lpwstr>
  </property>
  <property fmtid="{D5CDD505-2E9C-101B-9397-08002B2CF9AE}" pid="3" name="KSOProductBuildVer">
    <vt:lpwstr>2052-12.1.0.24034</vt:lpwstr>
  </property>
  <property fmtid="{D5CDD505-2E9C-101B-9397-08002B2CF9AE}" pid="4" name="ICV">
    <vt:lpwstr>9ECA52BDBDAB4FE0AFA0327ADDE63E22_13</vt:lpwstr>
  </property>
</Properties>
</file>