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828B3">
      <w:pPr>
        <w:autoSpaceDE w:val="0"/>
        <w:autoSpaceDN w:val="0"/>
        <w:snapToGrid w:val="0"/>
        <w:spacing w:line="540" w:lineRule="exact"/>
        <w:jc w:val="center"/>
        <w:outlineLvl w:val="1"/>
        <w:rPr>
          <w:rFonts w:ascii="方正小标宋_GBK" w:hAnsi="仿宋" w:eastAsia="方正小标宋_GBK" w:cs="方正小标宋_GBK"/>
          <w:b/>
          <w:bCs/>
          <w:sz w:val="30"/>
          <w:szCs w:val="30"/>
        </w:rPr>
      </w:pPr>
      <w:r>
        <w:rPr>
          <w:rFonts w:hint="eastAsia" w:ascii="方正小标宋_GBK" w:hAnsi="仿宋" w:eastAsia="方正小标宋_GBK" w:cs="方正小标宋_GBK"/>
          <w:b/>
          <w:bCs/>
          <w:sz w:val="30"/>
          <w:szCs w:val="30"/>
        </w:rPr>
        <w:t>山东大学校园网网络设备维保服务</w:t>
      </w:r>
    </w:p>
    <w:p w14:paraId="75AE3CE1">
      <w:pPr>
        <w:autoSpaceDE w:val="0"/>
        <w:autoSpaceDN w:val="0"/>
        <w:snapToGrid w:val="0"/>
        <w:spacing w:line="540" w:lineRule="exact"/>
        <w:jc w:val="center"/>
        <w:rPr>
          <w:rFonts w:ascii="黑体" w:hAnsi="黑体" w:eastAsia="黑体"/>
          <w:b/>
          <w:bCs/>
          <w:sz w:val="30"/>
          <w:szCs w:val="30"/>
        </w:rPr>
      </w:pPr>
      <w:r>
        <w:rPr>
          <w:rFonts w:hint="eastAsia" w:ascii="方正小标宋_GBK" w:hAnsi="仿宋" w:eastAsia="方正小标宋_GBK" w:cs="方正小标宋_GBK"/>
          <w:b/>
          <w:bCs/>
          <w:sz w:val="30"/>
          <w:szCs w:val="30"/>
        </w:rPr>
        <w:t xml:space="preserve">项目内容及项目要求 </w:t>
      </w:r>
    </w:p>
    <w:p w14:paraId="38628C7C">
      <w:pPr>
        <w:outlineLvl w:val="2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一、项目背景</w:t>
      </w:r>
    </w:p>
    <w:p w14:paraId="37B4378E">
      <w:pPr>
        <w:widowControl/>
        <w:spacing w:line="460" w:lineRule="exact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经过多年信息化建设，校园网网络状况获得了很大改善，济南各校区建筑楼宇内部</w:t>
      </w:r>
      <w:r>
        <w:rPr>
          <w:rFonts w:ascii="宋体" w:hAnsi="宋体"/>
          <w:sz w:val="24"/>
        </w:rPr>
        <w:t>区域基本上</w:t>
      </w:r>
      <w:r>
        <w:rPr>
          <w:rFonts w:hint="eastAsia" w:ascii="宋体" w:hAnsi="宋体"/>
          <w:sz w:val="24"/>
        </w:rPr>
        <w:t>做到了有线和无线</w:t>
      </w:r>
      <w:r>
        <w:rPr>
          <w:rFonts w:ascii="宋体" w:hAnsi="宋体"/>
          <w:sz w:val="24"/>
        </w:rPr>
        <w:t>覆盖，室外重点区域也进行了</w:t>
      </w:r>
      <w:r>
        <w:rPr>
          <w:rFonts w:hint="eastAsia" w:ascii="宋体" w:hAnsi="宋体"/>
          <w:sz w:val="24"/>
        </w:rPr>
        <w:t>无线网</w:t>
      </w:r>
      <w:r>
        <w:rPr>
          <w:rFonts w:ascii="宋体" w:hAnsi="宋体"/>
          <w:sz w:val="24"/>
        </w:rPr>
        <w:t>覆盖。</w:t>
      </w:r>
      <w:r>
        <w:rPr>
          <w:rFonts w:hint="eastAsia" w:ascii="宋体" w:hAnsi="宋体"/>
          <w:sz w:val="24"/>
        </w:rPr>
        <w:t>校</w:t>
      </w:r>
      <w:r>
        <w:rPr>
          <w:rFonts w:ascii="宋体" w:hAnsi="宋体"/>
          <w:sz w:val="24"/>
        </w:rPr>
        <w:t>园网用户</w:t>
      </w:r>
      <w:r>
        <w:rPr>
          <w:rFonts w:hint="eastAsia" w:ascii="宋体" w:hAnsi="宋体"/>
          <w:sz w:val="24"/>
        </w:rPr>
        <w:t>网络</w:t>
      </w:r>
      <w:r>
        <w:rPr>
          <w:rFonts w:ascii="宋体" w:hAnsi="宋体"/>
          <w:sz w:val="24"/>
        </w:rPr>
        <w:t>接入</w:t>
      </w:r>
      <w:r>
        <w:rPr>
          <w:rFonts w:hint="eastAsia" w:ascii="宋体" w:hAnsi="宋体"/>
          <w:sz w:val="24"/>
        </w:rPr>
        <w:t>便利性和接入</w:t>
      </w:r>
      <w:r>
        <w:rPr>
          <w:rFonts w:ascii="宋体" w:hAnsi="宋体"/>
          <w:sz w:val="24"/>
        </w:rPr>
        <w:t>带宽大幅提高，用户上网体验增强。</w:t>
      </w:r>
    </w:p>
    <w:p w14:paraId="59133850">
      <w:pPr>
        <w:widowControl/>
        <w:spacing w:line="460" w:lineRule="exact"/>
        <w:ind w:firstLine="480" w:firstLineChars="20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但是，校园网还存在一些问题。</w:t>
      </w:r>
      <w:r>
        <w:rPr>
          <w:rFonts w:hint="eastAsia" w:ascii="宋体" w:hAnsi="宋体"/>
          <w:sz w:val="24"/>
        </w:rPr>
        <w:t>部分核心设备部署时间较长，已经出保，或即将出保，如果这些关键设备后期运行中出现设备或配件的故障，将会对校园网络造成严重影响，极大影响校园网的稳定性和可靠性，降低用户的上网体验。这些关键设备亟需采购设备维保服务以保障其正常运行，应对潜在的设备风险</w:t>
      </w:r>
      <w:r>
        <w:rPr>
          <w:rFonts w:ascii="宋体" w:hAnsi="宋体"/>
          <w:sz w:val="24"/>
        </w:rPr>
        <w:t>。</w:t>
      </w:r>
    </w:p>
    <w:p w14:paraId="4706B90A">
      <w:pPr>
        <w:widowControl/>
        <w:spacing w:line="460" w:lineRule="exact"/>
        <w:ind w:firstLine="480" w:firstLineChars="200"/>
        <w:jc w:val="left"/>
        <w:rPr>
          <w:rFonts w:hint="eastAsia" w:ascii="宋体" w:hAnsi="宋体"/>
          <w:sz w:val="24"/>
        </w:rPr>
      </w:pPr>
    </w:p>
    <w:p w14:paraId="516435B8">
      <w:pPr>
        <w:outlineLvl w:val="2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二、项目目标</w:t>
      </w:r>
    </w:p>
    <w:p w14:paraId="687E8F4B">
      <w:pPr>
        <w:widowControl/>
        <w:spacing w:line="460" w:lineRule="exact"/>
        <w:ind w:firstLine="480" w:firstLineChars="20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通过购买核心路由器、校区核心交换机、无线控制器等关键设备的维保服务，提高校园网的稳定性、可靠性，保障提升师生使用校园网的体验。</w:t>
      </w:r>
    </w:p>
    <w:p w14:paraId="73327965">
      <w:pPr>
        <w:widowControl/>
        <w:spacing w:line="460" w:lineRule="exact"/>
        <w:ind w:firstLine="480" w:firstLineChars="200"/>
        <w:jc w:val="left"/>
        <w:rPr>
          <w:rFonts w:hint="eastAsia" w:ascii="宋体" w:hAnsi="宋体"/>
          <w:sz w:val="24"/>
        </w:rPr>
      </w:pPr>
    </w:p>
    <w:p w14:paraId="5A4C2090">
      <w:pPr>
        <w:spacing w:line="312" w:lineRule="auto"/>
        <w:outlineLvl w:val="2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三、项目内容</w:t>
      </w:r>
    </w:p>
    <w:p w14:paraId="358A18DE">
      <w:pPr>
        <w:widowControl/>
        <w:spacing w:line="4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本项目计划采购</w:t>
      </w:r>
      <w:r>
        <w:rPr>
          <w:rFonts w:hint="eastAsia" w:ascii="宋体" w:hAnsi="宋体"/>
          <w:sz w:val="24"/>
          <w:szCs w:val="24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H3C SR8812-X 核心路由器，H3C S10510 以太网交换机，H3C WX5560H 无线控制器，H3C WX5540H 无线控制器的维保服务，</w:t>
      </w:r>
      <w:r>
        <w:rPr>
          <w:rFonts w:hint="eastAsia" w:ascii="宋体" w:hAnsi="宋体"/>
          <w:sz w:val="24"/>
          <w:szCs w:val="24"/>
        </w:rPr>
        <w:t>以解决现有关键设备的维保问题进一步提升师生使用无线的体验。</w:t>
      </w:r>
    </w:p>
    <w:p w14:paraId="0DE8CD59">
      <w:pPr>
        <w:widowControl/>
        <w:spacing w:line="460" w:lineRule="exact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数量：1宗。</w:t>
      </w:r>
    </w:p>
    <w:p w14:paraId="13016E5E">
      <w:pPr>
        <w:widowControl/>
        <w:spacing w:line="460" w:lineRule="exact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本项目共分为 1 个包，供应商不得对包中所投货物和服务分解后进行响应。本项目预算金额为人民币</w:t>
      </w:r>
      <w:r>
        <w:rPr>
          <w:rFonts w:hint="eastAsia" w:ascii="宋体" w:hAnsi="宋体"/>
          <w:sz w:val="24"/>
          <w:highlight w:val="none"/>
        </w:rPr>
        <w:t>19.6</w:t>
      </w:r>
      <w:r>
        <w:rPr>
          <w:rFonts w:hint="eastAsia" w:ascii="宋体" w:hAnsi="宋体"/>
          <w:sz w:val="24"/>
        </w:rPr>
        <w:t>万元。</w:t>
      </w:r>
    </w:p>
    <w:p w14:paraId="232B56BD">
      <w:pPr>
        <w:widowControl/>
        <w:spacing w:line="460" w:lineRule="exact"/>
        <w:ind w:firstLine="480" w:firstLineChars="20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其他要求：</w:t>
      </w:r>
    </w:p>
    <w:p w14:paraId="0FD1FE8B">
      <w:pPr>
        <w:widowControl/>
        <w:numPr>
          <w:ilvl w:val="0"/>
          <w:numId w:val="2"/>
        </w:numPr>
        <w:spacing w:line="460" w:lineRule="exact"/>
        <w:ind w:left="840" w:leftChars="0" w:hanging="420" w:firstLineChars="0"/>
        <w:jc w:val="left"/>
        <w:rPr>
          <w:rFonts w:hint="eastAsia" w:ascii="宋体" w:hAnsi="宋体" w:eastAsiaTheme="minorEastAsia"/>
          <w:sz w:val="24"/>
          <w:lang w:eastAsia="zh-CN"/>
        </w:rPr>
      </w:pPr>
      <w:r>
        <w:rPr>
          <w:rFonts w:hint="eastAsia" w:ascii="宋体" w:hAnsi="宋体"/>
          <w:sz w:val="24"/>
        </w:rPr>
        <w:t>供应商须提供服务设备厂商的《原厂商服务授权函》</w:t>
      </w:r>
      <w:r>
        <w:rPr>
          <w:rFonts w:hint="eastAsia" w:ascii="宋体" w:hAnsi="宋体"/>
          <w:sz w:val="24"/>
          <w:lang w:eastAsia="zh-CN"/>
        </w:rPr>
        <w:t>；</w:t>
      </w:r>
    </w:p>
    <w:p w14:paraId="3195E58C">
      <w:pPr>
        <w:widowControl/>
        <w:numPr>
          <w:ilvl w:val="0"/>
          <w:numId w:val="2"/>
        </w:numPr>
        <w:spacing w:line="460" w:lineRule="exact"/>
        <w:ind w:left="840" w:leftChars="0" w:hanging="420" w:firstLineChars="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供应商须提供</w:t>
      </w:r>
      <w:r>
        <w:rPr>
          <w:rFonts w:hint="eastAsia" w:ascii="宋体" w:hAnsi="宋体"/>
          <w:sz w:val="24"/>
          <w:lang w:val="en-US" w:eastAsia="zh-CN"/>
        </w:rPr>
        <w:t>下述第四项《技术要求》的书面承诺函。</w:t>
      </w:r>
    </w:p>
    <w:p w14:paraId="15F3DB4F">
      <w:pPr>
        <w:widowControl/>
        <w:spacing w:line="460" w:lineRule="exact"/>
        <w:ind w:firstLine="480" w:firstLineChars="200"/>
        <w:jc w:val="left"/>
      </w:pPr>
      <w:r>
        <w:rPr>
          <w:rFonts w:hint="eastAsia" w:ascii="宋体" w:hAnsi="宋体"/>
          <w:sz w:val="24"/>
        </w:rPr>
        <w:t>维保服务设备清单见表一所示：</w:t>
      </w:r>
    </w:p>
    <w:p w14:paraId="227006EC">
      <w:pPr>
        <w:pStyle w:val="21"/>
        <w:widowControl/>
        <w:snapToGrid w:val="0"/>
        <w:ind w:firstLine="0" w:firstLineChars="0"/>
        <w:jc w:val="center"/>
        <w:outlineLvl w:val="3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表一：服务采购清单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341"/>
        <w:gridCol w:w="1489"/>
        <w:gridCol w:w="2533"/>
        <w:gridCol w:w="1937"/>
      </w:tblGrid>
      <w:tr w14:paraId="02DA0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89" w:type="dxa"/>
          </w:tcPr>
          <w:p w14:paraId="6BEFF283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</w:p>
          <w:p w14:paraId="00886E25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341" w:type="dxa"/>
          </w:tcPr>
          <w:p w14:paraId="4070C2B3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</w:p>
          <w:p w14:paraId="0CF63213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厂商</w:t>
            </w:r>
          </w:p>
        </w:tc>
        <w:tc>
          <w:tcPr>
            <w:tcW w:w="1489" w:type="dxa"/>
          </w:tcPr>
          <w:p w14:paraId="73C4CE97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</w:p>
          <w:p w14:paraId="5BEBB1F5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类型</w:t>
            </w:r>
          </w:p>
        </w:tc>
        <w:tc>
          <w:tcPr>
            <w:tcW w:w="2533" w:type="dxa"/>
          </w:tcPr>
          <w:p w14:paraId="242C1014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</w:p>
          <w:p w14:paraId="7C16EC0A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型号</w:t>
            </w:r>
          </w:p>
        </w:tc>
        <w:tc>
          <w:tcPr>
            <w:tcW w:w="1937" w:type="dxa"/>
          </w:tcPr>
          <w:p w14:paraId="24F34AB4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</w:p>
          <w:p w14:paraId="166A30AC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数量</w:t>
            </w:r>
          </w:p>
        </w:tc>
      </w:tr>
      <w:tr w14:paraId="2A818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89" w:type="dxa"/>
          </w:tcPr>
          <w:p w14:paraId="15134A02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1</w:t>
            </w:r>
          </w:p>
        </w:tc>
        <w:tc>
          <w:tcPr>
            <w:tcW w:w="1341" w:type="dxa"/>
          </w:tcPr>
          <w:p w14:paraId="200AE008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H</w:t>
            </w:r>
            <w:r>
              <w:rPr>
                <w:rFonts w:asciiTheme="minorEastAsia" w:hAnsiTheme="minorEastAsia"/>
                <w:b/>
                <w:bCs/>
                <w:sz w:val="22"/>
              </w:rPr>
              <w:t>3C</w:t>
            </w:r>
          </w:p>
        </w:tc>
        <w:tc>
          <w:tcPr>
            <w:tcW w:w="1489" w:type="dxa"/>
          </w:tcPr>
          <w:p w14:paraId="5C415A50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SR-8812-X</w:t>
            </w:r>
          </w:p>
        </w:tc>
        <w:tc>
          <w:tcPr>
            <w:tcW w:w="2533" w:type="dxa"/>
          </w:tcPr>
          <w:p w14:paraId="52328CDF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H3C SR8812-X</w:t>
            </w:r>
          </w:p>
        </w:tc>
        <w:tc>
          <w:tcPr>
            <w:tcW w:w="1937" w:type="dxa"/>
          </w:tcPr>
          <w:p w14:paraId="785330BC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14:paraId="22FF9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89" w:type="dxa"/>
          </w:tcPr>
          <w:p w14:paraId="70ACDEDF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2</w:t>
            </w:r>
          </w:p>
        </w:tc>
        <w:tc>
          <w:tcPr>
            <w:tcW w:w="1341" w:type="dxa"/>
          </w:tcPr>
          <w:p w14:paraId="32EF0AD9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H</w:t>
            </w:r>
            <w:r>
              <w:rPr>
                <w:rFonts w:asciiTheme="minorEastAsia" w:hAnsiTheme="minorEastAsia"/>
                <w:b/>
                <w:bCs/>
                <w:sz w:val="22"/>
              </w:rPr>
              <w:t>3C</w:t>
            </w:r>
          </w:p>
        </w:tc>
        <w:tc>
          <w:tcPr>
            <w:tcW w:w="1489" w:type="dxa"/>
          </w:tcPr>
          <w:p w14:paraId="177FE7CC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LS-10510</w:t>
            </w:r>
          </w:p>
        </w:tc>
        <w:tc>
          <w:tcPr>
            <w:tcW w:w="2533" w:type="dxa"/>
          </w:tcPr>
          <w:p w14:paraId="20EC4318">
            <w:pPr>
              <w:pStyle w:val="21"/>
              <w:widowControl/>
              <w:snapToGrid w:val="0"/>
              <w:ind w:firstLine="600" w:firstLineChars="300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H3C S10510</w:t>
            </w:r>
          </w:p>
        </w:tc>
        <w:tc>
          <w:tcPr>
            <w:tcW w:w="1937" w:type="dxa"/>
          </w:tcPr>
          <w:p w14:paraId="22D6BC39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14:paraId="4A9C6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89" w:type="dxa"/>
          </w:tcPr>
          <w:p w14:paraId="5F3FD65F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3</w:t>
            </w:r>
          </w:p>
        </w:tc>
        <w:tc>
          <w:tcPr>
            <w:tcW w:w="1341" w:type="dxa"/>
          </w:tcPr>
          <w:p w14:paraId="2F0FEF07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H</w:t>
            </w:r>
            <w:r>
              <w:rPr>
                <w:rFonts w:asciiTheme="minorEastAsia" w:hAnsiTheme="minorEastAsia"/>
                <w:b/>
                <w:bCs/>
                <w:sz w:val="22"/>
              </w:rPr>
              <w:t>3C</w:t>
            </w:r>
          </w:p>
        </w:tc>
        <w:tc>
          <w:tcPr>
            <w:tcW w:w="1489" w:type="dxa"/>
          </w:tcPr>
          <w:p w14:paraId="1151A455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LSXM1SUPB1</w:t>
            </w:r>
          </w:p>
        </w:tc>
        <w:tc>
          <w:tcPr>
            <w:tcW w:w="2533" w:type="dxa"/>
          </w:tcPr>
          <w:p w14:paraId="0419FA9E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H3C S12500X-AF</w:t>
            </w:r>
          </w:p>
        </w:tc>
        <w:tc>
          <w:tcPr>
            <w:tcW w:w="1937" w:type="dxa"/>
          </w:tcPr>
          <w:p w14:paraId="73B0398A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14:paraId="24973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89" w:type="dxa"/>
          </w:tcPr>
          <w:p w14:paraId="0B29F445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4</w:t>
            </w:r>
          </w:p>
        </w:tc>
        <w:tc>
          <w:tcPr>
            <w:tcW w:w="1341" w:type="dxa"/>
          </w:tcPr>
          <w:p w14:paraId="638CA194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H</w:t>
            </w:r>
            <w:r>
              <w:rPr>
                <w:rFonts w:asciiTheme="minorEastAsia" w:hAnsiTheme="minorEastAsia"/>
                <w:b/>
                <w:bCs/>
                <w:sz w:val="22"/>
              </w:rPr>
              <w:t>3C</w:t>
            </w:r>
          </w:p>
        </w:tc>
        <w:tc>
          <w:tcPr>
            <w:tcW w:w="1489" w:type="dxa"/>
          </w:tcPr>
          <w:p w14:paraId="251F928B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SR-8808-X</w:t>
            </w:r>
          </w:p>
        </w:tc>
        <w:tc>
          <w:tcPr>
            <w:tcW w:w="2533" w:type="dxa"/>
          </w:tcPr>
          <w:p w14:paraId="4745A7ED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H3C SR8808-X</w:t>
            </w:r>
          </w:p>
        </w:tc>
        <w:tc>
          <w:tcPr>
            <w:tcW w:w="1937" w:type="dxa"/>
          </w:tcPr>
          <w:p w14:paraId="5648093C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14:paraId="234E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89" w:type="dxa"/>
          </w:tcPr>
          <w:p w14:paraId="2B2016AE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5</w:t>
            </w:r>
          </w:p>
        </w:tc>
        <w:tc>
          <w:tcPr>
            <w:tcW w:w="1341" w:type="dxa"/>
          </w:tcPr>
          <w:p w14:paraId="0912CAD6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H</w:t>
            </w:r>
            <w:r>
              <w:rPr>
                <w:rFonts w:asciiTheme="minorEastAsia" w:hAnsiTheme="minorEastAsia"/>
                <w:b/>
                <w:bCs/>
                <w:sz w:val="22"/>
              </w:rPr>
              <w:t>3C</w:t>
            </w:r>
          </w:p>
        </w:tc>
        <w:tc>
          <w:tcPr>
            <w:tcW w:w="1489" w:type="dxa"/>
          </w:tcPr>
          <w:p w14:paraId="30FC1B02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LS-10510X</w:t>
            </w:r>
          </w:p>
        </w:tc>
        <w:tc>
          <w:tcPr>
            <w:tcW w:w="2533" w:type="dxa"/>
          </w:tcPr>
          <w:p w14:paraId="52A4D618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H3C S10510X</w:t>
            </w:r>
          </w:p>
        </w:tc>
        <w:tc>
          <w:tcPr>
            <w:tcW w:w="1937" w:type="dxa"/>
          </w:tcPr>
          <w:p w14:paraId="18B643AB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</w:t>
            </w:r>
          </w:p>
        </w:tc>
      </w:tr>
      <w:tr w14:paraId="7E876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89" w:type="dxa"/>
          </w:tcPr>
          <w:p w14:paraId="6DD159D2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6</w:t>
            </w:r>
          </w:p>
        </w:tc>
        <w:tc>
          <w:tcPr>
            <w:tcW w:w="1341" w:type="dxa"/>
          </w:tcPr>
          <w:p w14:paraId="136FC2A1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H</w:t>
            </w:r>
            <w:r>
              <w:rPr>
                <w:rFonts w:asciiTheme="minorEastAsia" w:hAnsiTheme="minorEastAsia"/>
                <w:b/>
                <w:bCs/>
                <w:sz w:val="22"/>
              </w:rPr>
              <w:t>3C</w:t>
            </w:r>
          </w:p>
        </w:tc>
        <w:tc>
          <w:tcPr>
            <w:tcW w:w="1489" w:type="dxa"/>
          </w:tcPr>
          <w:p w14:paraId="418A5F59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WX5560H</w:t>
            </w:r>
          </w:p>
        </w:tc>
        <w:tc>
          <w:tcPr>
            <w:tcW w:w="2533" w:type="dxa"/>
          </w:tcPr>
          <w:p w14:paraId="7478B065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EWP-WX5560H</w:t>
            </w:r>
          </w:p>
        </w:tc>
        <w:tc>
          <w:tcPr>
            <w:tcW w:w="1937" w:type="dxa"/>
          </w:tcPr>
          <w:p w14:paraId="55141571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</w:t>
            </w:r>
          </w:p>
        </w:tc>
      </w:tr>
      <w:tr w14:paraId="19141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89" w:type="dxa"/>
          </w:tcPr>
          <w:p w14:paraId="2BC263D4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7</w:t>
            </w:r>
          </w:p>
        </w:tc>
        <w:tc>
          <w:tcPr>
            <w:tcW w:w="1341" w:type="dxa"/>
          </w:tcPr>
          <w:p w14:paraId="5B7C92DB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Theme="minorEastAsia" w:hAnsiTheme="minorEastAsia"/>
                <w:b/>
                <w:bCs/>
                <w:sz w:val="22"/>
              </w:rPr>
            </w:pPr>
            <w:r>
              <w:rPr>
                <w:rFonts w:hint="eastAsia" w:asciiTheme="minorEastAsia" w:hAnsiTheme="minorEastAsia"/>
                <w:b/>
                <w:bCs/>
                <w:sz w:val="22"/>
              </w:rPr>
              <w:t>H</w:t>
            </w:r>
            <w:r>
              <w:rPr>
                <w:rFonts w:asciiTheme="minorEastAsia" w:hAnsiTheme="minorEastAsia"/>
                <w:b/>
                <w:bCs/>
                <w:sz w:val="22"/>
              </w:rPr>
              <w:t>3C</w:t>
            </w:r>
          </w:p>
        </w:tc>
        <w:tc>
          <w:tcPr>
            <w:tcW w:w="1489" w:type="dxa"/>
          </w:tcPr>
          <w:p w14:paraId="551AC967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WX5540H</w:t>
            </w:r>
          </w:p>
        </w:tc>
        <w:tc>
          <w:tcPr>
            <w:tcW w:w="2533" w:type="dxa"/>
          </w:tcPr>
          <w:p w14:paraId="7FAD5931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EWP-WX5540H</w:t>
            </w:r>
          </w:p>
        </w:tc>
        <w:tc>
          <w:tcPr>
            <w:tcW w:w="1937" w:type="dxa"/>
          </w:tcPr>
          <w:p w14:paraId="3843B8C5">
            <w:pPr>
              <w:pStyle w:val="21"/>
              <w:widowControl/>
              <w:snapToGrid w:val="0"/>
              <w:ind w:firstLine="0" w:firstLineChars="0"/>
              <w:jc w:val="center"/>
              <w:outlineLvl w:val="3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</w:tr>
    </w:tbl>
    <w:p w14:paraId="7FF4EEA6"/>
    <w:p w14:paraId="73CEC63E">
      <w:pPr>
        <w:bidi w:val="0"/>
      </w:pPr>
    </w:p>
    <w:p w14:paraId="72745DEC">
      <w:pPr>
        <w:outlineLvl w:val="2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四、技术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要求</w:t>
      </w:r>
    </w:p>
    <w:p w14:paraId="75441E3E">
      <w:pPr>
        <w:pStyle w:val="5"/>
        <w:snapToGrid w:val="0"/>
        <w:spacing w:before="156" w:beforeLines="50" w:after="156" w:afterLines="50" w:line="240" w:lineRule="auto"/>
        <w:jc w:val="center"/>
      </w:pPr>
      <w:r>
        <w:rPr>
          <w:rFonts w:hint="eastAsia"/>
        </w:rPr>
        <w:t>山东大学校园网网络设备维保服务技术</w:t>
      </w:r>
      <w:r>
        <w:rPr>
          <w:rFonts w:hint="eastAsia"/>
          <w:lang w:val="en-US" w:eastAsia="zh-CN"/>
        </w:rPr>
        <w:t>要求</w:t>
      </w:r>
    </w:p>
    <w:tbl>
      <w:tblPr>
        <w:tblStyle w:val="17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3"/>
        <w:gridCol w:w="2156"/>
        <w:gridCol w:w="947"/>
        <w:gridCol w:w="4556"/>
      </w:tblGrid>
      <w:tr w14:paraId="1CC8D75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1753" w:type="dxa"/>
            <w:shd w:val="clear" w:color="auto" w:fill="FFFFFF" w:themeFill="background1"/>
            <w:vAlign w:val="center"/>
          </w:tcPr>
          <w:p w14:paraId="51492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jc w:val="center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服务内容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E413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jc w:val="center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服务级别</w:t>
            </w:r>
          </w:p>
        </w:tc>
        <w:tc>
          <w:tcPr>
            <w:tcW w:w="947" w:type="dxa"/>
            <w:shd w:val="clear" w:color="auto" w:fill="FFFFFF" w:themeFill="background1"/>
            <w:vAlign w:val="center"/>
          </w:tcPr>
          <w:p w14:paraId="26727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jc w:val="center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服务频率</w:t>
            </w:r>
          </w:p>
        </w:tc>
        <w:tc>
          <w:tcPr>
            <w:tcW w:w="4556" w:type="dxa"/>
            <w:shd w:val="clear" w:color="auto" w:fill="FFFFFF" w:themeFill="background1"/>
            <w:vAlign w:val="center"/>
          </w:tcPr>
          <w:p w14:paraId="0F53C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jc w:val="center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服务内容描述</w:t>
            </w:r>
          </w:p>
        </w:tc>
      </w:tr>
      <w:tr w14:paraId="2F84B77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9412" w:type="dxa"/>
            <w:gridSpan w:val="4"/>
            <w:shd w:val="clear" w:color="auto" w:fill="auto"/>
            <w:vAlign w:val="center"/>
          </w:tcPr>
          <w:p w14:paraId="5FFAB1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一、基本维保服务</w:t>
            </w:r>
          </w:p>
        </w:tc>
      </w:tr>
      <w:tr w14:paraId="38D4BE8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53" w:type="dxa"/>
            <w:shd w:val="clear" w:color="auto" w:fill="auto"/>
            <w:vAlign w:val="center"/>
          </w:tcPr>
          <w:p w14:paraId="117FB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快速备件先行更换服务</w:t>
            </w:r>
          </w:p>
        </w:tc>
        <w:tc>
          <w:tcPr>
            <w:tcW w:w="2156" w:type="dxa"/>
            <w:vAlign w:val="center"/>
          </w:tcPr>
          <w:p w14:paraId="6C744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产品</w:t>
            </w:r>
            <w:r>
              <w:rPr>
                <w:rFonts w:hint="eastAsia" w:asciiTheme="minorEastAsia" w:hAnsiTheme="minorEastAsia"/>
                <w:szCs w:val="21"/>
              </w:rPr>
              <w:t>基本</w:t>
            </w:r>
            <w:r>
              <w:rPr>
                <w:rFonts w:asciiTheme="minorEastAsia" w:hAnsiTheme="minorEastAsia"/>
                <w:szCs w:val="21"/>
              </w:rPr>
              <w:t>维保服务</w:t>
            </w:r>
            <w:r>
              <w:rPr>
                <w:rFonts w:hint="eastAsia" w:asciiTheme="minorEastAsia" w:hAnsiTheme="minorEastAsia"/>
                <w:szCs w:val="21"/>
              </w:rPr>
              <w:t>尊享版</w:t>
            </w:r>
            <w:r>
              <w:rPr>
                <w:rFonts w:asciiTheme="minorEastAsia" w:hAnsiTheme="minorEastAsia"/>
                <w:szCs w:val="21"/>
              </w:rPr>
              <w:t>7×24×</w:t>
            </w:r>
            <w:r>
              <w:rPr>
                <w:rFonts w:hint="eastAsia" w:asciiTheme="minorEastAsia" w:hAnsiTheme="minorEastAsia"/>
                <w:szCs w:val="21"/>
              </w:rPr>
              <w:t>4到达</w:t>
            </w:r>
          </w:p>
        </w:tc>
        <w:tc>
          <w:tcPr>
            <w:tcW w:w="947" w:type="dxa"/>
          </w:tcPr>
          <w:p w14:paraId="442AF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服务期限内</w:t>
            </w:r>
          </w:p>
        </w:tc>
        <w:tc>
          <w:tcPr>
            <w:tcW w:w="4556" w:type="dxa"/>
          </w:tcPr>
          <w:p w14:paraId="3E71E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7</w:t>
            </w:r>
            <w:r>
              <w:rPr>
                <w:rFonts w:asciiTheme="minorEastAsia" w:hAnsiTheme="minorEastAsia"/>
                <w:szCs w:val="21"/>
              </w:rPr>
              <w:t>×24</w:t>
            </w:r>
            <w:r>
              <w:rPr>
                <w:rFonts w:hint="eastAsia" w:asciiTheme="minorEastAsia" w:hAnsiTheme="minorEastAsia"/>
                <w:szCs w:val="21"/>
              </w:rPr>
              <w:t>：1年3</w:t>
            </w:r>
            <w:r>
              <w:rPr>
                <w:rFonts w:asciiTheme="minorEastAsia" w:hAnsiTheme="minorEastAsia"/>
                <w:szCs w:val="21"/>
              </w:rPr>
              <w:t>65天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周一至周日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每天24小时为新华三受理客户备件支持需求</w:t>
            </w:r>
            <w:r>
              <w:rPr>
                <w:rFonts w:hint="eastAsia" w:asciiTheme="minorEastAsia" w:hAnsiTheme="minorEastAsia"/>
                <w:szCs w:val="21"/>
              </w:rPr>
              <w:t>。</w:t>
            </w:r>
          </w:p>
          <w:p w14:paraId="33435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到达：备件在4</w:t>
            </w:r>
            <w:r>
              <w:rPr>
                <w:rFonts w:hint="eastAsia" w:asciiTheme="minorEastAsia" w:hAnsiTheme="minorEastAsia"/>
                <w:szCs w:val="21"/>
              </w:rPr>
              <w:t>小时内</w:t>
            </w:r>
            <w:r>
              <w:rPr>
                <w:rFonts w:asciiTheme="minorEastAsia" w:hAnsiTheme="minorEastAsia"/>
                <w:szCs w:val="21"/>
              </w:rPr>
              <w:t>到达</w:t>
            </w:r>
          </w:p>
        </w:tc>
      </w:tr>
      <w:tr w14:paraId="66CE5F3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53" w:type="dxa"/>
            <w:shd w:val="clear" w:color="auto" w:fill="auto"/>
            <w:vAlign w:val="center"/>
          </w:tcPr>
          <w:p w14:paraId="549F4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远程技术支持服务</w:t>
            </w:r>
          </w:p>
        </w:tc>
        <w:tc>
          <w:tcPr>
            <w:tcW w:w="2156" w:type="dxa"/>
            <w:vAlign w:val="center"/>
          </w:tcPr>
          <w:p w14:paraId="7CC04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7×24</w:t>
            </w:r>
          </w:p>
        </w:tc>
        <w:tc>
          <w:tcPr>
            <w:tcW w:w="947" w:type="dxa"/>
            <w:vAlign w:val="center"/>
          </w:tcPr>
          <w:p w14:paraId="76F77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服务期限内</w:t>
            </w:r>
          </w:p>
        </w:tc>
        <w:tc>
          <w:tcPr>
            <w:tcW w:w="4556" w:type="dxa"/>
          </w:tcPr>
          <w:p w14:paraId="0EF1A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7</w:t>
            </w:r>
            <w:r>
              <w:rPr>
                <w:rFonts w:hint="eastAsia" w:asciiTheme="minorEastAsia" w:hAnsiTheme="minorEastAsia"/>
                <w:szCs w:val="21"/>
              </w:rPr>
              <w:t>×</w:t>
            </w:r>
            <w:r>
              <w:rPr>
                <w:rFonts w:asciiTheme="minorEastAsia" w:hAnsiTheme="minorEastAsia"/>
                <w:szCs w:val="21"/>
              </w:rPr>
              <w:t>24小时</w:t>
            </w:r>
            <w:r>
              <w:rPr>
                <w:rFonts w:hint="eastAsia" w:asciiTheme="minorEastAsia" w:hAnsiTheme="minorEastAsia"/>
                <w:szCs w:val="21"/>
              </w:rPr>
              <w:t>电话响应</w:t>
            </w:r>
            <w:r>
              <w:rPr>
                <w:rFonts w:asciiTheme="minorEastAsia" w:hAnsiTheme="minorEastAsia"/>
                <w:szCs w:val="21"/>
              </w:rPr>
              <w:t>进行问题受理</w:t>
            </w:r>
            <w:r>
              <w:rPr>
                <w:rFonts w:hint="eastAsia" w:asciiTheme="minorEastAsia" w:hAnsiTheme="minorEastAsia"/>
                <w:szCs w:val="21"/>
              </w:rPr>
              <w:t>、问题分析、问题处理，确保</w:t>
            </w:r>
            <w:r>
              <w:rPr>
                <w:rFonts w:asciiTheme="minorEastAsia" w:hAnsiTheme="minorEastAsia"/>
                <w:szCs w:val="21"/>
              </w:rPr>
              <w:t>问题得到原厂权威解答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疑难问题快速上升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代码级等产品底层问题快速定位</w:t>
            </w:r>
            <w:r>
              <w:rPr>
                <w:rFonts w:hint="eastAsia" w:asciiTheme="minorEastAsia" w:hAnsiTheme="minorEastAsia"/>
                <w:szCs w:val="21"/>
              </w:rPr>
              <w:t>和问题</w:t>
            </w:r>
            <w:r>
              <w:rPr>
                <w:rFonts w:asciiTheme="minorEastAsia" w:hAnsiTheme="minorEastAsia"/>
                <w:szCs w:val="21"/>
              </w:rPr>
              <w:t>闭环</w:t>
            </w:r>
            <w:r>
              <w:rPr>
                <w:rFonts w:hint="eastAsia" w:asciiTheme="minorEastAsia" w:hAnsiTheme="minorEastAsia"/>
                <w:szCs w:val="21"/>
              </w:rPr>
              <w:t>。紧急故障，</w:t>
            </w:r>
            <w:r>
              <w:rPr>
                <w:rFonts w:asciiTheme="minorEastAsia" w:hAnsiTheme="minorEastAsia"/>
                <w:szCs w:val="21"/>
              </w:rPr>
              <w:t>第一时间</w:t>
            </w:r>
            <w:r>
              <w:rPr>
                <w:rFonts w:hint="eastAsia" w:asciiTheme="minorEastAsia" w:hAnsiTheme="minorEastAsia"/>
                <w:szCs w:val="21"/>
              </w:rPr>
              <w:t>优先</w:t>
            </w:r>
            <w:r>
              <w:rPr>
                <w:rFonts w:asciiTheme="minorEastAsia" w:hAnsiTheme="minorEastAsia"/>
                <w:szCs w:val="21"/>
              </w:rPr>
              <w:t>配合恢复业务，及时降低</w:t>
            </w:r>
            <w:r>
              <w:rPr>
                <w:rFonts w:hint="eastAsia" w:asciiTheme="minorEastAsia" w:hAnsiTheme="minorEastAsia"/>
                <w:szCs w:val="21"/>
              </w:rPr>
              <w:t>客户数据中心核心</w:t>
            </w:r>
            <w:r>
              <w:rPr>
                <w:rFonts w:asciiTheme="minorEastAsia" w:hAnsiTheme="minorEastAsia"/>
                <w:szCs w:val="21"/>
              </w:rPr>
              <w:t>业务受影响范围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缩短设备故障时间</w:t>
            </w:r>
          </w:p>
        </w:tc>
      </w:tr>
      <w:tr w14:paraId="194E4E7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53" w:type="dxa"/>
            <w:shd w:val="clear" w:color="auto" w:fill="auto"/>
            <w:vAlign w:val="center"/>
          </w:tcPr>
          <w:p w14:paraId="16283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技术专家技术支持</w:t>
            </w:r>
          </w:p>
        </w:tc>
        <w:tc>
          <w:tcPr>
            <w:tcW w:w="2156" w:type="dxa"/>
            <w:vAlign w:val="center"/>
          </w:tcPr>
          <w:p w14:paraId="1F675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远程实时响应及现场支持</w:t>
            </w:r>
          </w:p>
        </w:tc>
        <w:tc>
          <w:tcPr>
            <w:tcW w:w="947" w:type="dxa"/>
            <w:vAlign w:val="center"/>
          </w:tcPr>
          <w:p w14:paraId="59F0DB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服务期限内</w:t>
            </w:r>
          </w:p>
        </w:tc>
        <w:tc>
          <w:tcPr>
            <w:tcW w:w="4556" w:type="dxa"/>
          </w:tcPr>
          <w:p w14:paraId="0832A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新华三技术支持中心</w:t>
            </w:r>
            <w:r>
              <w:rPr>
                <w:rFonts w:hint="eastAsia" w:asciiTheme="minorEastAsia" w:hAnsiTheme="minorEastAsia"/>
                <w:szCs w:val="21"/>
              </w:rPr>
              <w:t>一线、二线技术专家+行业支持部现场技术专家。</w:t>
            </w:r>
            <w:r>
              <w:rPr>
                <w:rFonts w:asciiTheme="minorEastAsia" w:hAnsiTheme="minorEastAsia"/>
                <w:szCs w:val="21"/>
              </w:rPr>
              <w:t>当问题不能通过电话方式解决时，调派工程师到达用户现场解决问题</w:t>
            </w:r>
            <w:r>
              <w:rPr>
                <w:rFonts w:hint="eastAsia" w:asciiTheme="minorEastAsia" w:hAnsiTheme="minorEastAsia"/>
                <w:szCs w:val="21"/>
              </w:rPr>
              <w:t>。人员和备件到达</w:t>
            </w:r>
            <w:r>
              <w:rPr>
                <w:rFonts w:asciiTheme="minorEastAsia" w:hAnsiTheme="minorEastAsia"/>
                <w:szCs w:val="21"/>
              </w:rPr>
              <w:t>现场后</w:t>
            </w:r>
            <w:r>
              <w:rPr>
                <w:rFonts w:hint="eastAsia" w:asciiTheme="minorEastAsia" w:hAnsiTheme="minorEastAsia"/>
                <w:szCs w:val="21"/>
              </w:rPr>
              <w:t>如仍</w:t>
            </w:r>
            <w:r>
              <w:rPr>
                <w:rFonts w:asciiTheme="minorEastAsia" w:hAnsiTheme="minorEastAsia"/>
                <w:szCs w:val="21"/>
              </w:rPr>
              <w:t>不能有效解决，</w:t>
            </w:r>
            <w:r>
              <w:rPr>
                <w:rFonts w:hint="eastAsia" w:asciiTheme="minorEastAsia" w:hAnsiTheme="minorEastAsia"/>
                <w:szCs w:val="21"/>
              </w:rPr>
              <w:t>工程师</w:t>
            </w:r>
            <w:r>
              <w:rPr>
                <w:rFonts w:asciiTheme="minorEastAsia" w:hAnsiTheme="minorEastAsia"/>
                <w:szCs w:val="21"/>
              </w:rPr>
              <w:t>尽快</w:t>
            </w:r>
            <w:r>
              <w:rPr>
                <w:rFonts w:hint="eastAsia" w:asciiTheme="minorEastAsia" w:hAnsiTheme="minorEastAsia"/>
                <w:szCs w:val="21"/>
              </w:rPr>
              <w:t>进行问题升级至二线和研发专家并配合直到问题解决。对于软件问题，全程跟踪问题升级的解决状态，协助用户提供问题解决所需要的技术参数/资料，并且在提供解决方案后，协助用户安装并测试所提供的方案，尽快彻底解决用户的问题</w:t>
            </w:r>
          </w:p>
        </w:tc>
      </w:tr>
      <w:tr w14:paraId="44727E4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53" w:type="dxa"/>
            <w:shd w:val="clear" w:color="auto" w:fill="auto"/>
            <w:vAlign w:val="center"/>
          </w:tcPr>
          <w:p w14:paraId="6C257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在线支持服务</w:t>
            </w:r>
          </w:p>
        </w:tc>
        <w:tc>
          <w:tcPr>
            <w:tcW w:w="2156" w:type="dxa"/>
            <w:vAlign w:val="center"/>
          </w:tcPr>
          <w:p w14:paraId="75824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7×24</w:t>
            </w:r>
          </w:p>
        </w:tc>
        <w:tc>
          <w:tcPr>
            <w:tcW w:w="947" w:type="dxa"/>
            <w:vAlign w:val="center"/>
          </w:tcPr>
          <w:p w14:paraId="214E6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服务期限内</w:t>
            </w:r>
          </w:p>
        </w:tc>
        <w:tc>
          <w:tcPr>
            <w:tcW w:w="4556" w:type="dxa"/>
          </w:tcPr>
          <w:p w14:paraId="5767C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客户获取在线支持服务授权，以新华三公司用户身份访问新华三公司网站和知了社区。可使用和获取大量产品和技术资料，如产品版本、产品安装指南、版本说明书、经典维护案例、经验汇总及问题解答</w:t>
            </w:r>
          </w:p>
        </w:tc>
      </w:tr>
      <w:tr w14:paraId="0F01F25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9412" w:type="dxa"/>
            <w:gridSpan w:val="4"/>
            <w:shd w:val="clear" w:color="auto" w:fill="auto"/>
            <w:vAlign w:val="center"/>
          </w:tcPr>
          <w:p w14:paraId="77623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二、主动技术保障服务</w:t>
            </w:r>
          </w:p>
        </w:tc>
      </w:tr>
      <w:tr w14:paraId="3211A8A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53" w:type="dxa"/>
            <w:shd w:val="clear" w:color="auto" w:fill="auto"/>
            <w:vAlign w:val="center"/>
          </w:tcPr>
          <w:p w14:paraId="58BB5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重要时刻现场备件保障支持（按需可选）</w:t>
            </w:r>
          </w:p>
        </w:tc>
        <w:tc>
          <w:tcPr>
            <w:tcW w:w="2156" w:type="dxa"/>
            <w:vAlign w:val="center"/>
          </w:tcPr>
          <w:p w14:paraId="254DF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7*</w:t>
            </w:r>
            <w:r>
              <w:rPr>
                <w:rFonts w:asciiTheme="minorEastAsia" w:hAnsiTheme="minorEastAsia"/>
                <w:szCs w:val="21"/>
              </w:rPr>
              <w:t>24</w:t>
            </w:r>
          </w:p>
        </w:tc>
        <w:tc>
          <w:tcPr>
            <w:tcW w:w="947" w:type="dxa"/>
            <w:vAlign w:val="center"/>
          </w:tcPr>
          <w:p w14:paraId="3B9FF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服务期限内重要保障时期</w:t>
            </w:r>
          </w:p>
        </w:tc>
        <w:tc>
          <w:tcPr>
            <w:tcW w:w="4556" w:type="dxa"/>
          </w:tcPr>
          <w:p w14:paraId="03857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36" w:lineRule="auto"/>
              <w:textAlignment w:val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根据客户需要，提供一定数量的设备关键配件（如电池、电源、硬盘、处理器、内存、业务板、易损整机等），放置在客户现场作为应急保障用的备品备件</w:t>
            </w:r>
          </w:p>
        </w:tc>
      </w:tr>
    </w:tbl>
    <w:p w14:paraId="24D9CA14">
      <w:pPr>
        <w:pStyle w:val="29"/>
        <w:snapToGrid w:val="0"/>
        <w:spacing w:before="62" w:beforeLines="20" w:after="62" w:afterLines="20"/>
        <w:ind w:firstLine="105" w:firstLineChars="50"/>
        <w:rPr>
          <w:rFonts w:hint="eastAsia" w:ascii="宋体" w:hAnsi="宋体" w:eastAsia="宋体" w:cs="宋体"/>
          <w:b/>
          <w:color w:val="FF0000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color w:val="FF0000"/>
          <w:szCs w:val="21"/>
          <w:lang w:val="en-US" w:eastAsia="zh-CN"/>
        </w:rPr>
        <w:t>*本技术要求必须完全响应并出具书面承诺函，否则投标文件视为无效。</w:t>
      </w:r>
    </w:p>
    <w:p w14:paraId="7A24E7D1">
      <w:pPr>
        <w:pStyle w:val="21"/>
      </w:pPr>
    </w:p>
    <w:p w14:paraId="522A297F">
      <w:pPr>
        <w:outlineLvl w:val="2"/>
        <w:rPr>
          <w:rFonts w:ascii="宋体" w:hAnsi="宋体"/>
          <w:sz w:val="24"/>
        </w:rPr>
      </w:pPr>
      <w:r>
        <w:rPr>
          <w:rFonts w:hint="eastAsia" w:ascii="黑体" w:hAnsi="黑体" w:eastAsia="黑体"/>
          <w:sz w:val="32"/>
          <w:szCs w:val="32"/>
        </w:rPr>
        <w:t>五、商务条款</w:t>
      </w:r>
    </w:p>
    <w:p w14:paraId="3686CADF">
      <w:pPr>
        <w:pStyle w:val="5"/>
        <w:snapToGrid w:val="0"/>
        <w:spacing w:before="156" w:beforeLines="50" w:after="156" w:afterLines="50" w:line="240" w:lineRule="auto"/>
        <w:jc w:val="center"/>
      </w:pPr>
      <w:r>
        <w:rPr>
          <w:rFonts w:hint="eastAsia"/>
        </w:rPr>
        <w:t>山东大学服务采购商务条款响应一览表</w:t>
      </w:r>
    </w:p>
    <w:tbl>
      <w:tblPr>
        <w:tblStyle w:val="16"/>
        <w:tblW w:w="9571" w:type="dxa"/>
        <w:tblInd w:w="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1455"/>
        <w:gridCol w:w="5965"/>
        <w:gridCol w:w="1237"/>
      </w:tblGrid>
      <w:tr w14:paraId="2D39C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1AFC4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项目序号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0DB7A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项目名称</w:t>
            </w:r>
          </w:p>
        </w:tc>
        <w:tc>
          <w:tcPr>
            <w:tcW w:w="5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0B91B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采购人要求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9F5DD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投标人响应</w:t>
            </w:r>
          </w:p>
        </w:tc>
      </w:tr>
      <w:tr w14:paraId="44B7F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CEEE6">
            <w:pPr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1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59D49">
            <w:pPr>
              <w:widowControl/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成交价</w:t>
            </w:r>
          </w:p>
        </w:tc>
        <w:tc>
          <w:tcPr>
            <w:tcW w:w="5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DFC80C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人民币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color w:val="000000"/>
                <w:szCs w:val="21"/>
              </w:rPr>
              <w:t>元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0A35A0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846E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CEDC7">
            <w:pPr>
              <w:jc w:val="center"/>
              <w:rPr>
                <w:b/>
                <w:bCs/>
                <w:color w:val="000000"/>
                <w:szCs w:val="21"/>
              </w:rPr>
            </w:pPr>
            <w:r>
              <w:rPr>
                <w:b/>
                <w:bCs/>
                <w:color w:val="000000"/>
                <w:szCs w:val="21"/>
              </w:rPr>
              <w:t>2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AD817">
            <w:pPr>
              <w:widowControl/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服务时间</w:t>
            </w:r>
          </w:p>
        </w:tc>
        <w:tc>
          <w:tcPr>
            <w:tcW w:w="5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0BA4E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针对客户本期总计</w:t>
            </w:r>
            <w:r>
              <w:rPr>
                <w:rFonts w:asciiTheme="minorEastAsia" w:hAnsiTheme="minorEastAsia"/>
                <w:szCs w:val="21"/>
              </w:rPr>
              <w:t>19</w:t>
            </w:r>
            <w:r>
              <w:rPr>
                <w:rFonts w:hint="eastAsia" w:asciiTheme="minorEastAsia" w:hAnsiTheme="minorEastAsia"/>
                <w:szCs w:val="21"/>
              </w:rPr>
              <w:t>台设备，提供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12个月的维保服务</w:t>
            </w:r>
            <w:r>
              <w:rPr>
                <w:rFonts w:hint="eastAsia" w:asciiTheme="minorEastAsia" w:hAnsiTheme="minorEastAsia"/>
                <w:szCs w:val="21"/>
              </w:rPr>
              <w:t>。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814E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35BCF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4C5CF">
            <w:pPr>
              <w:jc w:val="center"/>
              <w:rPr>
                <w:b/>
                <w:bCs/>
                <w:color w:val="000000"/>
                <w:szCs w:val="21"/>
              </w:rPr>
            </w:pPr>
            <w:r>
              <w:rPr>
                <w:b/>
                <w:bCs/>
                <w:color w:val="000000"/>
                <w:szCs w:val="21"/>
              </w:rPr>
              <w:t>3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58CD0">
            <w:pPr>
              <w:widowControl/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付款方式</w:t>
            </w:r>
          </w:p>
        </w:tc>
        <w:tc>
          <w:tcPr>
            <w:tcW w:w="5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7CFB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签订合同时约定。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89C9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6B664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82AD6">
            <w:pPr>
              <w:jc w:val="center"/>
              <w:rPr>
                <w:b/>
                <w:bCs/>
                <w:color w:val="000000"/>
                <w:szCs w:val="21"/>
              </w:rPr>
            </w:pPr>
            <w:r>
              <w:rPr>
                <w:rFonts w:hint="eastAsia"/>
                <w:b/>
                <w:bCs/>
                <w:color w:val="000000"/>
                <w:szCs w:val="21"/>
              </w:rPr>
              <w:t>4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01992">
            <w:pPr>
              <w:spacing w:line="300" w:lineRule="exact"/>
              <w:ind w:left="267" w:hanging="266" w:hangingChars="127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资质要求</w:t>
            </w:r>
          </w:p>
        </w:tc>
        <w:tc>
          <w:tcPr>
            <w:tcW w:w="5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20155">
            <w:pPr>
              <w:numPr>
                <w:ilvl w:val="0"/>
                <w:numId w:val="3"/>
              </w:numPr>
              <w:spacing w:line="300" w:lineRule="exact"/>
              <w:ind w:left="267" w:hanging="266" w:hangingChars="127"/>
            </w:pPr>
            <w:r>
              <w:rPr>
                <w:rFonts w:hint="eastAsia" w:ascii="宋体" w:hAnsi="宋体"/>
                <w:color w:val="000000"/>
                <w:szCs w:val="21"/>
              </w:rPr>
              <w:t>投标人须提供维保设备制造商授权书。</w:t>
            </w:r>
          </w:p>
          <w:p w14:paraId="5EC9E721">
            <w:pPr>
              <w:numPr>
                <w:ilvl w:val="0"/>
                <w:numId w:val="3"/>
              </w:numPr>
              <w:spacing w:line="300" w:lineRule="exact"/>
              <w:ind w:left="267" w:hanging="266" w:hangingChars="12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中标后30天内，维保服务生效信息须在官网可查。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4C13F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CC16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A1C22">
            <w:pPr>
              <w:spacing w:line="300" w:lineRule="exact"/>
              <w:jc w:val="center"/>
              <w:rPr>
                <w:b/>
                <w:bCs/>
                <w:color w:val="000000"/>
                <w:szCs w:val="21"/>
              </w:rPr>
            </w:pPr>
            <w:r>
              <w:rPr>
                <w:rFonts w:hint="eastAsia"/>
                <w:b/>
                <w:bCs/>
                <w:color w:val="000000"/>
                <w:szCs w:val="21"/>
              </w:rPr>
              <w:t>5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61100">
            <w:pPr>
              <w:widowControl/>
              <w:tabs>
                <w:tab w:val="left" w:pos="420"/>
              </w:tabs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培训</w:t>
            </w:r>
          </w:p>
        </w:tc>
        <w:tc>
          <w:tcPr>
            <w:tcW w:w="5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B7263C">
            <w:pPr>
              <w:spacing w:line="300" w:lineRule="exact"/>
              <w:ind w:left="267" w:hanging="266" w:hangingChars="12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A</w:t>
            </w:r>
            <w:r>
              <w:rPr>
                <w:rFonts w:hint="eastAsia" w:ascii="宋体" w:hAnsi="宋体"/>
                <w:color w:val="000000"/>
                <w:szCs w:val="21"/>
              </w:rPr>
              <w:t>．</w:t>
            </w:r>
            <w:r>
              <w:rPr>
                <w:rFonts w:ascii="宋体" w:hAnsi="宋体"/>
                <w:color w:val="000000"/>
                <w:szCs w:val="21"/>
              </w:rPr>
              <w:t>中标人应对用户人员进行技术培训。使其能掌握有关设备的使用、维护和管理等工作要求。</w:t>
            </w:r>
          </w:p>
          <w:p w14:paraId="2942A1BE">
            <w:pPr>
              <w:spacing w:line="300" w:lineRule="exact"/>
              <w:ind w:left="315" w:hanging="315" w:hangingChars="15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B</w:t>
            </w:r>
            <w:r>
              <w:rPr>
                <w:rFonts w:hint="eastAsia" w:ascii="宋体" w:hAnsi="宋体"/>
                <w:color w:val="000000"/>
                <w:szCs w:val="21"/>
              </w:rPr>
              <w:t>．</w:t>
            </w:r>
            <w:r>
              <w:rPr>
                <w:rFonts w:ascii="宋体" w:hAnsi="宋体"/>
                <w:color w:val="000000"/>
                <w:szCs w:val="21"/>
              </w:rPr>
              <w:t>及时提供相关领域新技术与新信息，提供相关实验室技术咨询。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43B69C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 w14:paraId="3E9C9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A8551">
            <w:pPr>
              <w:spacing w:line="300" w:lineRule="exact"/>
              <w:jc w:val="center"/>
              <w:rPr>
                <w:b/>
                <w:bCs/>
                <w:color w:val="000000"/>
                <w:szCs w:val="21"/>
              </w:rPr>
            </w:pPr>
            <w:r>
              <w:rPr>
                <w:rFonts w:hint="eastAsia"/>
                <w:b/>
                <w:bCs/>
                <w:color w:val="000000"/>
                <w:szCs w:val="21"/>
              </w:rPr>
              <w:t>6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93E75">
            <w:pPr>
              <w:widowControl/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保修与维修</w:t>
            </w:r>
          </w:p>
        </w:tc>
        <w:tc>
          <w:tcPr>
            <w:tcW w:w="5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FDD3AA">
            <w:pPr>
              <w:spacing w:line="300" w:lineRule="exact"/>
              <w:ind w:left="267" w:hanging="266" w:hangingChars="12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A</w:t>
            </w:r>
            <w:r>
              <w:rPr>
                <w:rFonts w:hint="eastAsia" w:ascii="宋体" w:hAnsi="宋体"/>
                <w:color w:val="000000"/>
                <w:szCs w:val="21"/>
              </w:rPr>
              <w:t>．</w:t>
            </w:r>
            <w:r>
              <w:rPr>
                <w:rFonts w:ascii="宋体" w:hAnsi="宋体"/>
                <w:color w:val="000000"/>
                <w:szCs w:val="21"/>
              </w:rPr>
              <w:t>中标人应每月进行一次现场全面免费检查，并写出正式报告。如发现问题应负责解决。</w:t>
            </w:r>
          </w:p>
          <w:p w14:paraId="4EADED55">
            <w:pPr>
              <w:spacing w:line="300" w:lineRule="exact"/>
              <w:ind w:left="267" w:hanging="266" w:hangingChars="12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B</w:t>
            </w:r>
            <w:r>
              <w:rPr>
                <w:rFonts w:hint="eastAsia" w:ascii="宋体" w:hAnsi="宋体"/>
                <w:color w:val="000000"/>
                <w:szCs w:val="21"/>
              </w:rPr>
              <w:t>．</w:t>
            </w:r>
            <w:r>
              <w:rPr>
                <w:rFonts w:ascii="宋体" w:hAnsi="宋体"/>
                <w:color w:val="000000"/>
                <w:szCs w:val="21"/>
              </w:rPr>
              <w:t>中标人需提供负责售后服务的部门或单位的名称和联系方式。维修响应一般情况下4—8小时，终身维修。一般问题应在1周内解决，重大问题或其它无法迅速解决的问题应在1月内解决或提出明确解决方案，否则中标人应赔偿相应损失。</w:t>
            </w:r>
          </w:p>
          <w:p w14:paraId="0176C826">
            <w:pPr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C</w:t>
            </w:r>
            <w:r>
              <w:rPr>
                <w:rFonts w:hint="eastAsia" w:ascii="宋体" w:hAnsi="宋体"/>
                <w:color w:val="000000"/>
                <w:szCs w:val="21"/>
              </w:rPr>
              <w:t>．</w:t>
            </w:r>
            <w:r>
              <w:rPr>
                <w:rFonts w:ascii="宋体" w:hAnsi="宋体"/>
                <w:color w:val="000000"/>
                <w:szCs w:val="21"/>
              </w:rPr>
              <w:t>中标人应定期回访用户。</w:t>
            </w:r>
          </w:p>
          <w:p w14:paraId="44E90D5B">
            <w:pPr>
              <w:spacing w:line="300" w:lineRule="exact"/>
              <w:ind w:left="267" w:hanging="266" w:hangingChars="12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D</w:t>
            </w:r>
            <w:r>
              <w:rPr>
                <w:rFonts w:hint="eastAsia" w:ascii="宋体" w:hAnsi="宋体"/>
                <w:color w:val="000000"/>
                <w:szCs w:val="21"/>
              </w:rPr>
              <w:t>．</w:t>
            </w:r>
            <w:r>
              <w:rPr>
                <w:rFonts w:ascii="宋体" w:hAnsi="宋体"/>
                <w:color w:val="000000"/>
                <w:szCs w:val="21"/>
              </w:rPr>
              <w:t>投标人必须列明保修期后的各项收费标准，需购买的附件和零配件的价格应按主机合同的折扣率给予优惠。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B234B3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</w:tbl>
    <w:p w14:paraId="1876DA6D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备注：</w:t>
      </w:r>
    </w:p>
    <w:p w14:paraId="0E4CD027">
      <w:pPr>
        <w:ind w:firstLine="42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招标完成后，付款方式不可更改。</w:t>
      </w:r>
    </w:p>
    <w:p w14:paraId="74D060B3">
      <w:pPr>
        <w:pStyle w:val="8"/>
        <w:bidi w:val="0"/>
      </w:pPr>
    </w:p>
    <w:p w14:paraId="2DCFC7B6">
      <w:pPr>
        <w:pStyle w:val="8"/>
        <w:bidi w:val="0"/>
      </w:pPr>
    </w:p>
    <w:p w14:paraId="7D9DF324"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 w14:paraId="7D248429">
      <w:pPr>
        <w:rPr>
          <w:rFonts w:ascii="宋体" w:hAnsi="宋体"/>
          <w:sz w:val="24"/>
        </w:rPr>
      </w:pPr>
    </w:p>
    <w:p w14:paraId="7CEF0FA7">
      <w:pPr>
        <w:outlineLvl w:val="2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六</w:t>
      </w: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、培训</w:t>
      </w:r>
    </w:p>
    <w:p w14:paraId="7A38761F">
      <w:pPr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（一）成交供应商需在系统安装前提供完整的培训方案，包括整套系统的部署、使用、管理和维护。</w:t>
      </w:r>
    </w:p>
    <w:p w14:paraId="63187839">
      <w:pPr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（二）应根据用户不同部门的业务特点、不同人员的职责分工、不同阶段的工作变化，有针对性的选择培训讲师、设计培训内容、制作培训教材，分阶段、分批次、分深度的进行培训。不同内容的培训须提前进行教材审核和培训试讲，达不到用户要求的，要进行调整优化。</w:t>
      </w:r>
    </w:p>
    <w:p w14:paraId="08AC7495">
      <w:pPr>
        <w:widowControl/>
        <w:spacing w:line="460" w:lineRule="exact"/>
        <w:ind w:firstLine="42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 w:eastAsia="宋体" w:cs="宋体"/>
          <w:szCs w:val="21"/>
        </w:rPr>
        <w:t>（三）及时提供相关领域新技术与新信息，以及相关技术咨询。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094736F-C612-4E14-8112-84AAAAF5336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E866D7C7-CD35-433D-AFE9-48B9FD35138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A29D552-B3D6-4867-9ADA-FBE5EA2C5C9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Content>
      <w:p w14:paraId="2BAE6BF8"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5</w:t>
        </w:r>
        <w:r>
          <w:fldChar w:fldCharType="end"/>
        </w:r>
      </w:p>
    </w:sdtContent>
  </w:sdt>
  <w:p w14:paraId="5D70C5C9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1BC8F0"/>
    <w:multiLevelType w:val="multilevel"/>
    <w:tmpl w:val="A71BC8F0"/>
    <w:lvl w:ilvl="0" w:tentative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AAC63904"/>
    <w:multiLevelType w:val="singleLevel"/>
    <w:tmpl w:val="AAC63904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abstractNum w:abstractNumId="2">
    <w:nsid w:val="D7ECAF5C"/>
    <w:multiLevelType w:val="singleLevel"/>
    <w:tmpl w:val="D7ECAF5C"/>
    <w:lvl w:ilvl="0" w:tentative="0">
      <w:start w:val="1"/>
      <w:numFmt w:val="upperLetter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U5YmFmNGRhZmQ2NDE0YzA5MTE5Y2NjZjNlYzFhODIifQ=="/>
  </w:docVars>
  <w:rsids>
    <w:rsidRoot w:val="00716252"/>
    <w:rsid w:val="0002689B"/>
    <w:rsid w:val="0006002C"/>
    <w:rsid w:val="000E137A"/>
    <w:rsid w:val="00136BEB"/>
    <w:rsid w:val="001820DD"/>
    <w:rsid w:val="001C55EC"/>
    <w:rsid w:val="001D1332"/>
    <w:rsid w:val="001F0C12"/>
    <w:rsid w:val="00215149"/>
    <w:rsid w:val="0022370A"/>
    <w:rsid w:val="002912A6"/>
    <w:rsid w:val="002B56C4"/>
    <w:rsid w:val="002D5200"/>
    <w:rsid w:val="00300BD5"/>
    <w:rsid w:val="003330DE"/>
    <w:rsid w:val="00387524"/>
    <w:rsid w:val="00387890"/>
    <w:rsid w:val="003A2ACF"/>
    <w:rsid w:val="003A4538"/>
    <w:rsid w:val="003C5B6E"/>
    <w:rsid w:val="00417329"/>
    <w:rsid w:val="00421D72"/>
    <w:rsid w:val="0043478D"/>
    <w:rsid w:val="00484CCF"/>
    <w:rsid w:val="00495CBE"/>
    <w:rsid w:val="004D3F25"/>
    <w:rsid w:val="004E2126"/>
    <w:rsid w:val="00502327"/>
    <w:rsid w:val="00502E8A"/>
    <w:rsid w:val="00522EB4"/>
    <w:rsid w:val="00540DE6"/>
    <w:rsid w:val="00551FE5"/>
    <w:rsid w:val="00570F71"/>
    <w:rsid w:val="005831CB"/>
    <w:rsid w:val="0058562E"/>
    <w:rsid w:val="005A416D"/>
    <w:rsid w:val="00600A87"/>
    <w:rsid w:val="0068113E"/>
    <w:rsid w:val="00712002"/>
    <w:rsid w:val="00716252"/>
    <w:rsid w:val="00755CB2"/>
    <w:rsid w:val="007951A0"/>
    <w:rsid w:val="007A54AC"/>
    <w:rsid w:val="007B007A"/>
    <w:rsid w:val="007C2094"/>
    <w:rsid w:val="007C5FC4"/>
    <w:rsid w:val="007D20CF"/>
    <w:rsid w:val="008272D2"/>
    <w:rsid w:val="008321B8"/>
    <w:rsid w:val="00834F84"/>
    <w:rsid w:val="00871C5C"/>
    <w:rsid w:val="008749A0"/>
    <w:rsid w:val="00893ED0"/>
    <w:rsid w:val="00895B1B"/>
    <w:rsid w:val="008A065C"/>
    <w:rsid w:val="008A3C29"/>
    <w:rsid w:val="008B2B67"/>
    <w:rsid w:val="008B46F8"/>
    <w:rsid w:val="008E0C7E"/>
    <w:rsid w:val="008E4E62"/>
    <w:rsid w:val="00900150"/>
    <w:rsid w:val="009126D2"/>
    <w:rsid w:val="00915097"/>
    <w:rsid w:val="009215F1"/>
    <w:rsid w:val="00933CE0"/>
    <w:rsid w:val="009A38C0"/>
    <w:rsid w:val="009B0CBA"/>
    <w:rsid w:val="009E140B"/>
    <w:rsid w:val="009E3887"/>
    <w:rsid w:val="00A26D56"/>
    <w:rsid w:val="00A43BA0"/>
    <w:rsid w:val="00A727D5"/>
    <w:rsid w:val="00A86B09"/>
    <w:rsid w:val="00AA7CCD"/>
    <w:rsid w:val="00AB08E8"/>
    <w:rsid w:val="00B63007"/>
    <w:rsid w:val="00B72FA6"/>
    <w:rsid w:val="00B860F0"/>
    <w:rsid w:val="00B96857"/>
    <w:rsid w:val="00BB499E"/>
    <w:rsid w:val="00BB6674"/>
    <w:rsid w:val="00BD267A"/>
    <w:rsid w:val="00BD6B86"/>
    <w:rsid w:val="00C6107C"/>
    <w:rsid w:val="00C61D71"/>
    <w:rsid w:val="00CA0472"/>
    <w:rsid w:val="00CD32B9"/>
    <w:rsid w:val="00CE7D7D"/>
    <w:rsid w:val="00CF247E"/>
    <w:rsid w:val="00D03C42"/>
    <w:rsid w:val="00D37729"/>
    <w:rsid w:val="00D45526"/>
    <w:rsid w:val="00D73AE0"/>
    <w:rsid w:val="00D86462"/>
    <w:rsid w:val="00D95350"/>
    <w:rsid w:val="00DE4B54"/>
    <w:rsid w:val="00E4044E"/>
    <w:rsid w:val="00E578DC"/>
    <w:rsid w:val="00EC3137"/>
    <w:rsid w:val="00ED1C20"/>
    <w:rsid w:val="00EE4D67"/>
    <w:rsid w:val="00EF2779"/>
    <w:rsid w:val="00F02C5B"/>
    <w:rsid w:val="00F17DF6"/>
    <w:rsid w:val="00F51DCA"/>
    <w:rsid w:val="00F51EFA"/>
    <w:rsid w:val="00F53005"/>
    <w:rsid w:val="00F914C4"/>
    <w:rsid w:val="00FA03C2"/>
    <w:rsid w:val="00FA1EA8"/>
    <w:rsid w:val="00FE238C"/>
    <w:rsid w:val="00FE46A7"/>
    <w:rsid w:val="00FF07E5"/>
    <w:rsid w:val="01CD46B3"/>
    <w:rsid w:val="026D7F56"/>
    <w:rsid w:val="03E2554B"/>
    <w:rsid w:val="04416D20"/>
    <w:rsid w:val="04A1368C"/>
    <w:rsid w:val="087B7D1C"/>
    <w:rsid w:val="09024A7A"/>
    <w:rsid w:val="0ADD1AD1"/>
    <w:rsid w:val="0C8060A8"/>
    <w:rsid w:val="142E48F8"/>
    <w:rsid w:val="17037DD1"/>
    <w:rsid w:val="1CFE3C35"/>
    <w:rsid w:val="1EBD096D"/>
    <w:rsid w:val="244B0C98"/>
    <w:rsid w:val="25C80FED"/>
    <w:rsid w:val="2B220690"/>
    <w:rsid w:val="2F826518"/>
    <w:rsid w:val="37562F58"/>
    <w:rsid w:val="383D3F43"/>
    <w:rsid w:val="39D001E5"/>
    <w:rsid w:val="3AF235BE"/>
    <w:rsid w:val="3D4E1AE1"/>
    <w:rsid w:val="3D675624"/>
    <w:rsid w:val="407C699B"/>
    <w:rsid w:val="42010CB6"/>
    <w:rsid w:val="42B369F1"/>
    <w:rsid w:val="454F3145"/>
    <w:rsid w:val="46082B9E"/>
    <w:rsid w:val="483D057C"/>
    <w:rsid w:val="48E7743E"/>
    <w:rsid w:val="51C54B6D"/>
    <w:rsid w:val="56ED74A9"/>
    <w:rsid w:val="60D52EE9"/>
    <w:rsid w:val="65FC4085"/>
    <w:rsid w:val="6D9E6B57"/>
    <w:rsid w:val="71627C32"/>
    <w:rsid w:val="75757044"/>
    <w:rsid w:val="7DFBFD6E"/>
    <w:rsid w:val="7F464D2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23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link w:val="25"/>
    <w:qFormat/>
    <w:uiPriority w:val="0"/>
    <w:pPr>
      <w:spacing w:line="360" w:lineRule="auto"/>
      <w:ind w:firstLine="420"/>
    </w:pPr>
    <w:rPr>
      <w:rFonts w:eastAsia="宋体"/>
      <w:sz w:val="24"/>
    </w:rPr>
  </w:style>
  <w:style w:type="paragraph" w:styleId="7">
    <w:name w:val="toc 3"/>
    <w:basedOn w:val="1"/>
    <w:next w:val="1"/>
    <w:qFormat/>
    <w:uiPriority w:val="39"/>
    <w:pPr>
      <w:ind w:left="840" w:leftChars="400"/>
    </w:pPr>
    <w:rPr>
      <w:rFonts w:ascii="Times New Roman" w:hAnsi="Times New Roman" w:eastAsia="宋体" w:cs="Times New Roman"/>
      <w:szCs w:val="20"/>
    </w:rPr>
  </w:style>
  <w:style w:type="paragraph" w:styleId="8">
    <w:name w:val="Plain Text"/>
    <w:basedOn w:val="1"/>
    <w:qFormat/>
    <w:uiPriority w:val="0"/>
    <w:rPr>
      <w:rFonts w:ascii="宋体" w:hAnsi="Courier New" w:eastAsia="宋体" w:cs="Times New Roman"/>
      <w:szCs w:val="20"/>
    </w:rPr>
  </w:style>
  <w:style w:type="paragraph" w:styleId="9">
    <w:name w:val="Balloon Text"/>
    <w:basedOn w:val="1"/>
    <w:link w:val="26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rPr>
      <w:rFonts w:ascii="Times New Roman" w:hAnsi="Times New Roman" w:eastAsia="宋体" w:cs="Times New Roman"/>
      <w:szCs w:val="20"/>
    </w:rPr>
  </w:style>
  <w:style w:type="paragraph" w:styleId="13">
    <w:name w:val="Body Text Indent 3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14">
    <w:name w:val="toc 2"/>
    <w:basedOn w:val="1"/>
    <w:next w:val="1"/>
    <w:qFormat/>
    <w:uiPriority w:val="39"/>
    <w:pPr>
      <w:ind w:left="420" w:leftChars="200"/>
    </w:pPr>
    <w:rPr>
      <w:rFonts w:ascii="Times New Roman" w:hAnsi="Times New Roman" w:eastAsia="宋体" w:cs="Times New Roman"/>
      <w:szCs w:val="20"/>
    </w:rPr>
  </w:style>
  <w:style w:type="paragraph" w:styleId="15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page number"/>
    <w:basedOn w:val="18"/>
    <w:qFormat/>
    <w:uiPriority w:val="0"/>
  </w:style>
  <w:style w:type="character" w:styleId="20">
    <w:name w:val="Hyperlink"/>
    <w:basedOn w:val="18"/>
    <w:qFormat/>
    <w:uiPriority w:val="99"/>
    <w:rPr>
      <w:color w:val="0000FF"/>
      <w:u w:val="single"/>
    </w:rPr>
  </w:style>
  <w:style w:type="paragraph" w:styleId="2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2">
    <w:name w:val="标题 1 字符"/>
    <w:basedOn w:val="18"/>
    <w:link w:val="3"/>
    <w:qFormat/>
    <w:uiPriority w:val="9"/>
    <w:rPr>
      <w:b/>
      <w:bCs/>
      <w:kern w:val="44"/>
      <w:sz w:val="44"/>
      <w:szCs w:val="44"/>
    </w:rPr>
  </w:style>
  <w:style w:type="character" w:customStyle="1" w:styleId="23">
    <w:name w:val="标题 2 字符"/>
    <w:basedOn w:val="18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4">
    <w:name w:val="标题 3 字符"/>
    <w:basedOn w:val="18"/>
    <w:link w:val="4"/>
    <w:semiHidden/>
    <w:qFormat/>
    <w:uiPriority w:val="9"/>
    <w:rPr>
      <w:b/>
      <w:bCs/>
      <w:sz w:val="32"/>
      <w:szCs w:val="32"/>
    </w:rPr>
  </w:style>
  <w:style w:type="character" w:customStyle="1" w:styleId="25">
    <w:name w:val="正文缩进 字符"/>
    <w:link w:val="6"/>
    <w:qFormat/>
    <w:uiPriority w:val="0"/>
    <w:rPr>
      <w:rFonts w:eastAsia="宋体"/>
      <w:sz w:val="24"/>
    </w:rPr>
  </w:style>
  <w:style w:type="character" w:customStyle="1" w:styleId="26">
    <w:name w:val="批注框文本 字符"/>
    <w:basedOn w:val="18"/>
    <w:link w:val="9"/>
    <w:semiHidden/>
    <w:qFormat/>
    <w:uiPriority w:val="99"/>
    <w:rPr>
      <w:sz w:val="18"/>
      <w:szCs w:val="18"/>
    </w:rPr>
  </w:style>
  <w:style w:type="character" w:customStyle="1" w:styleId="27">
    <w:name w:val="页眉 字符"/>
    <w:basedOn w:val="18"/>
    <w:link w:val="11"/>
    <w:qFormat/>
    <w:uiPriority w:val="99"/>
    <w:rPr>
      <w:sz w:val="18"/>
      <w:szCs w:val="18"/>
    </w:rPr>
  </w:style>
  <w:style w:type="character" w:customStyle="1" w:styleId="28">
    <w:name w:val="页脚 字符"/>
    <w:basedOn w:val="18"/>
    <w:link w:val="10"/>
    <w:qFormat/>
    <w:uiPriority w:val="99"/>
    <w:rPr>
      <w:sz w:val="18"/>
      <w:szCs w:val="18"/>
    </w:rPr>
  </w:style>
  <w:style w:type="paragraph" w:customStyle="1" w:styleId="29">
    <w:name w:val="_Style 18"/>
    <w:basedOn w:val="1"/>
    <w:next w:val="21"/>
    <w:qFormat/>
    <w:uiPriority w:val="0"/>
    <w:pPr>
      <w:ind w:firstLine="420" w:firstLineChars="200"/>
    </w:pPr>
    <w:rPr>
      <w:rFonts w:ascii="Calibri" w:hAnsi="Calibri"/>
    </w:rPr>
  </w:style>
  <w:style w:type="character" w:customStyle="1" w:styleId="30">
    <w:name w:val="fontstyle01"/>
    <w:qFormat/>
    <w:uiPriority w:val="0"/>
    <w:rPr>
      <w:rFonts w:hint="eastAsia" w:ascii="宋体" w:hAnsi="宋体" w:eastAsia="宋体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H3C</Company>
  <Pages>4</Pages>
  <Words>647</Words>
  <Characters>812</Characters>
  <Lines>28</Lines>
  <Paragraphs>8</Paragraphs>
  <TotalTime>3</TotalTime>
  <ScaleCrop>false</ScaleCrop>
  <LinksUpToDate>false</LinksUpToDate>
  <CharactersWithSpaces>828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2023-12-05T08:09:00Z</dcterms:created>
  <dc:creator>wonder</dc:creator>
  <cp:lastModifiedBy>李振</cp:lastModifiedBy>
  <cp:lastPrinted>2026-09-15T02:36:00Z</cp:lastPrinted>
  <dcterms:modified xsi:type="dcterms:W3CDTF">2026-10-12T06:28:02Z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9AD36219D6C94FCAB37CBE6FC056C6DD_13</vt:lpwstr>
  </property>
  <property fmtid="{D5CDD505-2E9C-101B-9397-08002B2CF9AE}" pid="4" name="KSOTemplateDocerSaveRecord">
    <vt:lpwstr>eyJoZGlkIjoiMzEwNTM5NzYwMDRjMzkwZTVkZjY2ODkwMGIxNGU0OTUiLCJ1c2VySWQiOiIxNTc4ODc2MDcwIn0=</vt:lpwstr>
  </property>
</Properties>
</file>