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E875F0">
      <w:pPr>
        <w:pStyle w:val="3"/>
        <w:numPr>
          <w:ilvl w:val="0"/>
          <w:numId w:val="0"/>
        </w:numPr>
        <w:snapToGrid w:val="0"/>
        <w:spacing w:before="0" w:after="0" w:line="360" w:lineRule="auto"/>
        <w:jc w:val="center"/>
        <w:rPr>
          <w:rFonts w:hint="eastAsia" w:ascii="宋体" w:hAnsi="宋体" w:eastAsia="宋体" w:cs="宋体"/>
          <w:color w:val="000000" w:themeColor="text1"/>
          <w:kern w:val="2"/>
          <w:sz w:val="32"/>
          <w:highlight w:val="none"/>
          <w14:textFill>
            <w14:solidFill>
              <w14:schemeClr w14:val="tx1"/>
            </w14:solidFill>
          </w14:textFill>
        </w:rPr>
      </w:pPr>
      <w:bookmarkStart w:id="0" w:name="_Toc27029"/>
      <w:r>
        <w:rPr>
          <w:rFonts w:hint="eastAsia" w:ascii="宋体" w:hAnsi="宋体" w:eastAsia="宋体" w:cs="宋体"/>
          <w:color w:val="000000" w:themeColor="text1"/>
          <w:kern w:val="2"/>
          <w:sz w:val="32"/>
          <w:highlight w:val="none"/>
          <w14:textFill>
            <w14:solidFill>
              <w14:schemeClr w14:val="tx1"/>
            </w14:solidFill>
          </w14:textFill>
        </w:rPr>
        <w:t>采购内容及项目要求</w:t>
      </w:r>
      <w:bookmarkEnd w:id="0"/>
    </w:p>
    <w:p w14:paraId="5D8C14D5">
      <w:pPr>
        <w:keepNext w:val="0"/>
        <w:keepLines w:val="0"/>
        <w:pageBreakBefore w:val="0"/>
        <w:widowControl w:val="0"/>
        <w:tabs>
          <w:tab w:val="left" w:pos="540"/>
        </w:tabs>
        <w:kinsoku/>
        <w:wordWrap/>
        <w:overflowPunct/>
        <w:topLinePunct w:val="0"/>
        <w:autoSpaceDE/>
        <w:autoSpaceDN/>
        <w:bidi w:val="0"/>
        <w:adjustRightInd/>
        <w:snapToGrid/>
        <w:spacing w:line="360" w:lineRule="auto"/>
        <w:jc w:val="left"/>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一、项目概述</w:t>
      </w:r>
    </w:p>
    <w:p w14:paraId="723EFABD">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为落实立德树人根本任务，深入推进全员、全过程、全方位、全领域育人，学校每年9月召开一校三地（济南、威海、青岛）新生开学典礼、每年6月召开一校三地（济南、威海、青岛）毕业典礼暨学位授予仪式。现拟采购一家服务单位为济南校区开学典礼、毕业典礼提供方案策划布置、舞美设计、舞台搭建等相关工作，并提供一校三地（济南、威海、青岛）同步技术解决方案与整体实施方案并提供相关技术保障与支持等服务工作。</w:t>
      </w:r>
    </w:p>
    <w:p w14:paraId="242539AF">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本项目共分为 1 个包，供应商不得对包中所报服务分解后进行响应。本项目预算总金额为人民币90万元。</w:t>
      </w:r>
    </w:p>
    <w:p w14:paraId="1E5A888D">
      <w:pPr>
        <w:keepNext w:val="0"/>
        <w:keepLines w:val="0"/>
        <w:pageBreakBefore w:val="0"/>
        <w:widowControl w:val="0"/>
        <w:numPr>
          <w:ilvl w:val="0"/>
          <w:numId w:val="0"/>
        </w:numPr>
        <w:tabs>
          <w:tab w:val="left" w:pos="540"/>
        </w:tabs>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4"/>
          <w:szCs w:val="24"/>
          <w:lang w:val="en-US" w:eastAsia="zh-CN"/>
        </w:rPr>
      </w:pPr>
      <w:r>
        <w:rPr>
          <w:rFonts w:hint="eastAsia" w:ascii="宋体" w:hAnsi="宋体" w:eastAsia="宋体" w:cs="宋体"/>
          <w:b/>
          <w:bCs/>
          <w:kern w:val="2"/>
          <w:sz w:val="24"/>
          <w:szCs w:val="24"/>
          <w:lang w:val="en-US" w:eastAsia="zh-CN" w:bidi="ar-SA"/>
        </w:rPr>
        <w:t>二、</w:t>
      </w:r>
      <w:r>
        <w:rPr>
          <w:rFonts w:hint="eastAsia" w:ascii="宋体" w:hAnsi="宋体" w:eastAsia="宋体" w:cs="宋体"/>
          <w:b/>
          <w:bCs/>
          <w:sz w:val="24"/>
          <w:szCs w:val="24"/>
          <w:lang w:val="en-US" w:eastAsia="zh-CN"/>
        </w:rPr>
        <w:t>项目要求</w:t>
      </w:r>
    </w:p>
    <w:p w14:paraId="0C5C2CFB">
      <w:pPr>
        <w:snapToGrid w:val="0"/>
        <w:spacing w:line="360" w:lineRule="auto"/>
        <w:jc w:val="center"/>
        <w:rPr>
          <w:rFonts w:hint="eastAsia"/>
          <w:b/>
          <w:bCs/>
          <w:sz w:val="32"/>
          <w:highlight w:val="none"/>
        </w:rPr>
      </w:pPr>
      <w:r>
        <w:rPr>
          <w:rFonts w:hint="eastAsia" w:ascii="宋体" w:hAnsi="宋体" w:eastAsia="宋体" w:cs="宋体"/>
          <w:b/>
          <w:bCs/>
          <w:color w:val="000000" w:themeColor="text1"/>
          <w:sz w:val="24"/>
          <w:highlight w:val="none"/>
          <w14:textFill>
            <w14:solidFill>
              <w14:schemeClr w14:val="tx1"/>
            </w14:solidFill>
          </w14:textFill>
        </w:rPr>
        <w:t>山东大学采购技术条款响应一览表</w:t>
      </w:r>
    </w:p>
    <w:tbl>
      <w:tblPr>
        <w:tblStyle w:val="12"/>
        <w:tblW w:w="4997"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20"/>
        <w:gridCol w:w="682"/>
        <w:gridCol w:w="6008"/>
        <w:gridCol w:w="460"/>
        <w:gridCol w:w="547"/>
      </w:tblGrid>
      <w:tr w14:paraId="144AAA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4" w:hRule="atLeast"/>
        </w:trPr>
        <w:tc>
          <w:tcPr>
            <w:tcW w:w="481" w:type="pct"/>
            <w:tcBorders>
              <w:top w:val="single" w:color="auto" w:sz="4" w:space="0"/>
              <w:left w:val="single" w:color="auto" w:sz="4" w:space="0"/>
              <w:bottom w:val="single" w:color="auto" w:sz="4" w:space="0"/>
              <w:right w:val="single" w:color="auto" w:sz="4" w:space="0"/>
            </w:tcBorders>
            <w:noWrap w:val="0"/>
            <w:vAlign w:val="center"/>
          </w:tcPr>
          <w:p w14:paraId="6214BDA8">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6D8E5FAC">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3526" w:type="pct"/>
            <w:tcBorders>
              <w:top w:val="single" w:color="auto" w:sz="4" w:space="0"/>
              <w:left w:val="single" w:color="auto" w:sz="4" w:space="0"/>
              <w:bottom w:val="single" w:color="auto" w:sz="4" w:space="0"/>
              <w:right w:val="single" w:color="auto" w:sz="4" w:space="0"/>
            </w:tcBorders>
            <w:noWrap w:val="0"/>
            <w:vAlign w:val="center"/>
          </w:tcPr>
          <w:p w14:paraId="523D1499">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详细技术参数要求</w:t>
            </w:r>
          </w:p>
        </w:tc>
        <w:tc>
          <w:tcPr>
            <w:tcW w:w="270" w:type="pct"/>
            <w:tcBorders>
              <w:top w:val="single" w:color="auto" w:sz="4" w:space="0"/>
              <w:left w:val="single" w:color="auto" w:sz="4" w:space="0"/>
              <w:bottom w:val="single" w:color="auto" w:sz="4" w:space="0"/>
              <w:right w:val="single" w:color="auto" w:sz="4" w:space="0"/>
            </w:tcBorders>
            <w:noWrap w:val="0"/>
            <w:vAlign w:val="center"/>
          </w:tcPr>
          <w:p w14:paraId="047E160B">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6CA4B845">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备注</w:t>
            </w:r>
          </w:p>
        </w:tc>
      </w:tr>
      <w:tr w14:paraId="588C87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4" w:hRule="atLeast"/>
        </w:trPr>
        <w:tc>
          <w:tcPr>
            <w:tcW w:w="481" w:type="pct"/>
            <w:tcBorders>
              <w:top w:val="single" w:color="auto" w:sz="4" w:space="0"/>
              <w:left w:val="single" w:color="auto" w:sz="4" w:space="0"/>
              <w:bottom w:val="single" w:color="auto" w:sz="4" w:space="0"/>
              <w:right w:val="single" w:color="auto" w:sz="4" w:space="0"/>
            </w:tcBorders>
            <w:noWrap w:val="0"/>
            <w:vAlign w:val="center"/>
          </w:tcPr>
          <w:p w14:paraId="65DF7FEC">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0534AF1F">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开学典礼</w:t>
            </w:r>
          </w:p>
        </w:tc>
        <w:tc>
          <w:tcPr>
            <w:tcW w:w="3526" w:type="pct"/>
            <w:tcBorders>
              <w:top w:val="single" w:color="auto" w:sz="4" w:space="0"/>
              <w:left w:val="single" w:color="auto" w:sz="4" w:space="0"/>
              <w:bottom w:val="single" w:color="auto" w:sz="4" w:space="0"/>
              <w:right w:val="single" w:color="auto" w:sz="4" w:space="0"/>
            </w:tcBorders>
            <w:noWrap w:val="0"/>
            <w:vAlign w:val="center"/>
          </w:tcPr>
          <w:p w14:paraId="1CA19AFF">
            <w:pPr>
              <w:keepNext w:val="0"/>
              <w:keepLines w:val="0"/>
              <w:pageBreakBefore w:val="0"/>
              <w:widowControl w:val="0"/>
              <w:tabs>
                <w:tab w:val="left" w:pos="540"/>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时间：每年9月中下旬</w:t>
            </w:r>
          </w:p>
          <w:p w14:paraId="11D208A1">
            <w:pPr>
              <w:keepNext w:val="0"/>
              <w:keepLines w:val="0"/>
              <w:pageBreakBefore w:val="0"/>
              <w:widowControl w:val="0"/>
              <w:tabs>
                <w:tab w:val="left" w:pos="540"/>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地点：中心校区校内体育馆、体育场、报告厅等室内外场所。</w:t>
            </w:r>
          </w:p>
          <w:p w14:paraId="0B110B3B">
            <w:pPr>
              <w:keepNext w:val="0"/>
              <w:keepLines w:val="0"/>
              <w:pageBreakBefore w:val="0"/>
              <w:widowControl w:val="0"/>
              <w:tabs>
                <w:tab w:val="left" w:pos="540"/>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参加人员：全体新入学本科生、硕士研究生、博士研究生、留学生，老生代表，教师代表，校友代表等，约15000人。</w:t>
            </w:r>
          </w:p>
          <w:p w14:paraId="44426A53">
            <w:pPr>
              <w:keepNext w:val="0"/>
              <w:keepLines w:val="0"/>
              <w:pageBreakBefore w:val="0"/>
              <w:widowControl w:val="0"/>
              <w:tabs>
                <w:tab w:val="left" w:pos="540"/>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活动流程：举行开学典礼，为学生上开学第一课，教师代表、学生代表、校友代表发言等。</w:t>
            </w:r>
          </w:p>
          <w:p w14:paraId="22B32548">
            <w:pPr>
              <w:keepNext w:val="0"/>
              <w:keepLines w:val="0"/>
              <w:pageBreakBefore w:val="0"/>
              <w:widowControl w:val="0"/>
              <w:tabs>
                <w:tab w:val="left" w:pos="540"/>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活动要求：</w:t>
            </w:r>
          </w:p>
          <w:p w14:paraId="06E116B4">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一校三地（济南、威海</w:t>
            </w:r>
            <w:r>
              <w:rPr>
                <w:rFonts w:hint="eastAsia" w:ascii="宋体" w:hAnsi="宋体" w:eastAsia="宋体" w:cs="宋体"/>
                <w:sz w:val="24"/>
                <w:szCs w:val="24"/>
                <w:lang w:eastAsia="zh-CN"/>
              </w:rPr>
              <w:t>、</w:t>
            </w:r>
            <w:r>
              <w:rPr>
                <w:rFonts w:hint="eastAsia" w:ascii="宋体" w:hAnsi="宋体" w:eastAsia="宋体" w:cs="宋体"/>
                <w:sz w:val="24"/>
                <w:szCs w:val="24"/>
              </w:rPr>
              <w:t>青岛）需实现实时同步，不同人员在一校三地致辞，三地需实时画面、声音同步，延迟小于200毫秒。</w:t>
            </w:r>
          </w:p>
          <w:p w14:paraId="37D61CF6">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按照学校要求，拟定活动整体方案，包括现场布置、舞台效果图、创意策划、背景设计、一校三地（济南、威海</w:t>
            </w:r>
            <w:r>
              <w:rPr>
                <w:rFonts w:hint="eastAsia" w:ascii="宋体" w:hAnsi="宋体" w:eastAsia="宋体" w:cs="宋体"/>
                <w:sz w:val="24"/>
                <w:szCs w:val="24"/>
                <w:lang w:eastAsia="zh-CN"/>
              </w:rPr>
              <w:t>、</w:t>
            </w:r>
            <w:r>
              <w:rPr>
                <w:rFonts w:hint="eastAsia" w:ascii="宋体" w:hAnsi="宋体" w:eastAsia="宋体" w:cs="宋体"/>
                <w:sz w:val="24"/>
                <w:szCs w:val="24"/>
              </w:rPr>
              <w:t>青岛）同步实施方案等。</w:t>
            </w:r>
          </w:p>
          <w:p w14:paraId="1E890210">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按照活动方案，完成舞台搭建、灯光配置、音响配置、大屏幕安装、主席台安排、嘉宾区安排、观众区安排、指示牌制作、工作证制作、嘉宾证制作等前期工作。</w:t>
            </w:r>
          </w:p>
          <w:p w14:paraId="4F8426A6">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按照活动流程，安排灯光、音响等工作人员全程保障活动正常进行。</w:t>
            </w:r>
          </w:p>
          <w:p w14:paraId="6CB3AC01">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活动结束后，及时清理场地，不破坏校园环境。</w:t>
            </w:r>
          </w:p>
          <w:p w14:paraId="16238969">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w:t>
            </w:r>
            <w:r>
              <w:rPr>
                <w:rFonts w:hint="eastAsia" w:ascii="宋体" w:hAnsi="宋体" w:eastAsia="宋体" w:cs="宋体"/>
                <w:sz w:val="24"/>
                <w:szCs w:val="24"/>
              </w:rPr>
              <w:t>根据天气情况、上级要求、安全要求等随时调整活动举办地点、活动有关方案。</w:t>
            </w:r>
          </w:p>
          <w:p w14:paraId="36E3FF4F">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活动预算：室内举办的开学典礼不超过40万元，室外举办的开学典礼不超过45万元。</w:t>
            </w:r>
          </w:p>
          <w:p w14:paraId="17C4975E">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w:t>
            </w:r>
            <w:r>
              <w:rPr>
                <w:rFonts w:hint="eastAsia" w:ascii="宋体" w:hAnsi="宋体" w:eastAsia="宋体" w:cs="宋体"/>
                <w:sz w:val="24"/>
                <w:szCs w:val="24"/>
              </w:rPr>
              <w:t>主会场室外舞台整体长度不小于65m，需设置4块观众</w:t>
            </w:r>
            <w:r>
              <w:rPr>
                <w:rFonts w:hint="eastAsia" w:ascii="宋体" w:hAnsi="宋体" w:eastAsia="宋体" w:cs="宋体"/>
                <w:sz w:val="24"/>
                <w:szCs w:val="24"/>
                <w:lang w:val="en-US" w:eastAsia="zh-CN"/>
              </w:rPr>
              <w:t>副</w:t>
            </w:r>
            <w:r>
              <w:rPr>
                <w:rFonts w:hint="eastAsia" w:ascii="宋体" w:hAnsi="宋体" w:eastAsia="宋体" w:cs="宋体"/>
                <w:sz w:val="24"/>
                <w:szCs w:val="24"/>
              </w:rPr>
              <w:t>屏幕。室内舞台整体长度不小于37m。</w:t>
            </w:r>
          </w:p>
          <w:p w14:paraId="79B36C7F">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9</w:t>
            </w:r>
            <w:r>
              <w:rPr>
                <w:rFonts w:hint="eastAsia" w:ascii="宋体" w:hAnsi="宋体" w:eastAsia="宋体" w:cs="宋体"/>
                <w:sz w:val="24"/>
                <w:szCs w:val="24"/>
                <w:lang w:eastAsia="zh-CN"/>
              </w:rPr>
              <w:t>）</w:t>
            </w:r>
            <w:r>
              <w:rPr>
                <w:rFonts w:hint="eastAsia" w:ascii="宋体" w:hAnsi="宋体" w:eastAsia="宋体" w:cs="宋体"/>
                <w:sz w:val="24"/>
                <w:szCs w:val="24"/>
              </w:rPr>
              <w:t>需实现一校三地（济南、威海</w:t>
            </w:r>
            <w:r>
              <w:rPr>
                <w:rFonts w:hint="eastAsia" w:ascii="宋体" w:hAnsi="宋体" w:eastAsia="宋体" w:cs="宋体"/>
                <w:sz w:val="24"/>
                <w:szCs w:val="24"/>
                <w:lang w:eastAsia="zh-CN"/>
              </w:rPr>
              <w:t>、</w:t>
            </w:r>
            <w:r>
              <w:rPr>
                <w:rFonts w:hint="eastAsia" w:ascii="宋体" w:hAnsi="宋体" w:eastAsia="宋体" w:cs="宋体"/>
                <w:sz w:val="24"/>
                <w:szCs w:val="24"/>
              </w:rPr>
              <w:t>青岛）同步，专业人员保障。</w:t>
            </w:r>
          </w:p>
          <w:p w14:paraId="76ACC9AF">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（10）</w:t>
            </w:r>
            <w:r>
              <w:rPr>
                <w:rFonts w:hint="default" w:ascii="宋体" w:hAnsi="宋体" w:eastAsia="宋体" w:cs="宋体"/>
                <w:sz w:val="24"/>
                <w:szCs w:val="24"/>
                <w:lang w:val="en-US" w:eastAsia="zh-CN"/>
              </w:rPr>
              <w:t>按照需要，配合迎新晚会、迎新音乐会等相关活动舞台搭建、氛围营造等。</w:t>
            </w:r>
          </w:p>
        </w:tc>
        <w:tc>
          <w:tcPr>
            <w:tcW w:w="270" w:type="pct"/>
            <w:tcBorders>
              <w:top w:val="single" w:color="auto" w:sz="4" w:space="0"/>
              <w:left w:val="single" w:color="auto" w:sz="4" w:space="0"/>
              <w:bottom w:val="single" w:color="auto" w:sz="4" w:space="0"/>
              <w:right w:val="single" w:color="auto" w:sz="4" w:space="0"/>
            </w:tcBorders>
            <w:noWrap w:val="0"/>
            <w:vAlign w:val="center"/>
          </w:tcPr>
          <w:p w14:paraId="2CBACEED">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0833D45F">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sz w:val="24"/>
                <w:szCs w:val="24"/>
              </w:rPr>
            </w:pPr>
          </w:p>
        </w:tc>
      </w:tr>
      <w:tr w14:paraId="0FED6C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4" w:hRule="atLeast"/>
        </w:trPr>
        <w:tc>
          <w:tcPr>
            <w:tcW w:w="481" w:type="pct"/>
            <w:tcBorders>
              <w:top w:val="single" w:color="auto" w:sz="4" w:space="0"/>
              <w:left w:val="single" w:color="auto" w:sz="4" w:space="0"/>
              <w:bottom w:val="single" w:color="auto" w:sz="4" w:space="0"/>
              <w:right w:val="single" w:color="auto" w:sz="4" w:space="0"/>
            </w:tcBorders>
            <w:noWrap w:val="0"/>
            <w:vAlign w:val="center"/>
          </w:tcPr>
          <w:p w14:paraId="5F948E16">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65464D0A">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毕业典礼暨学位授予仪式</w:t>
            </w:r>
          </w:p>
        </w:tc>
        <w:tc>
          <w:tcPr>
            <w:tcW w:w="3526" w:type="pct"/>
            <w:tcBorders>
              <w:top w:val="single" w:color="auto" w:sz="4" w:space="0"/>
              <w:left w:val="single" w:color="auto" w:sz="4" w:space="0"/>
              <w:bottom w:val="single" w:color="auto" w:sz="4" w:space="0"/>
              <w:right w:val="single" w:color="auto" w:sz="4" w:space="0"/>
            </w:tcBorders>
            <w:noWrap w:val="0"/>
            <w:vAlign w:val="center"/>
          </w:tcPr>
          <w:p w14:paraId="64D03A6E">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时间：每年6月中下旬</w:t>
            </w:r>
          </w:p>
          <w:p w14:paraId="54991B41">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地点：校内体育馆、体育场、报告厅等室内外场所，一个主会场，二个分会场。</w:t>
            </w:r>
          </w:p>
          <w:p w14:paraId="03E2FF8E">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参加人员：全体毕业本科生、硕士研究生、博士研究生、留学生，学生代表，教师代表，校友代表、导师代表等，约8000人。</w:t>
            </w:r>
          </w:p>
          <w:p w14:paraId="34B3BFFC">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活动流程：</w:t>
            </w:r>
            <w:r>
              <w:rPr>
                <w:rFonts w:hint="eastAsia" w:ascii="宋体" w:hAnsi="宋体" w:eastAsia="宋体" w:cs="宋体"/>
                <w:sz w:val="24"/>
                <w:szCs w:val="24"/>
                <w:lang w:val="en-US" w:eastAsia="zh-CN"/>
              </w:rPr>
              <w:t>毕业典礼上</w:t>
            </w:r>
            <w:r>
              <w:rPr>
                <w:rFonts w:hint="eastAsia" w:ascii="宋体" w:hAnsi="宋体" w:eastAsia="宋体" w:cs="宋体"/>
                <w:sz w:val="24"/>
                <w:szCs w:val="24"/>
              </w:rPr>
              <w:t>教师代表、学生代表、导师代表发言等</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组织学位授予仪式</w:t>
            </w:r>
            <w:r>
              <w:rPr>
                <w:rFonts w:hint="eastAsia" w:ascii="宋体" w:hAnsi="宋体" w:eastAsia="宋体" w:cs="宋体"/>
                <w:sz w:val="24"/>
                <w:szCs w:val="24"/>
              </w:rPr>
              <w:t>。</w:t>
            </w:r>
          </w:p>
          <w:p w14:paraId="57EE093A">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活动要求：</w:t>
            </w:r>
          </w:p>
          <w:p w14:paraId="4D72A20B">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一校三地（济南、威海</w:t>
            </w:r>
            <w:r>
              <w:rPr>
                <w:rFonts w:hint="eastAsia" w:ascii="宋体" w:hAnsi="宋体" w:eastAsia="宋体" w:cs="宋体"/>
                <w:sz w:val="24"/>
                <w:szCs w:val="24"/>
                <w:lang w:eastAsia="zh-CN"/>
              </w:rPr>
              <w:t>、</w:t>
            </w:r>
            <w:r>
              <w:rPr>
                <w:rFonts w:hint="eastAsia" w:ascii="宋体" w:hAnsi="宋体" w:eastAsia="宋体" w:cs="宋体"/>
                <w:sz w:val="24"/>
                <w:szCs w:val="24"/>
              </w:rPr>
              <w:t>青岛）需实现实时同步，不同人员在一校三地致辞，三地需实时画面、声音同步，延迟小于200毫秒。</w:t>
            </w:r>
          </w:p>
          <w:p w14:paraId="03DA8C5E">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按照学校要求，拟定活动整体方案，包括现场布置、舞台效果图、创意策划、背景设计、一校三地（</w:t>
            </w:r>
            <w:r>
              <w:rPr>
                <w:rFonts w:hint="eastAsia" w:ascii="宋体" w:hAnsi="宋体" w:eastAsia="宋体" w:cs="宋体"/>
                <w:sz w:val="24"/>
                <w:szCs w:val="24"/>
                <w:lang w:eastAsia="zh-CN"/>
              </w:rPr>
              <w:t>济南、威海、青岛</w:t>
            </w:r>
            <w:r>
              <w:rPr>
                <w:rFonts w:hint="eastAsia" w:ascii="宋体" w:hAnsi="宋体" w:eastAsia="宋体" w:cs="宋体"/>
                <w:sz w:val="24"/>
                <w:szCs w:val="24"/>
              </w:rPr>
              <w:t>）同步实施方案。等。</w:t>
            </w:r>
          </w:p>
          <w:p w14:paraId="012F9484">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按照活动方案，完成舞台搭建、灯光配置、音响配置、大屏幕安装、主席台安排、嘉宾区安排、观众区安排、指示牌制作、工作证制作、嘉宾证制作、一校三地同步测试等前期工作。</w:t>
            </w:r>
          </w:p>
          <w:p w14:paraId="0106A6F1">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按照活动流程，安排灯光、音响等工作人员全程保障活动正常进行。</w:t>
            </w:r>
          </w:p>
          <w:p w14:paraId="20299319">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活动结束后，及时清理场地，不破坏校园环境。</w:t>
            </w:r>
          </w:p>
          <w:p w14:paraId="7C5AD825">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w:t>
            </w:r>
            <w:r>
              <w:rPr>
                <w:rFonts w:hint="eastAsia" w:ascii="宋体" w:hAnsi="宋体" w:eastAsia="宋体" w:cs="宋体"/>
                <w:sz w:val="24"/>
                <w:szCs w:val="24"/>
              </w:rPr>
              <w:t>根据天气情况、上级要求、安全要求等随时调整活动举办地点、活动有关方案。</w:t>
            </w:r>
          </w:p>
          <w:p w14:paraId="684962B7">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活动预算：室内举办的毕业典礼暨学位授予仪式不超过40万元，室外举办的毕业典礼暨学位授予仪式不超过45万元。</w:t>
            </w:r>
          </w:p>
          <w:p w14:paraId="1BCD75BA">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w:t>
            </w:r>
            <w:r>
              <w:rPr>
                <w:rFonts w:hint="eastAsia" w:ascii="宋体" w:hAnsi="宋体" w:eastAsia="宋体" w:cs="宋体"/>
                <w:sz w:val="24"/>
                <w:szCs w:val="24"/>
              </w:rPr>
              <w:t>主会场室外舞台整体长度不小于65m。室内舞台整体长度不小于37m。</w:t>
            </w:r>
          </w:p>
          <w:p w14:paraId="75F5FB65">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9</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济南</w:t>
            </w:r>
            <w:r>
              <w:rPr>
                <w:rFonts w:hint="eastAsia" w:ascii="宋体" w:hAnsi="宋体" w:eastAsia="宋体" w:cs="宋体"/>
                <w:sz w:val="24"/>
                <w:szCs w:val="24"/>
              </w:rPr>
              <w:t>分会场一：小树林需搭建屏幕4*8m铁马围挡，沙滩椅200把，小线阵音响一套。</w:t>
            </w:r>
          </w:p>
          <w:p w14:paraId="6A0EA815">
            <w:pPr>
              <w:pStyle w:val="2"/>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济南</w:t>
            </w:r>
            <w:r>
              <w:rPr>
                <w:rFonts w:hint="eastAsia" w:ascii="宋体" w:hAnsi="宋体" w:eastAsia="宋体" w:cs="宋体"/>
                <w:sz w:val="24"/>
                <w:szCs w:val="24"/>
              </w:rPr>
              <w:t>分会场二：音乐厅需搭建led屏幕5.5*10m，小型线阵音响一套。</w:t>
            </w:r>
          </w:p>
        </w:tc>
        <w:tc>
          <w:tcPr>
            <w:tcW w:w="270" w:type="pct"/>
            <w:tcBorders>
              <w:top w:val="single" w:color="auto" w:sz="4" w:space="0"/>
              <w:left w:val="single" w:color="auto" w:sz="4" w:space="0"/>
              <w:bottom w:val="single" w:color="auto" w:sz="4" w:space="0"/>
              <w:right w:val="single" w:color="auto" w:sz="4" w:space="0"/>
            </w:tcBorders>
            <w:noWrap w:val="0"/>
            <w:vAlign w:val="center"/>
          </w:tcPr>
          <w:p w14:paraId="481DBD63">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6EC41C5C">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sz w:val="24"/>
                <w:szCs w:val="24"/>
              </w:rPr>
            </w:pPr>
          </w:p>
        </w:tc>
      </w:tr>
      <w:tr w14:paraId="73795A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4" w:hRule="atLeast"/>
        </w:trPr>
        <w:tc>
          <w:tcPr>
            <w:tcW w:w="481" w:type="pct"/>
            <w:tcBorders>
              <w:top w:val="single" w:color="auto" w:sz="4" w:space="0"/>
              <w:left w:val="single" w:color="auto" w:sz="4" w:space="0"/>
              <w:bottom w:val="single" w:color="auto" w:sz="4" w:space="0"/>
              <w:right w:val="single" w:color="auto" w:sz="4" w:space="0"/>
            </w:tcBorders>
            <w:noWrap w:val="0"/>
            <w:vAlign w:val="center"/>
          </w:tcPr>
          <w:p w14:paraId="1D41CABC">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046FBE0F">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其他要求</w:t>
            </w:r>
          </w:p>
        </w:tc>
        <w:tc>
          <w:tcPr>
            <w:tcW w:w="3526" w:type="pct"/>
            <w:tcBorders>
              <w:top w:val="single" w:color="auto" w:sz="4" w:space="0"/>
              <w:left w:val="single" w:color="auto" w:sz="4" w:space="0"/>
              <w:bottom w:val="single" w:color="auto" w:sz="4" w:space="0"/>
              <w:right w:val="single" w:color="auto" w:sz="4" w:space="0"/>
            </w:tcBorders>
            <w:noWrap w:val="0"/>
            <w:vAlign w:val="center"/>
          </w:tcPr>
          <w:p w14:paraId="7FABD1B2">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1、工作人员需满足以下要求：</w:t>
            </w:r>
          </w:p>
          <w:p w14:paraId="7FDA605C">
            <w:pPr>
              <w:tabs>
                <w:tab w:val="left" w:pos="540"/>
              </w:tabs>
              <w:spacing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所有涉及高处作业、电力操作及焊接的人员必须持有有效的《高处作业证》《电工证》或《焊接与热切割证》等国家特种作业操作证，严禁无证上岗；施工团队应具备三年以上或不少于50场次大型典礼活动的搭建经验，能准确理解结构图纸并熟练操作升降机等特种设备；现场全体人员须严格佩戴安全帽，高空作业必须使用全身式安全带并高挂低用，严禁酒后或违规操作；工作人员应统一穿着带有公司标识的工服及反光背心，文明施工，保持现场整洁，并对典礼内容严格保密；此外，搭建公司必须为所有现场人员购买不低于100万元保额的雇主责任险或团体意外险，确保用工安全与风险可控。</w:t>
            </w:r>
          </w:p>
          <w:p w14:paraId="679E48B9">
            <w:pPr>
              <w:tabs>
                <w:tab w:val="left" w:pos="540"/>
              </w:tabs>
              <w:spacing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bidi="ar-SA"/>
              </w:rPr>
              <w:t>2、</w:t>
            </w:r>
            <w:r>
              <w:rPr>
                <w:rFonts w:hint="eastAsia" w:ascii="宋体" w:hAnsi="宋体" w:eastAsia="宋体" w:cs="宋体"/>
                <w:sz w:val="24"/>
                <w:szCs w:val="24"/>
                <w:lang w:val="en-US" w:eastAsia="zh-CN"/>
              </w:rPr>
              <w:t>投标单位需满足以下要求：</w:t>
            </w:r>
          </w:p>
          <w:p w14:paraId="394BF646">
            <w:pPr>
              <w:tabs>
                <w:tab w:val="left" w:pos="540"/>
              </w:tabs>
              <w:spacing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现场布设须通过电器防火检测及临时搭建物结构安全检测等安全检测并提供相关检测报告。</w:t>
            </w:r>
          </w:p>
          <w:p w14:paraId="2AD984FD">
            <w:pPr>
              <w:tabs>
                <w:tab w:val="left" w:pos="540"/>
              </w:tabs>
              <w:spacing w:line="360" w:lineRule="auto"/>
              <w:ind w:firstLine="480"/>
              <w:jc w:val="left"/>
              <w:rPr>
                <w:rFonts w:hint="default"/>
                <w:lang w:val="en-US" w:eastAsia="zh-CN"/>
              </w:rPr>
            </w:pPr>
            <w:r>
              <w:rPr>
                <w:rFonts w:hint="eastAsia" w:ascii="宋体" w:hAnsi="宋体" w:eastAsia="宋体" w:cs="宋体"/>
                <w:sz w:val="24"/>
                <w:szCs w:val="24"/>
                <w:lang w:val="en-US" w:eastAsia="zh-CN"/>
              </w:rPr>
              <w:t>3、现场大屏舞台搭建须符合国家及行业相关规定和相关资质要求。</w:t>
            </w:r>
          </w:p>
        </w:tc>
        <w:tc>
          <w:tcPr>
            <w:tcW w:w="270" w:type="pct"/>
            <w:tcBorders>
              <w:top w:val="single" w:color="auto" w:sz="4" w:space="0"/>
              <w:left w:val="single" w:color="auto" w:sz="4" w:space="0"/>
              <w:bottom w:val="single" w:color="auto" w:sz="4" w:space="0"/>
              <w:right w:val="single" w:color="auto" w:sz="4" w:space="0"/>
            </w:tcBorders>
            <w:noWrap w:val="0"/>
            <w:vAlign w:val="center"/>
          </w:tcPr>
          <w:p w14:paraId="6270EA00">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sz w:val="24"/>
                <w:szCs w:val="24"/>
                <w:lang w:val="en-US" w:eastAsia="zh-CN"/>
              </w:rPr>
            </w:pPr>
          </w:p>
        </w:tc>
        <w:tc>
          <w:tcPr>
            <w:tcW w:w="321" w:type="pct"/>
            <w:tcBorders>
              <w:top w:val="single" w:color="auto" w:sz="4" w:space="0"/>
              <w:left w:val="single" w:color="auto" w:sz="4" w:space="0"/>
              <w:bottom w:val="single" w:color="auto" w:sz="4" w:space="0"/>
              <w:right w:val="single" w:color="auto" w:sz="4" w:space="0"/>
            </w:tcBorders>
            <w:noWrap w:val="0"/>
            <w:vAlign w:val="center"/>
          </w:tcPr>
          <w:p w14:paraId="2A1AB756">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sz w:val="24"/>
                <w:szCs w:val="24"/>
              </w:rPr>
            </w:pPr>
          </w:p>
        </w:tc>
      </w:tr>
    </w:tbl>
    <w:p w14:paraId="018F13A0">
      <w:pPr>
        <w:keepNext w:val="0"/>
        <w:keepLines w:val="0"/>
        <w:pageBreakBefore w:val="0"/>
        <w:widowControl w:val="0"/>
        <w:tabs>
          <w:tab w:val="left" w:pos="540"/>
        </w:tabs>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三、有关设备要求（以在操场举行为例，如在室内，标准与室外一致、数量等根据场地大小酌情调整）</w:t>
      </w:r>
    </w:p>
    <w:p w14:paraId="68F09EF0">
      <w:pPr>
        <w:keepNext w:val="0"/>
        <w:keepLines w:val="0"/>
        <w:pageBreakBefore w:val="0"/>
        <w:widowControl w:val="0"/>
        <w:tabs>
          <w:tab w:val="left" w:pos="540"/>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活动涉及主席台、大屏幕、灯光、音响等硬件要求最低标准如下：</w:t>
      </w:r>
    </w:p>
    <w:tbl>
      <w:tblPr>
        <w:tblStyle w:val="1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6"/>
        <w:gridCol w:w="1862"/>
        <w:gridCol w:w="5319"/>
      </w:tblGrid>
      <w:tr w14:paraId="6390F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784" w:type="pct"/>
            <w:tcBorders>
              <w:top w:val="single" w:color="auto" w:sz="4" w:space="0"/>
              <w:left w:val="single" w:color="auto" w:sz="4" w:space="0"/>
              <w:bottom w:val="single" w:color="auto" w:sz="4" w:space="0"/>
              <w:right w:val="single" w:color="auto" w:sz="4" w:space="0"/>
            </w:tcBorders>
            <w:vAlign w:val="center"/>
          </w:tcPr>
          <w:p w14:paraId="720E57C5">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项目</w:t>
            </w:r>
          </w:p>
        </w:tc>
        <w:tc>
          <w:tcPr>
            <w:tcW w:w="1093" w:type="pct"/>
            <w:tcBorders>
              <w:top w:val="single" w:color="auto" w:sz="4" w:space="0"/>
              <w:left w:val="single" w:color="auto" w:sz="4" w:space="0"/>
              <w:bottom w:val="single" w:color="auto" w:sz="4" w:space="0"/>
              <w:right w:val="single" w:color="auto" w:sz="4" w:space="0"/>
            </w:tcBorders>
            <w:vAlign w:val="center"/>
          </w:tcPr>
          <w:p w14:paraId="2B4A0C2A">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尺寸</w:t>
            </w:r>
          </w:p>
        </w:tc>
        <w:tc>
          <w:tcPr>
            <w:tcW w:w="3122" w:type="pct"/>
            <w:tcBorders>
              <w:top w:val="single" w:color="auto" w:sz="4" w:space="0"/>
              <w:left w:val="single" w:color="auto" w:sz="4" w:space="0"/>
              <w:bottom w:val="single" w:color="auto" w:sz="4" w:space="0"/>
              <w:right w:val="single" w:color="auto" w:sz="4" w:space="0"/>
            </w:tcBorders>
            <w:vAlign w:val="center"/>
          </w:tcPr>
          <w:p w14:paraId="52C17ACD">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规格/品牌</w:t>
            </w:r>
          </w:p>
        </w:tc>
      </w:tr>
      <w:tr w14:paraId="6BBEE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tcBorders>
              <w:top w:val="single" w:color="auto" w:sz="4" w:space="0"/>
              <w:left w:val="single" w:color="auto" w:sz="4" w:space="0"/>
              <w:bottom w:val="single" w:color="auto" w:sz="4" w:space="0"/>
              <w:right w:val="single" w:color="auto" w:sz="4" w:space="0"/>
            </w:tcBorders>
            <w:vAlign w:val="center"/>
          </w:tcPr>
          <w:p w14:paraId="4B9E9FB0">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舞台</w:t>
            </w:r>
          </w:p>
        </w:tc>
        <w:tc>
          <w:tcPr>
            <w:tcW w:w="1093" w:type="pct"/>
            <w:tcBorders>
              <w:top w:val="single" w:color="auto" w:sz="4" w:space="0"/>
              <w:left w:val="single" w:color="auto" w:sz="4" w:space="0"/>
              <w:bottom w:val="single" w:color="auto" w:sz="4" w:space="0"/>
              <w:right w:val="single" w:color="auto" w:sz="4" w:space="0"/>
            </w:tcBorders>
            <w:vAlign w:val="center"/>
          </w:tcPr>
          <w:p w14:paraId="1F60F80F">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主舞台0.8m高*11m*30m</w:t>
            </w:r>
          </w:p>
        </w:tc>
        <w:tc>
          <w:tcPr>
            <w:tcW w:w="3122" w:type="pct"/>
            <w:tcBorders>
              <w:top w:val="single" w:color="auto" w:sz="4" w:space="0"/>
              <w:left w:val="single" w:color="auto" w:sz="4" w:space="0"/>
              <w:bottom w:val="single" w:color="auto" w:sz="4" w:space="0"/>
              <w:right w:val="single" w:color="auto" w:sz="4" w:space="0"/>
            </w:tcBorders>
            <w:vAlign w:val="center"/>
          </w:tcPr>
          <w:p w14:paraId="6619181C">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防火专业黑色灯光雷亚架、防火龙骨；辅助舞台可用木质，龙骨防火。</w:t>
            </w:r>
          </w:p>
        </w:tc>
      </w:tr>
      <w:tr w14:paraId="153B8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tcBorders>
              <w:top w:val="single" w:color="auto" w:sz="4" w:space="0"/>
              <w:left w:val="single" w:color="auto" w:sz="4" w:space="0"/>
              <w:bottom w:val="single" w:color="auto" w:sz="4" w:space="0"/>
              <w:right w:val="single" w:color="auto" w:sz="4" w:space="0"/>
            </w:tcBorders>
            <w:vAlign w:val="center"/>
          </w:tcPr>
          <w:p w14:paraId="14CAE6B7">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拨穗舞台</w:t>
            </w:r>
          </w:p>
        </w:tc>
        <w:tc>
          <w:tcPr>
            <w:tcW w:w="1093" w:type="pct"/>
            <w:tcBorders>
              <w:top w:val="single" w:color="auto" w:sz="4" w:space="0"/>
              <w:left w:val="single" w:color="auto" w:sz="4" w:space="0"/>
              <w:bottom w:val="single" w:color="auto" w:sz="4" w:space="0"/>
              <w:right w:val="single" w:color="auto" w:sz="4" w:space="0"/>
            </w:tcBorders>
            <w:vAlign w:val="center"/>
          </w:tcPr>
          <w:p w14:paraId="4701BDFE">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0.3m高*3m*30m；</w:t>
            </w:r>
          </w:p>
        </w:tc>
        <w:tc>
          <w:tcPr>
            <w:tcW w:w="3122" w:type="pct"/>
            <w:tcBorders>
              <w:top w:val="single" w:color="auto" w:sz="4" w:space="0"/>
              <w:left w:val="single" w:color="auto" w:sz="4" w:space="0"/>
              <w:bottom w:val="single" w:color="auto" w:sz="4" w:space="0"/>
              <w:right w:val="single" w:color="auto" w:sz="4" w:space="0"/>
            </w:tcBorders>
            <w:vAlign w:val="center"/>
          </w:tcPr>
          <w:p w14:paraId="28E28600">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防火专业黑色灯光雷亚架、防火龙骨；辅助舞台可用木质，龙骨防火。</w:t>
            </w:r>
          </w:p>
        </w:tc>
      </w:tr>
      <w:tr w14:paraId="77F5B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tcBorders>
              <w:top w:val="single" w:color="auto" w:sz="4" w:space="0"/>
              <w:left w:val="single" w:color="auto" w:sz="4" w:space="0"/>
              <w:bottom w:val="single" w:color="auto" w:sz="4" w:space="0"/>
              <w:right w:val="single" w:color="auto" w:sz="4" w:space="0"/>
            </w:tcBorders>
            <w:vAlign w:val="center"/>
          </w:tcPr>
          <w:p w14:paraId="27D714C7">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台阶踏步</w:t>
            </w:r>
          </w:p>
        </w:tc>
        <w:tc>
          <w:tcPr>
            <w:tcW w:w="1093" w:type="pct"/>
            <w:tcBorders>
              <w:top w:val="single" w:color="auto" w:sz="4" w:space="0"/>
              <w:left w:val="single" w:color="auto" w:sz="4" w:space="0"/>
              <w:bottom w:val="single" w:color="auto" w:sz="4" w:space="0"/>
              <w:right w:val="single" w:color="auto" w:sz="4" w:space="0"/>
            </w:tcBorders>
            <w:vAlign w:val="center"/>
          </w:tcPr>
          <w:p w14:paraId="0144EFB0">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0.8m高*18m长4层</w:t>
            </w:r>
          </w:p>
        </w:tc>
        <w:tc>
          <w:tcPr>
            <w:tcW w:w="3122" w:type="pct"/>
            <w:tcBorders>
              <w:top w:val="single" w:color="auto" w:sz="4" w:space="0"/>
              <w:left w:val="single" w:color="auto" w:sz="4" w:space="0"/>
              <w:bottom w:val="single" w:color="auto" w:sz="4" w:space="0"/>
              <w:right w:val="single" w:color="auto" w:sz="4" w:space="0"/>
            </w:tcBorders>
            <w:vAlign w:val="center"/>
          </w:tcPr>
          <w:p w14:paraId="4CABDACD">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防滑铝合金踏步</w:t>
            </w:r>
          </w:p>
        </w:tc>
      </w:tr>
      <w:tr w14:paraId="2CB9F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tcBorders>
              <w:top w:val="single" w:color="auto" w:sz="4" w:space="0"/>
              <w:left w:val="single" w:color="auto" w:sz="4" w:space="0"/>
              <w:bottom w:val="single" w:color="auto" w:sz="4" w:space="0"/>
              <w:right w:val="single" w:color="auto" w:sz="4" w:space="0"/>
            </w:tcBorders>
            <w:vAlign w:val="center"/>
          </w:tcPr>
          <w:p w14:paraId="285CA683">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室外降温主风机</w:t>
            </w:r>
          </w:p>
        </w:tc>
        <w:tc>
          <w:tcPr>
            <w:tcW w:w="1093" w:type="pct"/>
            <w:tcBorders>
              <w:top w:val="single" w:color="auto" w:sz="4" w:space="0"/>
              <w:left w:val="single" w:color="auto" w:sz="4" w:space="0"/>
              <w:bottom w:val="single" w:color="auto" w:sz="4" w:space="0"/>
              <w:right w:val="single" w:color="auto" w:sz="4" w:space="0"/>
            </w:tcBorders>
            <w:vAlign w:val="center"/>
          </w:tcPr>
          <w:p w14:paraId="056CC889">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大功率风机</w:t>
            </w:r>
          </w:p>
        </w:tc>
        <w:tc>
          <w:tcPr>
            <w:tcW w:w="3122" w:type="pct"/>
            <w:tcBorders>
              <w:top w:val="single" w:color="auto" w:sz="4" w:space="0"/>
              <w:left w:val="single" w:color="auto" w:sz="4" w:space="0"/>
              <w:bottom w:val="single" w:color="auto" w:sz="4" w:space="0"/>
              <w:right w:val="single" w:color="auto" w:sz="4" w:space="0"/>
            </w:tcBorders>
            <w:vAlign w:val="center"/>
          </w:tcPr>
          <w:p w14:paraId="3955D42F">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商用工业水冷风机功率≥3KW，送风距离≥60m</w:t>
            </w:r>
          </w:p>
        </w:tc>
      </w:tr>
      <w:tr w14:paraId="204BF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784" w:type="pct"/>
            <w:tcBorders>
              <w:top w:val="single" w:color="auto" w:sz="4" w:space="0"/>
              <w:left w:val="single" w:color="auto" w:sz="4" w:space="0"/>
              <w:bottom w:val="single" w:color="auto" w:sz="4" w:space="0"/>
              <w:right w:val="single" w:color="auto" w:sz="4" w:space="0"/>
            </w:tcBorders>
            <w:vAlign w:val="center"/>
          </w:tcPr>
          <w:p w14:paraId="74C15850">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辅助降温风机</w:t>
            </w:r>
          </w:p>
        </w:tc>
        <w:tc>
          <w:tcPr>
            <w:tcW w:w="1093" w:type="pct"/>
            <w:tcBorders>
              <w:top w:val="single" w:color="auto" w:sz="4" w:space="0"/>
              <w:left w:val="single" w:color="auto" w:sz="4" w:space="0"/>
              <w:bottom w:val="single" w:color="auto" w:sz="4" w:space="0"/>
              <w:right w:val="single" w:color="auto" w:sz="4" w:space="0"/>
            </w:tcBorders>
            <w:vAlign w:val="center"/>
          </w:tcPr>
          <w:p w14:paraId="3865EB13">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强力送风机</w:t>
            </w:r>
          </w:p>
        </w:tc>
        <w:tc>
          <w:tcPr>
            <w:tcW w:w="3122" w:type="pct"/>
            <w:tcBorders>
              <w:top w:val="single" w:color="auto" w:sz="4" w:space="0"/>
              <w:left w:val="single" w:color="auto" w:sz="4" w:space="0"/>
              <w:bottom w:val="single" w:color="auto" w:sz="4" w:space="0"/>
              <w:right w:val="single" w:color="auto" w:sz="4" w:space="0"/>
            </w:tcBorders>
            <w:vAlign w:val="center"/>
          </w:tcPr>
          <w:p w14:paraId="38F8150A">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防护等级：IP10;功率：≥2000W;开关：三速可调</w:t>
            </w:r>
          </w:p>
        </w:tc>
      </w:tr>
      <w:tr w14:paraId="34881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tcBorders>
              <w:top w:val="single" w:color="auto" w:sz="4" w:space="0"/>
              <w:left w:val="single" w:color="auto" w:sz="4" w:space="0"/>
              <w:bottom w:val="single" w:color="auto" w:sz="4" w:space="0"/>
              <w:right w:val="single" w:color="auto" w:sz="4" w:space="0"/>
            </w:tcBorders>
            <w:vAlign w:val="center"/>
          </w:tcPr>
          <w:p w14:paraId="1C8FF43F">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LED大屏幕</w:t>
            </w:r>
          </w:p>
        </w:tc>
        <w:tc>
          <w:tcPr>
            <w:tcW w:w="1093" w:type="pct"/>
            <w:tcBorders>
              <w:top w:val="single" w:color="auto" w:sz="4" w:space="0"/>
              <w:left w:val="single" w:color="auto" w:sz="4" w:space="0"/>
              <w:bottom w:val="single" w:color="auto" w:sz="4" w:space="0"/>
              <w:right w:val="single" w:color="auto" w:sz="4" w:space="0"/>
            </w:tcBorders>
            <w:vAlign w:val="center"/>
          </w:tcPr>
          <w:p w14:paraId="5999CD3B">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P4 LED主屏7m*30m；</w:t>
            </w:r>
          </w:p>
          <w:p w14:paraId="7C63410C">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舞台两侧柔性屏：5m*6m*2个</w:t>
            </w:r>
          </w:p>
          <w:p w14:paraId="06C369CA">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P4 LED两侧吊屏：7m*8.5m*2个</w:t>
            </w:r>
          </w:p>
          <w:p w14:paraId="11BE2AC0">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P4 LED舞台前方斜放屏幕：1.5m*23m</w:t>
            </w:r>
          </w:p>
        </w:tc>
        <w:tc>
          <w:tcPr>
            <w:tcW w:w="3122" w:type="pct"/>
            <w:tcBorders>
              <w:top w:val="single" w:color="auto" w:sz="4" w:space="0"/>
              <w:left w:val="single" w:color="auto" w:sz="4" w:space="0"/>
              <w:bottom w:val="single" w:color="auto" w:sz="4" w:space="0"/>
              <w:right w:val="single" w:color="auto" w:sz="4" w:space="0"/>
            </w:tcBorders>
            <w:vAlign w:val="center"/>
          </w:tcPr>
          <w:p w14:paraId="477ABC59">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主屏参数：</w:t>
            </w:r>
            <w:r>
              <w:rPr>
                <w:rFonts w:hint="eastAsia" w:ascii="宋体" w:hAnsi="宋体" w:eastAsia="宋体" w:cs="宋体"/>
                <w:sz w:val="24"/>
                <w:szCs w:val="24"/>
                <w:lang w:val="en-US" w:eastAsia="zh-CN"/>
              </w:rPr>
              <w:t>像素间距4mm</w:t>
            </w:r>
            <w:r>
              <w:rPr>
                <w:rFonts w:hint="eastAsia" w:ascii="宋体" w:hAnsi="宋体" w:eastAsia="宋体" w:cs="宋体"/>
                <w:sz w:val="24"/>
                <w:szCs w:val="24"/>
                <w:lang w:eastAsia="zh-CN"/>
              </w:rPr>
              <w:t>、</w:t>
            </w:r>
            <w:r>
              <w:rPr>
                <w:rFonts w:hint="eastAsia" w:ascii="宋体" w:hAnsi="宋体" w:eastAsia="宋体" w:cs="宋体"/>
                <w:sz w:val="24"/>
                <w:szCs w:val="24"/>
              </w:rPr>
              <w:t>3000-5000nits,色温6500-9500k,扫描1/16，室外屏需防雨</w:t>
            </w:r>
          </w:p>
          <w:p w14:paraId="4A988FCD">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舞台两侧柔性屏：</w:t>
            </w:r>
            <w:r>
              <w:rPr>
                <w:rFonts w:hint="eastAsia" w:ascii="宋体" w:hAnsi="宋体" w:eastAsia="宋体" w:cs="宋体"/>
                <w:sz w:val="24"/>
                <w:szCs w:val="24"/>
                <w:lang w:val="en-US" w:eastAsia="zh-CN"/>
              </w:rPr>
              <w:t>像素间距3mm</w:t>
            </w:r>
            <w:r>
              <w:rPr>
                <w:rFonts w:hint="eastAsia" w:ascii="宋体" w:hAnsi="宋体" w:eastAsia="宋体" w:cs="宋体"/>
                <w:sz w:val="24"/>
                <w:szCs w:val="24"/>
                <w:lang w:eastAsia="zh-CN"/>
              </w:rPr>
              <w:t>、</w:t>
            </w:r>
            <w:r>
              <w:rPr>
                <w:rFonts w:hint="eastAsia" w:ascii="宋体" w:hAnsi="宋体" w:eastAsia="宋体" w:cs="宋体"/>
                <w:sz w:val="24"/>
                <w:szCs w:val="24"/>
              </w:rPr>
              <w:t>，1920hz/3840hz,可拼接180°，室外屏需防雨</w:t>
            </w:r>
          </w:p>
          <w:p w14:paraId="59D193C6">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两侧吊屏参数：</w:t>
            </w:r>
            <w:r>
              <w:rPr>
                <w:rFonts w:hint="eastAsia" w:ascii="宋体" w:hAnsi="宋体" w:eastAsia="宋体" w:cs="宋体"/>
                <w:sz w:val="24"/>
                <w:szCs w:val="24"/>
                <w:lang w:val="en-US" w:eastAsia="zh-CN"/>
              </w:rPr>
              <w:t>像素间距4mm</w:t>
            </w:r>
            <w:r>
              <w:rPr>
                <w:rFonts w:hint="eastAsia" w:ascii="宋体" w:hAnsi="宋体" w:eastAsia="宋体" w:cs="宋体"/>
                <w:sz w:val="24"/>
                <w:szCs w:val="24"/>
                <w:lang w:eastAsia="zh-CN"/>
              </w:rPr>
              <w:t>、</w:t>
            </w:r>
            <w:r>
              <w:rPr>
                <w:rFonts w:hint="eastAsia" w:ascii="宋体" w:hAnsi="宋体" w:eastAsia="宋体" w:cs="宋体"/>
                <w:sz w:val="24"/>
                <w:szCs w:val="24"/>
              </w:rPr>
              <w:t>3000-5000nits,色温6500-9500k,扫描1/16，室外屏需防雨</w:t>
            </w:r>
          </w:p>
          <w:p w14:paraId="581EE6C6">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舞台前方斜放屏幕参数：</w:t>
            </w:r>
            <w:r>
              <w:rPr>
                <w:rFonts w:hint="eastAsia" w:ascii="宋体" w:hAnsi="宋体" w:eastAsia="宋体" w:cs="宋体"/>
                <w:sz w:val="24"/>
                <w:szCs w:val="24"/>
                <w:lang w:val="en-US" w:eastAsia="zh-CN"/>
              </w:rPr>
              <w:t>像素间距4mm</w:t>
            </w:r>
            <w:r>
              <w:rPr>
                <w:rFonts w:hint="eastAsia" w:ascii="宋体" w:hAnsi="宋体" w:eastAsia="宋体" w:cs="宋体"/>
                <w:sz w:val="24"/>
                <w:szCs w:val="24"/>
                <w:lang w:eastAsia="zh-CN"/>
              </w:rPr>
              <w:t>、</w:t>
            </w:r>
            <w:r>
              <w:rPr>
                <w:rFonts w:hint="eastAsia" w:ascii="宋体" w:hAnsi="宋体" w:eastAsia="宋体" w:cs="宋体"/>
                <w:sz w:val="24"/>
                <w:szCs w:val="24"/>
              </w:rPr>
              <w:t>3000-5000nits,色温6500-9500k,扫描1/16，室外屏需防雨</w:t>
            </w:r>
          </w:p>
        </w:tc>
      </w:tr>
      <w:tr w14:paraId="6F152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tcBorders>
              <w:top w:val="single" w:color="auto" w:sz="4" w:space="0"/>
              <w:left w:val="single" w:color="auto" w:sz="4" w:space="0"/>
              <w:bottom w:val="single" w:color="auto" w:sz="4" w:space="0"/>
              <w:right w:val="single" w:color="auto" w:sz="4" w:space="0"/>
            </w:tcBorders>
            <w:vAlign w:val="center"/>
          </w:tcPr>
          <w:p w14:paraId="64E3CD4B">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控制台</w:t>
            </w:r>
          </w:p>
        </w:tc>
        <w:tc>
          <w:tcPr>
            <w:tcW w:w="1093" w:type="pct"/>
            <w:tcBorders>
              <w:top w:val="single" w:color="auto" w:sz="4" w:space="0"/>
              <w:left w:val="single" w:color="auto" w:sz="4" w:space="0"/>
              <w:bottom w:val="single" w:color="auto" w:sz="4" w:space="0"/>
              <w:right w:val="single" w:color="auto" w:sz="4" w:space="0"/>
            </w:tcBorders>
            <w:vAlign w:val="center"/>
          </w:tcPr>
          <w:p w14:paraId="1247B33B">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2套，主一备一</w:t>
            </w:r>
          </w:p>
        </w:tc>
        <w:tc>
          <w:tcPr>
            <w:tcW w:w="3122" w:type="pct"/>
            <w:tcBorders>
              <w:top w:val="single" w:color="auto" w:sz="4" w:space="0"/>
              <w:left w:val="single" w:color="auto" w:sz="4" w:space="0"/>
              <w:bottom w:val="single" w:color="auto" w:sz="4" w:space="0"/>
              <w:right w:val="single" w:color="auto" w:sz="4" w:space="0"/>
            </w:tcBorders>
            <w:vAlign w:val="center"/>
          </w:tcPr>
          <w:p w14:paraId="63B39102">
            <w:pPr>
              <w:spacing w:line="460" w:lineRule="exact"/>
              <w:ind w:firstLine="0"/>
              <w:jc w:val="center"/>
              <w:rPr>
                <w:rFonts w:hint="eastAsia" w:ascii="宋体" w:hAnsi="宋体" w:eastAsia="宋体" w:cs="宋体"/>
                <w:sz w:val="24"/>
                <w:szCs w:val="24"/>
                <w:lang w:eastAsia="zh-CN"/>
              </w:rPr>
            </w:pPr>
            <w:r>
              <w:rPr>
                <w:rFonts w:hint="eastAsia" w:ascii="宋体" w:hAnsi="宋体" w:eastAsia="宋体" w:cs="宋体"/>
                <w:sz w:val="24"/>
                <w:szCs w:val="24"/>
              </w:rPr>
              <w:t>≥20路主输出，可拼接、可分组，≥32路混合输入，单机最大带载≥40K，≥2路HDMI2.0+2路DP1.2输入卡、≥2路HDMI2.0+4路光纤输出；≥21.5吋多点触控屏OLED实时显示</w:t>
            </w:r>
            <w:r>
              <w:rPr>
                <w:rFonts w:hint="eastAsia" w:ascii="宋体" w:hAnsi="宋体" w:eastAsia="宋体" w:cs="宋体"/>
                <w:sz w:val="24"/>
                <w:szCs w:val="24"/>
                <w:lang w:eastAsia="zh-CN"/>
              </w:rPr>
              <w:t>、</w:t>
            </w:r>
          </w:p>
          <w:p w14:paraId="7ACEEADD">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智能配置软件，具备输入、输出，预设多重备份。</w:t>
            </w:r>
          </w:p>
        </w:tc>
      </w:tr>
      <w:tr w14:paraId="6F8C1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tcBorders>
              <w:top w:val="single" w:color="auto" w:sz="4" w:space="0"/>
              <w:left w:val="single" w:color="auto" w:sz="4" w:space="0"/>
              <w:bottom w:val="single" w:color="auto" w:sz="4" w:space="0"/>
              <w:right w:val="single" w:color="auto" w:sz="4" w:space="0"/>
            </w:tcBorders>
            <w:vAlign w:val="center"/>
          </w:tcPr>
          <w:p w14:paraId="1A245ACC">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视频处理器</w:t>
            </w:r>
          </w:p>
        </w:tc>
        <w:tc>
          <w:tcPr>
            <w:tcW w:w="1093" w:type="pct"/>
            <w:tcBorders>
              <w:top w:val="single" w:color="auto" w:sz="4" w:space="0"/>
              <w:left w:val="single" w:color="auto" w:sz="4" w:space="0"/>
              <w:bottom w:val="single" w:color="auto" w:sz="4" w:space="0"/>
              <w:right w:val="single" w:color="auto" w:sz="4" w:space="0"/>
            </w:tcBorders>
            <w:vAlign w:val="center"/>
          </w:tcPr>
          <w:p w14:paraId="7FBBF46F">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1套</w:t>
            </w:r>
          </w:p>
        </w:tc>
        <w:tc>
          <w:tcPr>
            <w:tcW w:w="3122" w:type="pct"/>
            <w:tcBorders>
              <w:top w:val="single" w:color="auto" w:sz="4" w:space="0"/>
              <w:left w:val="single" w:color="auto" w:sz="4" w:space="0"/>
              <w:bottom w:val="single" w:color="auto" w:sz="4" w:space="0"/>
              <w:right w:val="single" w:color="auto" w:sz="4" w:space="0"/>
            </w:tcBorders>
            <w:vAlign w:val="center"/>
          </w:tcPr>
          <w:p w14:paraId="689D4C98">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DVI接口，支持1920*1080@60hz输入；</w:t>
            </w:r>
          </w:p>
          <w:p w14:paraId="7590503D">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HDMI1.3接口，支持1920*1080@60hz输入;</w:t>
            </w:r>
          </w:p>
          <w:p w14:paraId="3C631904">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3G-SDI接口，支持1920*1080@60hz输入；</w:t>
            </w:r>
          </w:p>
          <w:p w14:paraId="40C374D0">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DP1.1接口，支持3840*2160@30hz输入；</w:t>
            </w:r>
          </w:p>
          <w:p w14:paraId="2565188B">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HDMI1.4接口，支持3840*2160@30hz输入;</w:t>
            </w:r>
          </w:p>
          <w:p w14:paraId="326B6330">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DVI接口互为备份接口，支持4接口拼接输出；</w:t>
            </w:r>
          </w:p>
          <w:p w14:paraId="275204FE">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支持拼接器模式和切换台模式；</w:t>
            </w:r>
          </w:p>
          <w:p w14:paraId="109642C4">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支持添加3840*2160窗口任意布局，每个窗口支持跨接口输出。</w:t>
            </w:r>
          </w:p>
        </w:tc>
      </w:tr>
      <w:tr w14:paraId="4099D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tcBorders>
              <w:top w:val="single" w:color="auto" w:sz="4" w:space="0"/>
              <w:left w:val="single" w:color="auto" w:sz="4" w:space="0"/>
              <w:bottom w:val="single" w:color="auto" w:sz="4" w:space="0"/>
              <w:right w:val="single" w:color="auto" w:sz="4" w:space="0"/>
            </w:tcBorders>
            <w:vAlign w:val="center"/>
          </w:tcPr>
          <w:p w14:paraId="6D9DE08D">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视频信号卡</w:t>
            </w:r>
          </w:p>
        </w:tc>
        <w:tc>
          <w:tcPr>
            <w:tcW w:w="1093" w:type="pct"/>
            <w:tcBorders>
              <w:top w:val="single" w:color="auto" w:sz="4" w:space="0"/>
              <w:left w:val="single" w:color="auto" w:sz="4" w:space="0"/>
              <w:bottom w:val="single" w:color="auto" w:sz="4" w:space="0"/>
              <w:right w:val="single" w:color="auto" w:sz="4" w:space="0"/>
            </w:tcBorders>
            <w:vAlign w:val="center"/>
          </w:tcPr>
          <w:p w14:paraId="5CBC6028">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1套</w:t>
            </w:r>
          </w:p>
        </w:tc>
        <w:tc>
          <w:tcPr>
            <w:tcW w:w="3122" w:type="pct"/>
            <w:tcBorders>
              <w:top w:val="single" w:color="auto" w:sz="4" w:space="0"/>
              <w:left w:val="single" w:color="auto" w:sz="4" w:space="0"/>
              <w:bottom w:val="single" w:color="auto" w:sz="4" w:space="0"/>
              <w:right w:val="single" w:color="auto" w:sz="4" w:space="0"/>
            </w:tcBorders>
            <w:vAlign w:val="center"/>
          </w:tcPr>
          <w:p w14:paraId="41C1BDC4">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分辨率≥4k，4k*2k/8k*1k点对点显示，单口16网口/带载920万像素，10G光纤传输，宽高极限：最宽7680，最高7680，控制方式：</w:t>
            </w:r>
            <w:r>
              <w:rPr>
                <w:rFonts w:hint="eastAsia" w:ascii="宋体" w:hAnsi="宋体" w:eastAsia="宋体" w:cs="宋体"/>
                <w:sz w:val="24"/>
                <w:szCs w:val="24"/>
                <w:lang w:val="en-US" w:eastAsia="zh-CN"/>
              </w:rPr>
              <w:t>支持</w:t>
            </w:r>
            <w:r>
              <w:rPr>
                <w:rFonts w:hint="eastAsia" w:ascii="宋体" w:hAnsi="宋体" w:eastAsia="宋体" w:cs="宋体"/>
                <w:sz w:val="24"/>
                <w:szCs w:val="24"/>
              </w:rPr>
              <w:t>TCP/IP\USB RS232</w:t>
            </w:r>
          </w:p>
        </w:tc>
      </w:tr>
      <w:tr w14:paraId="4D6E3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784" w:type="pct"/>
            <w:tcBorders>
              <w:top w:val="single" w:color="auto" w:sz="4" w:space="0"/>
              <w:left w:val="single" w:color="auto" w:sz="4" w:space="0"/>
              <w:bottom w:val="single" w:color="auto" w:sz="4" w:space="0"/>
              <w:right w:val="single" w:color="auto" w:sz="4" w:space="0"/>
            </w:tcBorders>
            <w:vAlign w:val="center"/>
          </w:tcPr>
          <w:p w14:paraId="69BB3A97">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UPS稳压电源</w:t>
            </w:r>
          </w:p>
        </w:tc>
        <w:tc>
          <w:tcPr>
            <w:tcW w:w="1093" w:type="pct"/>
            <w:tcBorders>
              <w:top w:val="single" w:color="auto" w:sz="4" w:space="0"/>
              <w:left w:val="single" w:color="auto" w:sz="4" w:space="0"/>
              <w:bottom w:val="single" w:color="auto" w:sz="4" w:space="0"/>
              <w:right w:val="single" w:color="auto" w:sz="4" w:space="0"/>
            </w:tcBorders>
            <w:vAlign w:val="center"/>
          </w:tcPr>
          <w:p w14:paraId="4EC39C0E">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1套</w:t>
            </w:r>
          </w:p>
        </w:tc>
        <w:tc>
          <w:tcPr>
            <w:tcW w:w="3122" w:type="pct"/>
            <w:tcBorders>
              <w:top w:val="single" w:color="auto" w:sz="4" w:space="0"/>
              <w:left w:val="single" w:color="auto" w:sz="4" w:space="0"/>
              <w:bottom w:val="single" w:color="auto" w:sz="4" w:space="0"/>
              <w:right w:val="single" w:color="auto" w:sz="4" w:space="0"/>
            </w:tcBorders>
            <w:vAlign w:val="center"/>
          </w:tcPr>
          <w:p w14:paraId="41469FD3">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锂电稳压，容量≥8000KW,转换时间≤4ms，备用时间≥90分钟。</w:t>
            </w:r>
          </w:p>
        </w:tc>
      </w:tr>
      <w:tr w14:paraId="79FFC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tcBorders>
              <w:top w:val="single" w:color="auto" w:sz="4" w:space="0"/>
              <w:left w:val="single" w:color="auto" w:sz="4" w:space="0"/>
              <w:bottom w:val="single" w:color="auto" w:sz="4" w:space="0"/>
              <w:right w:val="single" w:color="auto" w:sz="4" w:space="0"/>
            </w:tcBorders>
            <w:vAlign w:val="center"/>
          </w:tcPr>
          <w:p w14:paraId="18BC44A6">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视频服务器</w:t>
            </w:r>
          </w:p>
        </w:tc>
        <w:tc>
          <w:tcPr>
            <w:tcW w:w="1093" w:type="pct"/>
            <w:tcBorders>
              <w:top w:val="single" w:color="auto" w:sz="4" w:space="0"/>
              <w:left w:val="single" w:color="auto" w:sz="4" w:space="0"/>
              <w:bottom w:val="single" w:color="auto" w:sz="4" w:space="0"/>
              <w:right w:val="single" w:color="auto" w:sz="4" w:space="0"/>
            </w:tcBorders>
            <w:vAlign w:val="center"/>
          </w:tcPr>
          <w:p w14:paraId="09A240AA">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2套</w:t>
            </w:r>
          </w:p>
        </w:tc>
        <w:tc>
          <w:tcPr>
            <w:tcW w:w="3122" w:type="pct"/>
            <w:tcBorders>
              <w:top w:val="single" w:color="auto" w:sz="4" w:space="0"/>
              <w:left w:val="single" w:color="auto" w:sz="4" w:space="0"/>
              <w:bottom w:val="single" w:color="auto" w:sz="4" w:space="0"/>
              <w:right w:val="single" w:color="auto" w:sz="4" w:space="0"/>
            </w:tcBorders>
            <w:vAlign w:val="center"/>
          </w:tcPr>
          <w:p w14:paraId="3097819E">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支持即点即播的实时模式与编播分离的预编辑模式，两种模式一键切换；</w:t>
            </w:r>
          </w:p>
          <w:p w14:paraId="1EF31F3F">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显卡口支持任意拆分重组；</w:t>
            </w:r>
          </w:p>
          <w:p w14:paraId="75333C2D">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预案式节目编排；</w:t>
            </w:r>
          </w:p>
          <w:p w14:paraId="49987CFD">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支持≥8个动态图层播放、支持静态图层</w:t>
            </w:r>
          </w:p>
        </w:tc>
      </w:tr>
      <w:tr w14:paraId="37AAF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784" w:type="pct"/>
            <w:tcBorders>
              <w:top w:val="single" w:color="auto" w:sz="4" w:space="0"/>
              <w:left w:val="single" w:color="auto" w:sz="4" w:space="0"/>
              <w:bottom w:val="single" w:color="auto" w:sz="4" w:space="0"/>
              <w:right w:val="single" w:color="auto" w:sz="4" w:space="0"/>
            </w:tcBorders>
            <w:vAlign w:val="center"/>
          </w:tcPr>
          <w:p w14:paraId="6553501C">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光纤传输</w:t>
            </w:r>
          </w:p>
        </w:tc>
        <w:tc>
          <w:tcPr>
            <w:tcW w:w="1093" w:type="pct"/>
            <w:tcBorders>
              <w:top w:val="single" w:color="auto" w:sz="4" w:space="0"/>
              <w:left w:val="single" w:color="auto" w:sz="4" w:space="0"/>
              <w:bottom w:val="single" w:color="auto" w:sz="4" w:space="0"/>
              <w:right w:val="single" w:color="auto" w:sz="4" w:space="0"/>
            </w:tcBorders>
            <w:vAlign w:val="center"/>
          </w:tcPr>
          <w:p w14:paraId="48353796">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1宗</w:t>
            </w:r>
          </w:p>
        </w:tc>
        <w:tc>
          <w:tcPr>
            <w:tcW w:w="3122" w:type="pct"/>
            <w:tcBorders>
              <w:top w:val="single" w:color="auto" w:sz="4" w:space="0"/>
              <w:left w:val="single" w:color="auto" w:sz="4" w:space="0"/>
              <w:bottom w:val="single" w:color="auto" w:sz="4" w:space="0"/>
              <w:right w:val="single" w:color="auto" w:sz="4" w:space="0"/>
            </w:tcBorders>
            <w:vAlign w:val="center"/>
          </w:tcPr>
          <w:p w14:paraId="3CA2412C">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≥100m单芯</w:t>
            </w:r>
          </w:p>
        </w:tc>
      </w:tr>
      <w:tr w14:paraId="3F286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784" w:type="pct"/>
            <w:tcBorders>
              <w:top w:val="single" w:color="auto" w:sz="4" w:space="0"/>
              <w:left w:val="single" w:color="auto" w:sz="4" w:space="0"/>
              <w:bottom w:val="single" w:color="auto" w:sz="4" w:space="0"/>
              <w:right w:val="single" w:color="auto" w:sz="4" w:space="0"/>
            </w:tcBorders>
            <w:vAlign w:val="center"/>
          </w:tcPr>
          <w:p w14:paraId="35456A47">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信号电缆</w:t>
            </w:r>
          </w:p>
        </w:tc>
        <w:tc>
          <w:tcPr>
            <w:tcW w:w="1093" w:type="pct"/>
            <w:tcBorders>
              <w:top w:val="single" w:color="auto" w:sz="4" w:space="0"/>
              <w:left w:val="single" w:color="auto" w:sz="4" w:space="0"/>
              <w:bottom w:val="single" w:color="auto" w:sz="4" w:space="0"/>
              <w:right w:val="single" w:color="auto" w:sz="4" w:space="0"/>
            </w:tcBorders>
            <w:vAlign w:val="center"/>
          </w:tcPr>
          <w:p w14:paraId="430AF9F0">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1套</w:t>
            </w:r>
          </w:p>
        </w:tc>
        <w:tc>
          <w:tcPr>
            <w:tcW w:w="3122" w:type="pct"/>
            <w:tcBorders>
              <w:top w:val="single" w:color="auto" w:sz="4" w:space="0"/>
              <w:left w:val="single" w:color="auto" w:sz="4" w:space="0"/>
              <w:bottom w:val="single" w:color="auto" w:sz="4" w:space="0"/>
              <w:right w:val="single" w:color="auto" w:sz="4" w:space="0"/>
            </w:tcBorders>
            <w:vAlign w:val="center"/>
          </w:tcPr>
          <w:p w14:paraId="1723455B">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DVI/HDMI</w:t>
            </w:r>
          </w:p>
        </w:tc>
      </w:tr>
      <w:tr w14:paraId="049A9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84" w:type="pct"/>
            <w:tcBorders>
              <w:top w:val="single" w:color="auto" w:sz="4" w:space="0"/>
              <w:left w:val="single" w:color="auto" w:sz="4" w:space="0"/>
              <w:bottom w:val="single" w:color="auto" w:sz="4" w:space="0"/>
              <w:right w:val="single" w:color="auto" w:sz="4" w:space="0"/>
            </w:tcBorders>
            <w:vAlign w:val="center"/>
          </w:tcPr>
          <w:p w14:paraId="0CF8FA5B">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监视器</w:t>
            </w:r>
          </w:p>
        </w:tc>
        <w:tc>
          <w:tcPr>
            <w:tcW w:w="1093" w:type="pct"/>
            <w:tcBorders>
              <w:top w:val="single" w:color="auto" w:sz="4" w:space="0"/>
              <w:left w:val="single" w:color="auto" w:sz="4" w:space="0"/>
              <w:bottom w:val="single" w:color="auto" w:sz="4" w:space="0"/>
              <w:right w:val="single" w:color="auto" w:sz="4" w:space="0"/>
            </w:tcBorders>
            <w:vAlign w:val="center"/>
          </w:tcPr>
          <w:p w14:paraId="46A93FE9">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2台</w:t>
            </w:r>
          </w:p>
        </w:tc>
        <w:tc>
          <w:tcPr>
            <w:tcW w:w="3122" w:type="pct"/>
            <w:tcBorders>
              <w:top w:val="single" w:color="auto" w:sz="4" w:space="0"/>
              <w:left w:val="single" w:color="auto" w:sz="4" w:space="0"/>
              <w:bottom w:val="single" w:color="auto" w:sz="4" w:space="0"/>
              <w:right w:val="single" w:color="auto" w:sz="4" w:space="0"/>
            </w:tcBorders>
            <w:vAlign w:val="center"/>
          </w:tcPr>
          <w:p w14:paraId="6605B917">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 xml:space="preserve">≥19 </w:t>
            </w:r>
            <w:r>
              <w:rPr>
                <w:rFonts w:hint="eastAsia" w:ascii="宋体" w:hAnsi="宋体" w:eastAsia="宋体" w:cs="宋体"/>
                <w:sz w:val="24"/>
                <w:szCs w:val="24"/>
                <w:u w:val="dotted"/>
              </w:rPr>
              <w:t>吋</w:t>
            </w:r>
            <w:r>
              <w:rPr>
                <w:rFonts w:hint="eastAsia" w:ascii="宋体" w:hAnsi="宋体" w:eastAsia="宋体" w:cs="宋体"/>
                <w:sz w:val="24"/>
                <w:szCs w:val="24"/>
              </w:rPr>
              <w:t>,分辨率1440*900</w:t>
            </w:r>
          </w:p>
        </w:tc>
      </w:tr>
      <w:tr w14:paraId="09ED8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tcBorders>
              <w:top w:val="single" w:color="auto" w:sz="4" w:space="0"/>
              <w:left w:val="single" w:color="auto" w:sz="4" w:space="0"/>
              <w:bottom w:val="single" w:color="auto" w:sz="4" w:space="0"/>
              <w:right w:val="single" w:color="auto" w:sz="4" w:space="0"/>
            </w:tcBorders>
            <w:vAlign w:val="center"/>
          </w:tcPr>
          <w:p w14:paraId="3912CD8A">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喷绘</w:t>
            </w:r>
          </w:p>
        </w:tc>
        <w:tc>
          <w:tcPr>
            <w:tcW w:w="1093" w:type="pct"/>
            <w:tcBorders>
              <w:top w:val="single" w:color="auto" w:sz="4" w:space="0"/>
              <w:left w:val="single" w:color="auto" w:sz="4" w:space="0"/>
              <w:bottom w:val="single" w:color="auto" w:sz="4" w:space="0"/>
              <w:right w:val="single" w:color="auto" w:sz="4" w:space="0"/>
            </w:tcBorders>
            <w:vAlign w:val="center"/>
          </w:tcPr>
          <w:p w14:paraId="216400AD">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控台区背景板10m*2m吊装；</w:t>
            </w:r>
          </w:p>
          <w:p w14:paraId="147AA2A6">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主背景板3m*8m*2</w:t>
            </w:r>
          </w:p>
        </w:tc>
        <w:tc>
          <w:tcPr>
            <w:tcW w:w="3122" w:type="pct"/>
            <w:tcBorders>
              <w:top w:val="single" w:color="auto" w:sz="4" w:space="0"/>
              <w:left w:val="single" w:color="auto" w:sz="4" w:space="0"/>
              <w:bottom w:val="single" w:color="auto" w:sz="4" w:space="0"/>
              <w:right w:val="single" w:color="auto" w:sz="4" w:space="0"/>
            </w:tcBorders>
            <w:vAlign w:val="center"/>
          </w:tcPr>
          <w:p w14:paraId="3FBE7DD1">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材质：高清UV刀刮布</w:t>
            </w:r>
          </w:p>
        </w:tc>
      </w:tr>
      <w:tr w14:paraId="28C5B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tcBorders>
              <w:top w:val="single" w:color="auto" w:sz="4" w:space="0"/>
              <w:left w:val="single" w:color="auto" w:sz="4" w:space="0"/>
              <w:bottom w:val="single" w:color="auto" w:sz="4" w:space="0"/>
              <w:right w:val="single" w:color="auto" w:sz="4" w:space="0"/>
            </w:tcBorders>
            <w:vAlign w:val="center"/>
          </w:tcPr>
          <w:p w14:paraId="7879EB81">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主扩声音响</w:t>
            </w:r>
          </w:p>
        </w:tc>
        <w:tc>
          <w:tcPr>
            <w:tcW w:w="1093" w:type="pct"/>
            <w:tcBorders>
              <w:top w:val="single" w:color="auto" w:sz="4" w:space="0"/>
              <w:left w:val="single" w:color="auto" w:sz="4" w:space="0"/>
              <w:bottom w:val="single" w:color="auto" w:sz="4" w:space="0"/>
              <w:right w:val="single" w:color="auto" w:sz="4" w:space="0"/>
            </w:tcBorders>
            <w:vAlign w:val="center"/>
          </w:tcPr>
          <w:p w14:paraId="784CABE5">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24台</w:t>
            </w:r>
          </w:p>
        </w:tc>
        <w:tc>
          <w:tcPr>
            <w:tcW w:w="3122" w:type="pct"/>
            <w:tcBorders>
              <w:top w:val="single" w:color="auto" w:sz="4" w:space="0"/>
              <w:left w:val="single" w:color="auto" w:sz="4" w:space="0"/>
              <w:bottom w:val="single" w:color="auto" w:sz="4" w:space="0"/>
              <w:right w:val="single" w:color="auto" w:sz="4" w:space="0"/>
            </w:tcBorders>
            <w:vAlign w:val="center"/>
          </w:tcPr>
          <w:p w14:paraId="306B7018">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双12寸线声源音箱,</w:t>
            </w:r>
            <w:r>
              <w:rPr>
                <w:rFonts w:hint="eastAsia" w:ascii="宋体" w:hAnsi="宋体" w:eastAsia="宋体" w:cs="宋体"/>
                <w:sz w:val="24"/>
                <w:szCs w:val="24"/>
                <w:lang w:val="en-US" w:eastAsia="zh-CN"/>
              </w:rPr>
              <w:t>扩声角度≤110°</w:t>
            </w:r>
            <w:r>
              <w:rPr>
                <w:rFonts w:hint="eastAsia" w:ascii="宋体" w:hAnsi="宋体" w:eastAsia="宋体" w:cs="宋体"/>
                <w:sz w:val="24"/>
                <w:szCs w:val="24"/>
              </w:rPr>
              <w:t>,模块之间的角度可以进行精确的调整，系统可吊架或地现堆放使用。</w:t>
            </w:r>
          </w:p>
          <w:p w14:paraId="24B824F5">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带宽（10dB ):35hz-20khz</w:t>
            </w:r>
          </w:p>
          <w:p w14:paraId="6E4BFFA7">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最大声压（SPL）：</w:t>
            </w:r>
            <w:r>
              <w:rPr>
                <w:rFonts w:hint="eastAsia" w:ascii="宋体" w:hAnsi="宋体" w:eastAsia="宋体" w:cs="宋体"/>
                <w:sz w:val="24"/>
                <w:szCs w:val="24"/>
                <w:lang w:val="en-US" w:eastAsia="zh-CN"/>
              </w:rPr>
              <w:t>≥</w:t>
            </w:r>
            <w:r>
              <w:rPr>
                <w:rFonts w:hint="eastAsia" w:ascii="宋体" w:hAnsi="宋体" w:eastAsia="宋体" w:cs="宋体"/>
                <w:sz w:val="24"/>
                <w:szCs w:val="24"/>
              </w:rPr>
              <w:t xml:space="preserve">135dB </w:t>
            </w:r>
          </w:p>
          <w:p w14:paraId="060AFA41">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lang w:val="en-US" w:eastAsia="zh-CN"/>
              </w:rPr>
              <w:t>额定功率：低频≥900W、中频≥310W、高频≥360W</w:t>
            </w:r>
            <w:r>
              <w:rPr>
                <w:rFonts w:hint="eastAsia" w:ascii="宋体" w:hAnsi="宋体" w:eastAsia="宋体" w:cs="宋体"/>
                <w:sz w:val="24"/>
                <w:szCs w:val="24"/>
              </w:rPr>
              <w:t>：</w:t>
            </w:r>
          </w:p>
          <w:p w14:paraId="6E2F5466">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标称阻抗：LF:2*8欧 MF:8欧 HF:8欧</w:t>
            </w:r>
          </w:p>
        </w:tc>
      </w:tr>
      <w:tr w14:paraId="7180C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784" w:type="pct"/>
            <w:tcBorders>
              <w:top w:val="single" w:color="auto" w:sz="4" w:space="0"/>
              <w:left w:val="single" w:color="auto" w:sz="4" w:space="0"/>
              <w:bottom w:val="single" w:color="auto" w:sz="4" w:space="0"/>
              <w:right w:val="single" w:color="auto" w:sz="4" w:space="0"/>
            </w:tcBorders>
            <w:vAlign w:val="center"/>
          </w:tcPr>
          <w:p w14:paraId="439CDE1C">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超低音箱</w:t>
            </w:r>
          </w:p>
        </w:tc>
        <w:tc>
          <w:tcPr>
            <w:tcW w:w="1093" w:type="pct"/>
            <w:tcBorders>
              <w:top w:val="single" w:color="auto" w:sz="4" w:space="0"/>
              <w:left w:val="single" w:color="auto" w:sz="4" w:space="0"/>
              <w:bottom w:val="single" w:color="auto" w:sz="4" w:space="0"/>
              <w:right w:val="single" w:color="auto" w:sz="4" w:space="0"/>
            </w:tcBorders>
            <w:vAlign w:val="center"/>
          </w:tcPr>
          <w:p w14:paraId="7401BCDF">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8台</w:t>
            </w:r>
          </w:p>
        </w:tc>
        <w:tc>
          <w:tcPr>
            <w:tcW w:w="3122" w:type="pct"/>
            <w:tcBorders>
              <w:top w:val="single" w:color="auto" w:sz="4" w:space="0"/>
              <w:left w:val="single" w:color="auto" w:sz="4" w:space="0"/>
              <w:bottom w:val="single" w:color="auto" w:sz="4" w:space="0"/>
              <w:right w:val="single" w:color="auto" w:sz="4" w:space="0"/>
            </w:tcBorders>
            <w:vAlign w:val="center"/>
          </w:tcPr>
          <w:p w14:paraId="01B7BC03">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单18寸超低音音箱</w:t>
            </w:r>
          </w:p>
          <w:p w14:paraId="00B48274">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频响：30hz-180hz(+/-3db)</w:t>
            </w:r>
          </w:p>
          <w:p w14:paraId="3D96558A">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额定功率：≥1200W</w:t>
            </w:r>
          </w:p>
          <w:p w14:paraId="4B5C6A35">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最大声压（spl)</w:t>
            </w:r>
            <w:r>
              <w:rPr>
                <w:rFonts w:hint="eastAsia" w:ascii="宋体" w:hAnsi="宋体" w:eastAsia="宋体" w:cs="宋体"/>
                <w:sz w:val="24"/>
                <w:szCs w:val="24"/>
                <w:lang w:val="en-US" w:eastAsia="zh-CN"/>
              </w:rPr>
              <w:t>≥</w:t>
            </w:r>
            <w:r>
              <w:rPr>
                <w:rFonts w:hint="eastAsia" w:ascii="宋体" w:hAnsi="宋体" w:eastAsia="宋体" w:cs="宋体"/>
                <w:sz w:val="24"/>
                <w:szCs w:val="24"/>
              </w:rPr>
              <w:t>136.5dB</w:t>
            </w:r>
          </w:p>
          <w:p w14:paraId="053230A4">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标称阻抗8欧</w:t>
            </w:r>
          </w:p>
        </w:tc>
      </w:tr>
      <w:tr w14:paraId="676E5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tcBorders>
              <w:top w:val="single" w:color="auto" w:sz="4" w:space="0"/>
              <w:left w:val="single" w:color="auto" w:sz="4" w:space="0"/>
              <w:bottom w:val="single" w:color="auto" w:sz="4" w:space="0"/>
              <w:right w:val="single" w:color="auto" w:sz="4" w:space="0"/>
            </w:tcBorders>
            <w:vAlign w:val="center"/>
          </w:tcPr>
          <w:p w14:paraId="7459EA78">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舞台返听音响</w:t>
            </w:r>
          </w:p>
        </w:tc>
        <w:tc>
          <w:tcPr>
            <w:tcW w:w="1093" w:type="pct"/>
            <w:tcBorders>
              <w:top w:val="single" w:color="auto" w:sz="4" w:space="0"/>
              <w:left w:val="single" w:color="auto" w:sz="4" w:space="0"/>
              <w:bottom w:val="single" w:color="auto" w:sz="4" w:space="0"/>
              <w:right w:val="single" w:color="auto" w:sz="4" w:space="0"/>
            </w:tcBorders>
            <w:vAlign w:val="center"/>
          </w:tcPr>
          <w:p w14:paraId="3884E3DF">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6台</w:t>
            </w:r>
          </w:p>
        </w:tc>
        <w:tc>
          <w:tcPr>
            <w:tcW w:w="3122" w:type="pct"/>
            <w:tcBorders>
              <w:top w:val="single" w:color="auto" w:sz="4" w:space="0"/>
              <w:left w:val="single" w:color="auto" w:sz="4" w:space="0"/>
              <w:bottom w:val="single" w:color="auto" w:sz="4" w:space="0"/>
              <w:right w:val="single" w:color="auto" w:sz="4" w:space="0"/>
            </w:tcBorders>
            <w:vAlign w:val="center"/>
          </w:tcPr>
          <w:p w14:paraId="5D26B99A">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额定功率：800W</w:t>
            </w:r>
          </w:p>
          <w:p w14:paraId="0F539452">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覆盖模式：（-6 dB) 50x 90°标称</w:t>
            </w:r>
          </w:p>
          <w:p w14:paraId="3106BA37">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lang w:val="en-US" w:eastAsia="zh-CN"/>
              </w:rPr>
              <w:t>最</w:t>
            </w:r>
            <w:r>
              <w:rPr>
                <w:rFonts w:hint="eastAsia" w:ascii="宋体" w:hAnsi="宋体" w:eastAsia="宋体" w:cs="宋体"/>
                <w:sz w:val="24"/>
                <w:szCs w:val="24"/>
              </w:rPr>
              <w:t>大声压级：</w:t>
            </w:r>
            <w:r>
              <w:rPr>
                <w:rFonts w:hint="eastAsia" w:ascii="宋体" w:hAnsi="宋体" w:eastAsia="宋体" w:cs="宋体"/>
                <w:sz w:val="24"/>
                <w:szCs w:val="24"/>
                <w:lang w:val="en-US" w:eastAsia="zh-CN"/>
              </w:rPr>
              <w:t>≥</w:t>
            </w:r>
            <w:r>
              <w:rPr>
                <w:rFonts w:hint="eastAsia" w:ascii="宋体" w:hAnsi="宋体" w:eastAsia="宋体" w:cs="宋体"/>
                <w:sz w:val="24"/>
                <w:szCs w:val="24"/>
              </w:rPr>
              <w:t xml:space="preserve">(1m) 127dB </w:t>
            </w:r>
          </w:p>
          <w:p w14:paraId="6CF233A1">
            <w:pPr>
              <w:spacing w:line="460" w:lineRule="exact"/>
              <w:ind w:firstLine="0"/>
              <w:jc w:val="center"/>
              <w:rPr>
                <w:rFonts w:hint="eastAsia" w:ascii="宋体" w:hAnsi="宋体" w:eastAsia="宋体" w:cs="宋体"/>
                <w:sz w:val="24"/>
                <w:szCs w:val="24"/>
                <w:lang w:eastAsia="zh-CN"/>
              </w:rPr>
            </w:pPr>
            <w:r>
              <w:rPr>
                <w:rFonts w:hint="eastAsia" w:ascii="宋体" w:hAnsi="宋体" w:eastAsia="宋体" w:cs="宋体"/>
                <w:sz w:val="24"/>
                <w:szCs w:val="24"/>
              </w:rPr>
              <w:t xml:space="preserve">低频驱动单元1个 </w:t>
            </w:r>
            <w:r>
              <w:rPr>
                <w:rFonts w:hint="eastAsia" w:ascii="宋体" w:hAnsi="宋体" w:eastAsia="宋体" w:cs="宋体"/>
                <w:sz w:val="24"/>
                <w:szCs w:val="24"/>
                <w:lang w:eastAsia="zh-CN"/>
              </w:rPr>
              <w:t>、</w:t>
            </w:r>
            <w:r>
              <w:rPr>
                <w:rFonts w:hint="eastAsia" w:ascii="宋体" w:hAnsi="宋体" w:eastAsia="宋体" w:cs="宋体"/>
                <w:sz w:val="24"/>
                <w:szCs w:val="24"/>
              </w:rPr>
              <w:t>8欧姆</w:t>
            </w:r>
            <w:r>
              <w:rPr>
                <w:rFonts w:hint="eastAsia" w:ascii="宋体" w:hAnsi="宋体" w:eastAsia="宋体" w:cs="宋体"/>
                <w:sz w:val="24"/>
                <w:szCs w:val="24"/>
                <w:lang w:eastAsia="zh-CN"/>
              </w:rPr>
              <w:t>，</w:t>
            </w:r>
          </w:p>
          <w:p w14:paraId="53EF249B">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lang w:val="en-US" w:eastAsia="zh-CN"/>
              </w:rPr>
              <w:t>高频</w:t>
            </w:r>
            <w:r>
              <w:rPr>
                <w:rFonts w:hint="eastAsia" w:ascii="宋体" w:hAnsi="宋体" w:eastAsia="宋体" w:cs="宋体"/>
                <w:sz w:val="24"/>
                <w:szCs w:val="24"/>
              </w:rPr>
              <w:t>钕磁</w:t>
            </w:r>
            <w:r>
              <w:rPr>
                <w:rFonts w:hint="eastAsia" w:ascii="宋体" w:hAnsi="宋体" w:eastAsia="宋体" w:cs="宋体"/>
                <w:sz w:val="24"/>
                <w:szCs w:val="24"/>
                <w:lang w:eastAsia="zh-CN"/>
              </w:rPr>
              <w:t>、</w:t>
            </w:r>
            <w:r>
              <w:rPr>
                <w:rFonts w:hint="eastAsia" w:ascii="宋体" w:hAnsi="宋体" w:eastAsia="宋体" w:cs="宋体"/>
                <w:sz w:val="24"/>
                <w:szCs w:val="24"/>
              </w:rPr>
              <w:t>标称阻抗</w:t>
            </w:r>
            <w:r>
              <w:rPr>
                <w:rFonts w:hint="eastAsia" w:ascii="宋体" w:hAnsi="宋体" w:eastAsia="宋体" w:cs="宋体"/>
                <w:sz w:val="24"/>
                <w:szCs w:val="24"/>
                <w:lang w:eastAsia="zh-CN"/>
              </w:rPr>
              <w:t>：</w:t>
            </w:r>
            <w:r>
              <w:rPr>
                <w:rFonts w:hint="eastAsia" w:ascii="宋体" w:hAnsi="宋体" w:eastAsia="宋体" w:cs="宋体"/>
                <w:sz w:val="24"/>
                <w:szCs w:val="24"/>
              </w:rPr>
              <w:t>8欧姆</w:t>
            </w:r>
          </w:p>
          <w:p w14:paraId="3A444095">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频率响应(土3dB)70Hz ~ -20kHz</w:t>
            </w:r>
          </w:p>
        </w:tc>
      </w:tr>
      <w:tr w14:paraId="420A2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tcBorders>
              <w:top w:val="single" w:color="auto" w:sz="4" w:space="0"/>
              <w:left w:val="single" w:color="auto" w:sz="4" w:space="0"/>
              <w:bottom w:val="single" w:color="auto" w:sz="4" w:space="0"/>
              <w:right w:val="single" w:color="auto" w:sz="4" w:space="0"/>
            </w:tcBorders>
            <w:vAlign w:val="center"/>
          </w:tcPr>
          <w:p w14:paraId="0EA7F0E5">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麦克</w:t>
            </w:r>
          </w:p>
        </w:tc>
        <w:tc>
          <w:tcPr>
            <w:tcW w:w="1093" w:type="pct"/>
            <w:tcBorders>
              <w:top w:val="single" w:color="auto" w:sz="4" w:space="0"/>
              <w:left w:val="single" w:color="auto" w:sz="4" w:space="0"/>
              <w:bottom w:val="single" w:color="auto" w:sz="4" w:space="0"/>
              <w:right w:val="single" w:color="auto" w:sz="4" w:space="0"/>
            </w:tcBorders>
            <w:vAlign w:val="center"/>
          </w:tcPr>
          <w:p w14:paraId="5BD14AFF">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4只</w:t>
            </w:r>
          </w:p>
        </w:tc>
        <w:tc>
          <w:tcPr>
            <w:tcW w:w="3122" w:type="pct"/>
            <w:tcBorders>
              <w:top w:val="single" w:color="auto" w:sz="4" w:space="0"/>
              <w:left w:val="single" w:color="auto" w:sz="4" w:space="0"/>
              <w:bottom w:val="single" w:color="auto" w:sz="4" w:space="0"/>
              <w:right w:val="single" w:color="auto" w:sz="4" w:space="0"/>
            </w:tcBorders>
            <w:vAlign w:val="center"/>
          </w:tcPr>
          <w:p w14:paraId="0736EF42">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定向模式：全方位</w:t>
            </w:r>
            <w:r>
              <w:rPr>
                <w:rFonts w:hint="eastAsia" w:ascii="宋体" w:hAnsi="宋体" w:eastAsia="宋体" w:cs="宋体"/>
                <w:sz w:val="24"/>
                <w:szCs w:val="24"/>
                <w:lang w:eastAsia="zh-CN"/>
              </w:rPr>
              <w:t>、</w:t>
            </w:r>
            <w:r>
              <w:rPr>
                <w:rFonts w:hint="eastAsia" w:ascii="宋体" w:hAnsi="宋体" w:eastAsia="宋体" w:cs="宋体"/>
                <w:sz w:val="24"/>
                <w:szCs w:val="24"/>
              </w:rPr>
              <w:t>心</w:t>
            </w:r>
            <w:r>
              <w:rPr>
                <w:rFonts w:hint="eastAsia" w:ascii="宋体" w:hAnsi="宋体" w:eastAsia="宋体" w:cs="宋体"/>
                <w:sz w:val="24"/>
                <w:szCs w:val="24"/>
                <w:lang w:val="en-US" w:eastAsia="zh-CN"/>
              </w:rPr>
              <w:t>形可切换</w:t>
            </w:r>
            <w:r>
              <w:rPr>
                <w:rFonts w:hint="eastAsia" w:ascii="宋体" w:hAnsi="宋体" w:eastAsia="宋体" w:cs="宋体"/>
                <w:sz w:val="24"/>
                <w:szCs w:val="24"/>
              </w:rPr>
              <w:t>、频率范围：20Hz _ 20kHz</w:t>
            </w:r>
          </w:p>
          <w:p w14:paraId="6185698D">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灵敏度为1 kHz的1千欧：12/15/10 mV/Pa</w:t>
            </w:r>
          </w:p>
          <w:p w14:paraId="7EFB2D6E">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 xml:space="preserve">额定阻抗：50 </w:t>
            </w:r>
            <w:r>
              <w:rPr>
                <w:rFonts w:hint="eastAsia" w:ascii="宋体" w:hAnsi="宋体" w:eastAsia="宋体" w:cs="宋体"/>
                <w:sz w:val="24"/>
                <w:szCs w:val="24"/>
                <w:lang w:val="en-US" w:eastAsia="zh-CN"/>
              </w:rPr>
              <w:t>欧姆、</w:t>
            </w:r>
          </w:p>
          <w:p w14:paraId="050ACAFA">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lang w:val="en-US" w:eastAsia="zh-CN"/>
              </w:rPr>
              <w:t>信</w:t>
            </w:r>
            <w:r>
              <w:rPr>
                <w:rFonts w:hint="eastAsia" w:ascii="宋体" w:hAnsi="宋体" w:eastAsia="宋体" w:cs="宋体"/>
                <w:sz w:val="24"/>
                <w:szCs w:val="24"/>
              </w:rPr>
              <w:t>噪比</w:t>
            </w:r>
            <w:r>
              <w:rPr>
                <w:rFonts w:hint="eastAsia" w:ascii="宋体" w:hAnsi="宋体" w:eastAsia="宋体" w:cs="宋体"/>
                <w:sz w:val="24"/>
                <w:szCs w:val="24"/>
                <w:lang w:eastAsia="zh-CN"/>
              </w:rPr>
              <w:t>（</w:t>
            </w:r>
            <w:r>
              <w:rPr>
                <w:rFonts w:hint="eastAsia" w:ascii="宋体" w:hAnsi="宋体" w:eastAsia="宋体" w:cs="宋体"/>
                <w:sz w:val="24"/>
                <w:szCs w:val="24"/>
              </w:rPr>
              <w:t>A</w:t>
            </w:r>
            <w:r>
              <w:rPr>
                <w:rFonts w:hint="eastAsia" w:ascii="宋体" w:hAnsi="宋体" w:eastAsia="宋体" w:cs="宋体"/>
                <w:sz w:val="24"/>
                <w:szCs w:val="24"/>
                <w:lang w:val="en-US" w:eastAsia="zh-CN"/>
              </w:rPr>
              <w:t>计</w:t>
            </w:r>
            <w:r>
              <w:rPr>
                <w:rFonts w:hint="eastAsia" w:ascii="宋体" w:hAnsi="宋体" w:eastAsia="宋体" w:cs="宋体"/>
                <w:sz w:val="24"/>
                <w:szCs w:val="24"/>
              </w:rPr>
              <w:t>权)</w:t>
            </w:r>
            <w:r>
              <w:rPr>
                <w:rFonts w:hint="eastAsia" w:ascii="宋体" w:hAnsi="宋体" w:eastAsia="宋体" w:cs="宋体"/>
                <w:sz w:val="24"/>
                <w:szCs w:val="24"/>
                <w:lang w:eastAsia="zh-CN"/>
              </w:rPr>
              <w:t>：</w:t>
            </w:r>
            <w:r>
              <w:rPr>
                <w:rFonts w:hint="eastAsia" w:ascii="宋体" w:hAnsi="宋体" w:eastAsia="宋体" w:cs="宋体"/>
                <w:sz w:val="24"/>
                <w:szCs w:val="24"/>
              </w:rPr>
              <w:t>81/81/79dB</w:t>
            </w:r>
          </w:p>
          <w:p w14:paraId="0A198F99">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最大声压级</w:t>
            </w:r>
            <w:r>
              <w:rPr>
                <w:rFonts w:hint="eastAsia" w:ascii="宋体" w:hAnsi="宋体" w:eastAsia="宋体" w:cs="宋体"/>
                <w:sz w:val="24"/>
                <w:szCs w:val="24"/>
                <w:lang w:eastAsia="zh-CN"/>
              </w:rPr>
              <w:t>：</w:t>
            </w:r>
            <w:r>
              <w:rPr>
                <w:rFonts w:hint="eastAsia" w:ascii="宋体" w:hAnsi="宋体" w:eastAsia="宋体" w:cs="宋体"/>
                <w:sz w:val="24"/>
                <w:szCs w:val="24"/>
              </w:rPr>
              <w:t>140/138/142dB</w:t>
            </w:r>
          </w:p>
          <w:p w14:paraId="3D4603BC">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最大输出电压：10 dBu</w:t>
            </w:r>
          </w:p>
        </w:tc>
      </w:tr>
      <w:tr w14:paraId="028E6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tcBorders>
              <w:top w:val="single" w:color="auto" w:sz="4" w:space="0"/>
              <w:left w:val="single" w:color="auto" w:sz="4" w:space="0"/>
              <w:bottom w:val="single" w:color="auto" w:sz="4" w:space="0"/>
              <w:right w:val="single" w:color="auto" w:sz="4" w:space="0"/>
            </w:tcBorders>
            <w:vAlign w:val="center"/>
          </w:tcPr>
          <w:p w14:paraId="19C770FC">
            <w:pPr>
              <w:spacing w:line="460" w:lineRule="exact"/>
              <w:ind w:firstLine="0"/>
              <w:jc w:val="center"/>
              <w:rPr>
                <w:rFonts w:hint="eastAsia" w:ascii="宋体" w:hAnsi="宋体" w:eastAsia="宋体" w:cs="宋体"/>
                <w:sz w:val="24"/>
                <w:szCs w:val="24"/>
              </w:rPr>
            </w:pPr>
          </w:p>
          <w:p w14:paraId="13462740">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无线手持麦克</w:t>
            </w:r>
          </w:p>
        </w:tc>
        <w:tc>
          <w:tcPr>
            <w:tcW w:w="1093" w:type="pct"/>
            <w:tcBorders>
              <w:top w:val="single" w:color="auto" w:sz="4" w:space="0"/>
              <w:left w:val="single" w:color="auto" w:sz="4" w:space="0"/>
              <w:bottom w:val="single" w:color="auto" w:sz="4" w:space="0"/>
              <w:right w:val="single" w:color="auto" w:sz="4" w:space="0"/>
            </w:tcBorders>
            <w:vAlign w:val="center"/>
          </w:tcPr>
          <w:p w14:paraId="055C8278">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6只</w:t>
            </w:r>
          </w:p>
        </w:tc>
        <w:tc>
          <w:tcPr>
            <w:tcW w:w="3122" w:type="pct"/>
            <w:tcBorders>
              <w:top w:val="single" w:color="auto" w:sz="4" w:space="0"/>
              <w:left w:val="single" w:color="auto" w:sz="4" w:space="0"/>
              <w:bottom w:val="single" w:color="auto" w:sz="4" w:space="0"/>
              <w:right w:val="single" w:color="auto" w:sz="4" w:space="0"/>
            </w:tcBorders>
            <w:vAlign w:val="center"/>
          </w:tcPr>
          <w:p w14:paraId="157A1C15">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灵敏度</w:t>
            </w:r>
            <w:r>
              <w:rPr>
                <w:rFonts w:hint="eastAsia" w:ascii="宋体" w:hAnsi="宋体" w:eastAsia="宋体" w:cs="宋体"/>
                <w:sz w:val="24"/>
                <w:szCs w:val="24"/>
                <w:lang w:eastAsia="zh-CN"/>
              </w:rPr>
              <w:t>：</w:t>
            </w:r>
            <w:r>
              <w:rPr>
                <w:rFonts w:hint="eastAsia" w:ascii="宋体" w:hAnsi="宋体" w:eastAsia="宋体" w:cs="宋体"/>
                <w:sz w:val="24"/>
                <w:szCs w:val="24"/>
              </w:rPr>
              <w:t>-105 dBm ，信噪比</w:t>
            </w:r>
            <w:r>
              <w:rPr>
                <w:rFonts w:hint="eastAsia" w:ascii="宋体" w:hAnsi="宋体" w:eastAsia="宋体" w:cs="宋体"/>
                <w:sz w:val="24"/>
                <w:szCs w:val="24"/>
                <w:lang w:val="en-US" w:eastAsia="zh-CN"/>
              </w:rPr>
              <w:t>≥</w:t>
            </w:r>
            <w:r>
              <w:rPr>
                <w:rFonts w:hint="eastAsia" w:ascii="宋体" w:hAnsi="宋体" w:eastAsia="宋体" w:cs="宋体"/>
                <w:sz w:val="24"/>
                <w:szCs w:val="24"/>
              </w:rPr>
              <w:t>12 dB</w:t>
            </w:r>
          </w:p>
          <w:p w14:paraId="26B87F9F">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lang w:val="en-US" w:eastAsia="zh-CN"/>
              </w:rPr>
              <w:t>工作电流：</w:t>
            </w:r>
            <w:r>
              <w:rPr>
                <w:rFonts w:hint="eastAsia" w:ascii="宋体" w:hAnsi="宋体" w:eastAsia="宋体" w:cs="宋体"/>
                <w:sz w:val="24"/>
                <w:szCs w:val="24"/>
              </w:rPr>
              <w:t>150 mA</w:t>
            </w:r>
          </w:p>
          <w:p w14:paraId="28168238">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增益调整范围</w:t>
            </w:r>
            <w:r>
              <w:rPr>
                <w:rFonts w:hint="eastAsia" w:ascii="宋体" w:hAnsi="宋体" w:eastAsia="宋体" w:cs="宋体"/>
                <w:sz w:val="24"/>
                <w:szCs w:val="24"/>
                <w:lang w:val="en-US" w:eastAsia="zh-CN"/>
              </w:rPr>
              <w:t>≥</w:t>
            </w:r>
            <w:r>
              <w:rPr>
                <w:rFonts w:hint="eastAsia" w:ascii="宋体" w:hAnsi="宋体" w:eastAsia="宋体" w:cs="宋体"/>
                <w:sz w:val="24"/>
                <w:szCs w:val="24"/>
              </w:rPr>
              <w:t>10dB</w:t>
            </w:r>
          </w:p>
        </w:tc>
      </w:tr>
      <w:tr w14:paraId="65DDB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tcBorders>
              <w:top w:val="single" w:color="auto" w:sz="4" w:space="0"/>
              <w:left w:val="single" w:color="auto" w:sz="4" w:space="0"/>
              <w:bottom w:val="single" w:color="auto" w:sz="4" w:space="0"/>
              <w:right w:val="single" w:color="auto" w:sz="4" w:space="0"/>
            </w:tcBorders>
            <w:vAlign w:val="center"/>
          </w:tcPr>
          <w:p w14:paraId="2B91D82F">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胸麦</w:t>
            </w:r>
          </w:p>
        </w:tc>
        <w:tc>
          <w:tcPr>
            <w:tcW w:w="1093" w:type="pct"/>
            <w:tcBorders>
              <w:top w:val="single" w:color="auto" w:sz="4" w:space="0"/>
              <w:left w:val="single" w:color="auto" w:sz="4" w:space="0"/>
              <w:bottom w:val="single" w:color="auto" w:sz="4" w:space="0"/>
              <w:right w:val="single" w:color="auto" w:sz="4" w:space="0"/>
            </w:tcBorders>
            <w:vAlign w:val="center"/>
          </w:tcPr>
          <w:p w14:paraId="151F46BD">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4个</w:t>
            </w:r>
          </w:p>
        </w:tc>
        <w:tc>
          <w:tcPr>
            <w:tcW w:w="3122" w:type="pct"/>
            <w:tcBorders>
              <w:top w:val="single" w:color="auto" w:sz="4" w:space="0"/>
              <w:left w:val="single" w:color="auto" w:sz="4" w:space="0"/>
              <w:bottom w:val="single" w:color="auto" w:sz="4" w:space="0"/>
              <w:right w:val="single" w:color="auto" w:sz="4" w:space="0"/>
            </w:tcBorders>
            <w:vAlign w:val="center"/>
          </w:tcPr>
          <w:p w14:paraId="5C1D8335">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 xml:space="preserve">总谐波失真≤0.9% </w:t>
            </w:r>
          </w:p>
          <w:p w14:paraId="57EF4AB8">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频点可调范围</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w:t>
            </w:r>
            <w:r>
              <w:rPr>
                <w:rFonts w:hint="eastAsia" w:ascii="宋体" w:hAnsi="宋体" w:eastAsia="宋体" w:cs="宋体"/>
                <w:sz w:val="24"/>
                <w:szCs w:val="24"/>
              </w:rPr>
              <w:t xml:space="preserve">24MHz </w:t>
            </w:r>
          </w:p>
          <w:p w14:paraId="2A9E3803">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工作时间</w:t>
            </w:r>
            <w:r>
              <w:rPr>
                <w:rFonts w:hint="eastAsia" w:ascii="宋体" w:hAnsi="宋体" w:eastAsia="宋体" w:cs="宋体"/>
                <w:sz w:val="24"/>
                <w:szCs w:val="24"/>
                <w:lang w:val="en-US" w:eastAsia="zh-CN"/>
              </w:rPr>
              <w:t>≥</w:t>
            </w:r>
            <w:r>
              <w:rPr>
                <w:rFonts w:hint="eastAsia" w:ascii="宋体" w:hAnsi="宋体" w:eastAsia="宋体" w:cs="宋体"/>
                <w:sz w:val="24"/>
                <w:szCs w:val="24"/>
              </w:rPr>
              <w:t xml:space="preserve">10小时 </w:t>
            </w:r>
          </w:p>
          <w:p w14:paraId="41549B7C">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调制：宽带FM</w:t>
            </w:r>
          </w:p>
        </w:tc>
      </w:tr>
      <w:tr w14:paraId="7FFDC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tcBorders>
              <w:top w:val="single" w:color="auto" w:sz="4" w:space="0"/>
              <w:left w:val="single" w:color="auto" w:sz="4" w:space="0"/>
              <w:bottom w:val="single" w:color="auto" w:sz="4" w:space="0"/>
              <w:right w:val="single" w:color="auto" w:sz="4" w:space="0"/>
            </w:tcBorders>
            <w:vAlign w:val="center"/>
          </w:tcPr>
          <w:p w14:paraId="053DD0FD">
            <w:pPr>
              <w:spacing w:line="460" w:lineRule="exact"/>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rPr>
              <w:t>功率放大器</w:t>
            </w:r>
            <w:r>
              <w:rPr>
                <w:rFonts w:hint="eastAsia" w:ascii="宋体" w:hAnsi="宋体" w:eastAsia="宋体" w:cs="宋体"/>
                <w:sz w:val="24"/>
                <w:szCs w:val="24"/>
                <w:lang w:val="en-US" w:eastAsia="zh-CN"/>
              </w:rPr>
              <w:t>①</w:t>
            </w:r>
          </w:p>
        </w:tc>
        <w:tc>
          <w:tcPr>
            <w:tcW w:w="1093" w:type="pct"/>
            <w:tcBorders>
              <w:top w:val="single" w:color="auto" w:sz="4" w:space="0"/>
              <w:left w:val="single" w:color="auto" w:sz="4" w:space="0"/>
              <w:bottom w:val="single" w:color="auto" w:sz="4" w:space="0"/>
              <w:right w:val="single" w:color="auto" w:sz="4" w:space="0"/>
            </w:tcBorders>
            <w:vAlign w:val="center"/>
          </w:tcPr>
          <w:p w14:paraId="2F872632">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4套</w:t>
            </w:r>
          </w:p>
        </w:tc>
        <w:tc>
          <w:tcPr>
            <w:tcW w:w="3122" w:type="pct"/>
            <w:tcBorders>
              <w:top w:val="single" w:color="auto" w:sz="4" w:space="0"/>
              <w:left w:val="single" w:color="auto" w:sz="4" w:space="0"/>
              <w:bottom w:val="single" w:color="auto" w:sz="4" w:space="0"/>
              <w:right w:val="single" w:color="auto" w:sz="4" w:space="0"/>
            </w:tcBorders>
            <w:vAlign w:val="center"/>
          </w:tcPr>
          <w:p w14:paraId="6ED10D0D">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四通道专业功效</w:t>
            </w:r>
          </w:p>
          <w:p w14:paraId="64EE9119">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最大总输出功率：10000W</w:t>
            </w:r>
          </w:p>
          <w:p w14:paraId="2F416325">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最大功率每通道：150V峰值</w:t>
            </w:r>
          </w:p>
          <w:p w14:paraId="7A854DF7">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每通道最大电流：38峰值</w:t>
            </w:r>
          </w:p>
          <w:p w14:paraId="670D0087">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输出功率：16欧姆：(每通道)660W</w:t>
            </w:r>
          </w:p>
          <w:p w14:paraId="78DA285C">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8欧姆:（每通道）1300W</w:t>
            </w:r>
          </w:p>
          <w:p w14:paraId="644B5226">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4欧姆：（每通道）2100W</w:t>
            </w:r>
          </w:p>
          <w:p w14:paraId="389B580B">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16欧姆：桥接（每通道）2600W</w:t>
            </w:r>
          </w:p>
          <w:p w14:paraId="3A8D687A">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8欧姆：桥接（每通道）4200W</w:t>
            </w:r>
          </w:p>
          <w:p w14:paraId="299D7E87">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4欧姆：桥接（每通道）5000W</w:t>
            </w:r>
          </w:p>
        </w:tc>
      </w:tr>
      <w:tr w14:paraId="6530A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tcBorders>
              <w:top w:val="single" w:color="auto" w:sz="4" w:space="0"/>
              <w:left w:val="single" w:color="auto" w:sz="4" w:space="0"/>
              <w:bottom w:val="single" w:color="auto" w:sz="4" w:space="0"/>
              <w:right w:val="single" w:color="auto" w:sz="4" w:space="0"/>
            </w:tcBorders>
            <w:vAlign w:val="center"/>
          </w:tcPr>
          <w:p w14:paraId="45E57A4D">
            <w:pPr>
              <w:spacing w:line="460" w:lineRule="exact"/>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rPr>
              <w:t>功率放大器</w:t>
            </w:r>
            <w:r>
              <w:rPr>
                <w:rFonts w:hint="eastAsia" w:ascii="宋体" w:hAnsi="宋体" w:eastAsia="宋体" w:cs="宋体"/>
                <w:sz w:val="24"/>
                <w:szCs w:val="24"/>
                <w:lang w:val="en-US" w:eastAsia="zh-CN"/>
              </w:rPr>
              <w:t>②</w:t>
            </w:r>
          </w:p>
        </w:tc>
        <w:tc>
          <w:tcPr>
            <w:tcW w:w="1093" w:type="pct"/>
            <w:tcBorders>
              <w:top w:val="single" w:color="auto" w:sz="4" w:space="0"/>
              <w:left w:val="single" w:color="auto" w:sz="4" w:space="0"/>
              <w:bottom w:val="single" w:color="auto" w:sz="4" w:space="0"/>
              <w:right w:val="single" w:color="auto" w:sz="4" w:space="0"/>
            </w:tcBorders>
            <w:vAlign w:val="center"/>
          </w:tcPr>
          <w:p w14:paraId="0F91BC8F">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2套</w:t>
            </w:r>
          </w:p>
        </w:tc>
        <w:tc>
          <w:tcPr>
            <w:tcW w:w="3122" w:type="pct"/>
            <w:tcBorders>
              <w:top w:val="single" w:color="auto" w:sz="4" w:space="0"/>
              <w:left w:val="single" w:color="auto" w:sz="4" w:space="0"/>
              <w:bottom w:val="single" w:color="auto" w:sz="4" w:space="0"/>
              <w:right w:val="single" w:color="auto" w:sz="4" w:space="0"/>
            </w:tcBorders>
            <w:vAlign w:val="center"/>
          </w:tcPr>
          <w:p w14:paraId="64FB7298">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两声道输出</w:t>
            </w:r>
          </w:p>
          <w:p w14:paraId="3D547AE9">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 xml:space="preserve">总谐波失真20-2KHz </w:t>
            </w:r>
          </w:p>
          <w:p w14:paraId="6CFC24B8">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输入阻抗：≥20千欧/ ≥10千欧</w:t>
            </w:r>
          </w:p>
          <w:p w14:paraId="20198C26">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输入阻抗：8Ω</w:t>
            </w:r>
          </w:p>
          <w:p w14:paraId="0F225776">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阻尼系数：(10-400Hz/8欧)800:1</w:t>
            </w:r>
          </w:p>
          <w:p w14:paraId="3382128C">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输入灵敏度：0dB(0.77v功放)</w:t>
            </w:r>
          </w:p>
          <w:p w14:paraId="200E660B">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信</w:t>
            </w:r>
            <w:r>
              <w:rPr>
                <w:rFonts w:hint="eastAsia" w:ascii="宋体" w:hAnsi="宋体" w:eastAsia="宋体" w:cs="宋体"/>
                <w:sz w:val="24"/>
                <w:szCs w:val="24"/>
                <w:lang w:val="en-US" w:eastAsia="zh-CN"/>
              </w:rPr>
              <w:t>噪</w:t>
            </w:r>
            <w:r>
              <w:rPr>
                <w:rFonts w:hint="eastAsia" w:ascii="宋体" w:hAnsi="宋体" w:eastAsia="宋体" w:cs="宋体"/>
                <w:sz w:val="24"/>
                <w:szCs w:val="24"/>
              </w:rPr>
              <w:t>比： -115dB</w:t>
            </w:r>
          </w:p>
          <w:p w14:paraId="636D7E06">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分离度；≤-80dB</w:t>
            </w:r>
          </w:p>
          <w:p w14:paraId="7A8897B3">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输出功率(8欧)2*1400W</w:t>
            </w:r>
          </w:p>
        </w:tc>
      </w:tr>
      <w:tr w14:paraId="61CE3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tcBorders>
              <w:top w:val="single" w:color="auto" w:sz="4" w:space="0"/>
              <w:left w:val="single" w:color="auto" w:sz="4" w:space="0"/>
              <w:bottom w:val="single" w:color="auto" w:sz="4" w:space="0"/>
              <w:right w:val="single" w:color="auto" w:sz="4" w:space="0"/>
            </w:tcBorders>
            <w:vAlign w:val="center"/>
          </w:tcPr>
          <w:p w14:paraId="159C1626">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音频处理器</w:t>
            </w:r>
          </w:p>
        </w:tc>
        <w:tc>
          <w:tcPr>
            <w:tcW w:w="1093" w:type="pct"/>
            <w:tcBorders>
              <w:top w:val="single" w:color="auto" w:sz="4" w:space="0"/>
              <w:left w:val="single" w:color="auto" w:sz="4" w:space="0"/>
              <w:bottom w:val="single" w:color="auto" w:sz="4" w:space="0"/>
              <w:right w:val="single" w:color="auto" w:sz="4" w:space="0"/>
            </w:tcBorders>
            <w:vAlign w:val="center"/>
          </w:tcPr>
          <w:p w14:paraId="200A714B">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1套</w:t>
            </w:r>
          </w:p>
        </w:tc>
        <w:tc>
          <w:tcPr>
            <w:tcW w:w="3122" w:type="pct"/>
            <w:tcBorders>
              <w:top w:val="single" w:color="auto" w:sz="4" w:space="0"/>
              <w:left w:val="single" w:color="auto" w:sz="4" w:space="0"/>
              <w:bottom w:val="single" w:color="auto" w:sz="4" w:space="0"/>
              <w:right w:val="single" w:color="auto" w:sz="4" w:space="0"/>
            </w:tcBorders>
            <w:vAlign w:val="center"/>
          </w:tcPr>
          <w:p w14:paraId="4BA91AA5">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4进8出处理器</w:t>
            </w:r>
          </w:p>
          <w:p w14:paraId="317001F6">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输入4路平衡式</w:t>
            </w:r>
          </w:p>
          <w:p w14:paraId="310801ED">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8路输出数字音频处理器（USB接口，可编辑软件）</w:t>
            </w:r>
          </w:p>
          <w:p w14:paraId="1B3EA67C">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信号源阻抗 ≤ 60欧姆</w:t>
            </w:r>
          </w:p>
          <w:p w14:paraId="4D859E2A">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最小负载600欧姆</w:t>
            </w:r>
          </w:p>
          <w:p w14:paraId="1A11972A">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最大电平+20dBm(600欧负载)</w:t>
            </w:r>
          </w:p>
          <w:p w14:paraId="2FE0DAEF">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频率响应±0.5dB,20Hz-20kHz,</w:t>
            </w:r>
          </w:p>
          <w:p w14:paraId="603BD0E6">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动态范围≥110dB(20Hz-20kHz,不计权)</w:t>
            </w:r>
          </w:p>
          <w:p w14:paraId="71C9EBBB">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失真≤0.02% , @1 kHz , +18dBm</w:t>
            </w:r>
          </w:p>
          <w:p w14:paraId="4E0E2B16">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输出增益15dB至-40dB可调，调整步距为0.1dB</w:t>
            </w:r>
          </w:p>
          <w:p w14:paraId="1097C68F">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接口</w:t>
            </w:r>
          </w:p>
          <w:p w14:paraId="29A90E14">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输入3芯XLR母插座</w:t>
            </w:r>
          </w:p>
          <w:p w14:paraId="558DDC99">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输出3芯XLR公插座</w:t>
            </w:r>
          </w:p>
          <w:p w14:paraId="3E54B06D">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MIDI输入5芯DIN</w:t>
            </w:r>
          </w:p>
          <w:p w14:paraId="52010D14">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RS232接口9芯DTE搁座</w:t>
            </w:r>
          </w:p>
          <w:p w14:paraId="0D5F9D0C">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RS485接口3芯XLR母插座(输入),3芯XLR公插座(出)</w:t>
            </w:r>
          </w:p>
          <w:p w14:paraId="1FBE479E">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电源插口3芯IEC插座</w:t>
            </w:r>
          </w:p>
        </w:tc>
      </w:tr>
      <w:tr w14:paraId="464C5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784" w:type="pct"/>
            <w:tcBorders>
              <w:top w:val="single" w:color="auto" w:sz="4" w:space="0"/>
              <w:left w:val="single" w:color="auto" w:sz="4" w:space="0"/>
              <w:bottom w:val="single" w:color="auto" w:sz="4" w:space="0"/>
              <w:right w:val="single" w:color="auto" w:sz="4" w:space="0"/>
            </w:tcBorders>
            <w:vAlign w:val="center"/>
          </w:tcPr>
          <w:p w14:paraId="3EBAD36F">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线材及插接件</w:t>
            </w:r>
          </w:p>
        </w:tc>
        <w:tc>
          <w:tcPr>
            <w:tcW w:w="1093" w:type="pct"/>
            <w:tcBorders>
              <w:top w:val="single" w:color="auto" w:sz="4" w:space="0"/>
              <w:left w:val="single" w:color="auto" w:sz="4" w:space="0"/>
              <w:bottom w:val="single" w:color="auto" w:sz="4" w:space="0"/>
              <w:right w:val="single" w:color="auto" w:sz="4" w:space="0"/>
            </w:tcBorders>
            <w:vAlign w:val="center"/>
          </w:tcPr>
          <w:p w14:paraId="204E1D65">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2套</w:t>
            </w:r>
          </w:p>
        </w:tc>
        <w:tc>
          <w:tcPr>
            <w:tcW w:w="3122" w:type="pct"/>
            <w:tcBorders>
              <w:top w:val="single" w:color="auto" w:sz="4" w:space="0"/>
              <w:left w:val="single" w:color="auto" w:sz="4" w:space="0"/>
              <w:bottom w:val="single" w:color="auto" w:sz="4" w:space="0"/>
              <w:right w:val="single" w:color="auto" w:sz="4" w:space="0"/>
            </w:tcBorders>
            <w:vAlign w:val="center"/>
          </w:tcPr>
          <w:p w14:paraId="6FCA7DE3">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根据现场配置，确保演出顺利进行。</w:t>
            </w:r>
          </w:p>
        </w:tc>
      </w:tr>
      <w:tr w14:paraId="07A08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784" w:type="pct"/>
            <w:tcBorders>
              <w:top w:val="single" w:color="auto" w:sz="4" w:space="0"/>
              <w:left w:val="single" w:color="auto" w:sz="4" w:space="0"/>
              <w:bottom w:val="single" w:color="auto" w:sz="4" w:space="0"/>
              <w:right w:val="single" w:color="auto" w:sz="4" w:space="0"/>
            </w:tcBorders>
            <w:vAlign w:val="center"/>
          </w:tcPr>
          <w:p w14:paraId="78D69BCE">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电源箱、机柜</w:t>
            </w:r>
          </w:p>
        </w:tc>
        <w:tc>
          <w:tcPr>
            <w:tcW w:w="1093" w:type="pct"/>
            <w:tcBorders>
              <w:top w:val="single" w:color="auto" w:sz="4" w:space="0"/>
              <w:left w:val="single" w:color="auto" w:sz="4" w:space="0"/>
              <w:bottom w:val="single" w:color="auto" w:sz="4" w:space="0"/>
              <w:right w:val="single" w:color="auto" w:sz="4" w:space="0"/>
            </w:tcBorders>
            <w:vAlign w:val="center"/>
          </w:tcPr>
          <w:p w14:paraId="5C242293">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4套</w:t>
            </w:r>
          </w:p>
        </w:tc>
        <w:tc>
          <w:tcPr>
            <w:tcW w:w="3122" w:type="pct"/>
            <w:tcBorders>
              <w:top w:val="single" w:color="auto" w:sz="4" w:space="0"/>
              <w:left w:val="single" w:color="auto" w:sz="4" w:space="0"/>
              <w:bottom w:val="single" w:color="auto" w:sz="4" w:space="0"/>
              <w:right w:val="single" w:color="auto" w:sz="4" w:space="0"/>
            </w:tcBorders>
            <w:vAlign w:val="center"/>
          </w:tcPr>
          <w:p w14:paraId="714F3B3D">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音响专用电柜</w:t>
            </w:r>
          </w:p>
        </w:tc>
      </w:tr>
      <w:tr w14:paraId="69403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tcBorders>
              <w:top w:val="single" w:color="auto" w:sz="4" w:space="0"/>
              <w:left w:val="single" w:color="auto" w:sz="4" w:space="0"/>
              <w:bottom w:val="single" w:color="auto" w:sz="4" w:space="0"/>
              <w:right w:val="single" w:color="auto" w:sz="4" w:space="0"/>
            </w:tcBorders>
            <w:vAlign w:val="center"/>
          </w:tcPr>
          <w:p w14:paraId="3508D6B4">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数字调音台</w:t>
            </w:r>
          </w:p>
        </w:tc>
        <w:tc>
          <w:tcPr>
            <w:tcW w:w="1093" w:type="pct"/>
            <w:tcBorders>
              <w:top w:val="single" w:color="auto" w:sz="4" w:space="0"/>
              <w:left w:val="single" w:color="auto" w:sz="4" w:space="0"/>
              <w:bottom w:val="single" w:color="auto" w:sz="4" w:space="0"/>
              <w:right w:val="single" w:color="auto" w:sz="4" w:space="0"/>
            </w:tcBorders>
            <w:vAlign w:val="center"/>
          </w:tcPr>
          <w:p w14:paraId="2F21938E">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1套</w:t>
            </w:r>
          </w:p>
        </w:tc>
        <w:tc>
          <w:tcPr>
            <w:tcW w:w="3122" w:type="pct"/>
            <w:tcBorders>
              <w:top w:val="single" w:color="auto" w:sz="4" w:space="0"/>
              <w:left w:val="single" w:color="auto" w:sz="4" w:space="0"/>
              <w:bottom w:val="single" w:color="auto" w:sz="4" w:space="0"/>
              <w:right w:val="single" w:color="auto" w:sz="4" w:space="0"/>
            </w:tcBorders>
            <w:vAlign w:val="center"/>
          </w:tcPr>
          <w:p w14:paraId="36267219">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输入处理通道：32个话简输入通道，8个辅助输入通道，8个效果返回</w:t>
            </w:r>
          </w:p>
          <w:p w14:paraId="7BF3F5CE">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输出处现通道：16个AUX通道，6个矩阵，LCR母线</w:t>
            </w:r>
          </w:p>
          <w:p w14:paraId="5929E009">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内部效果器(立体声/单声道):8/16</w:t>
            </w:r>
          </w:p>
          <w:p w14:paraId="3684B161">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场景文件(场景快照/场景快照列表):500/100</w:t>
            </w:r>
          </w:p>
          <w:p w14:paraId="598AD5AF">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信号处理能力：40位的浮点处理</w:t>
            </w:r>
          </w:p>
          <w:p w14:paraId="3E348D11">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A/D转换器的动态范围：24-Bit,114dB(8通道，192kHz)</w:t>
            </w:r>
          </w:p>
          <w:p w14:paraId="01148DA3">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D/A转换器(立体声，192kHz):24-Bit,120dB动态范围</w:t>
            </w:r>
          </w:p>
          <w:p w14:paraId="7ABBC98F">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THD N（OdB增益，OdBu的输出):≤001%未加权</w:t>
            </w:r>
          </w:p>
          <w:p w14:paraId="11307806">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THD N(40dB增益，OdBu的20dBu的输出):≤0.03%未加权</w:t>
            </w:r>
          </w:p>
          <w:p w14:paraId="0B794870">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输入阻抗(不</w:t>
            </w:r>
            <w:r>
              <w:rPr>
                <w:rFonts w:hint="eastAsia" w:ascii="宋体" w:hAnsi="宋体" w:eastAsia="宋体" w:cs="宋体"/>
                <w:sz w:val="24"/>
                <w:szCs w:val="24"/>
                <w:lang w:val="en-US" w:eastAsia="zh-CN"/>
              </w:rPr>
              <w:t>平</w:t>
            </w:r>
            <w:r>
              <w:rPr>
                <w:rFonts w:hint="eastAsia" w:ascii="宋体" w:hAnsi="宋体" w:eastAsia="宋体" w:cs="宋体"/>
                <w:sz w:val="24"/>
                <w:szCs w:val="24"/>
              </w:rPr>
              <w:t>衡/平衡）:l0Ω/10KΩ</w:t>
            </w:r>
          </w:p>
          <w:p w14:paraId="46DCA463">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最大输入电平：23dBu</w:t>
            </w:r>
          </w:p>
          <w:p w14:paraId="199B508B">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幻象电源(每个输入通道):48V</w:t>
            </w:r>
          </w:p>
          <w:p w14:paraId="766DB185">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等效输入噪音@ 45dB增益(150Ω):- 125dBu 22Hz-22kHz未加权</w:t>
            </w:r>
          </w:p>
        </w:tc>
      </w:tr>
      <w:tr w14:paraId="742DF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84" w:type="pct"/>
            <w:tcBorders>
              <w:top w:val="single" w:color="auto" w:sz="4" w:space="0"/>
              <w:left w:val="single" w:color="auto" w:sz="4" w:space="0"/>
              <w:bottom w:val="single" w:color="auto" w:sz="4" w:space="0"/>
              <w:right w:val="single" w:color="auto" w:sz="4" w:space="0"/>
            </w:tcBorders>
            <w:vAlign w:val="center"/>
          </w:tcPr>
          <w:p w14:paraId="5EA5C12B">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音箱吊挂系统</w:t>
            </w:r>
          </w:p>
        </w:tc>
        <w:tc>
          <w:tcPr>
            <w:tcW w:w="1093" w:type="pct"/>
            <w:tcBorders>
              <w:top w:val="single" w:color="auto" w:sz="4" w:space="0"/>
              <w:left w:val="single" w:color="auto" w:sz="4" w:space="0"/>
              <w:bottom w:val="single" w:color="auto" w:sz="4" w:space="0"/>
              <w:right w:val="single" w:color="auto" w:sz="4" w:space="0"/>
            </w:tcBorders>
            <w:vAlign w:val="center"/>
          </w:tcPr>
          <w:p w14:paraId="17F0707B">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2套</w:t>
            </w:r>
          </w:p>
        </w:tc>
        <w:tc>
          <w:tcPr>
            <w:tcW w:w="3122" w:type="pct"/>
            <w:tcBorders>
              <w:top w:val="single" w:color="auto" w:sz="4" w:space="0"/>
              <w:left w:val="single" w:color="auto" w:sz="4" w:space="0"/>
              <w:bottom w:val="single" w:color="auto" w:sz="4" w:space="0"/>
              <w:right w:val="single" w:color="auto" w:sz="4" w:space="0"/>
            </w:tcBorders>
            <w:vAlign w:val="center"/>
          </w:tcPr>
          <w:p w14:paraId="7E17DAB3">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根据现场配置，确保演出顺利进行。</w:t>
            </w:r>
          </w:p>
        </w:tc>
      </w:tr>
      <w:tr w14:paraId="046DD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784" w:type="pct"/>
            <w:tcBorders>
              <w:top w:val="single" w:color="auto" w:sz="4" w:space="0"/>
              <w:left w:val="single" w:color="auto" w:sz="4" w:space="0"/>
              <w:bottom w:val="single" w:color="auto" w:sz="4" w:space="0"/>
              <w:right w:val="single" w:color="auto" w:sz="4" w:space="0"/>
            </w:tcBorders>
            <w:vAlign w:val="center"/>
          </w:tcPr>
          <w:p w14:paraId="21A2FB9A">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防护竹胶板</w:t>
            </w:r>
          </w:p>
        </w:tc>
        <w:tc>
          <w:tcPr>
            <w:tcW w:w="1093" w:type="pct"/>
            <w:tcBorders>
              <w:top w:val="single" w:color="auto" w:sz="4" w:space="0"/>
              <w:left w:val="single" w:color="auto" w:sz="4" w:space="0"/>
              <w:bottom w:val="single" w:color="auto" w:sz="4" w:space="0"/>
              <w:right w:val="single" w:color="auto" w:sz="4" w:space="0"/>
            </w:tcBorders>
            <w:vAlign w:val="center"/>
          </w:tcPr>
          <w:p w14:paraId="049B1598">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1宗</w:t>
            </w:r>
          </w:p>
        </w:tc>
        <w:tc>
          <w:tcPr>
            <w:tcW w:w="3122" w:type="pct"/>
            <w:tcBorders>
              <w:top w:val="single" w:color="auto" w:sz="4" w:space="0"/>
              <w:left w:val="single" w:color="auto" w:sz="4" w:space="0"/>
              <w:bottom w:val="single" w:color="auto" w:sz="4" w:space="0"/>
              <w:right w:val="single" w:color="auto" w:sz="4" w:space="0"/>
            </w:tcBorders>
            <w:vAlign w:val="center"/>
          </w:tcPr>
          <w:p w14:paraId="4C98291B">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≥1000㎡</w:t>
            </w:r>
          </w:p>
        </w:tc>
      </w:tr>
      <w:tr w14:paraId="0F844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tcBorders>
              <w:top w:val="single" w:color="auto" w:sz="4" w:space="0"/>
              <w:left w:val="single" w:color="auto" w:sz="4" w:space="0"/>
              <w:bottom w:val="single" w:color="auto" w:sz="4" w:space="0"/>
              <w:right w:val="single" w:color="auto" w:sz="4" w:space="0"/>
            </w:tcBorders>
            <w:vAlign w:val="center"/>
          </w:tcPr>
          <w:p w14:paraId="04BEC010">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切割灯</w:t>
            </w:r>
          </w:p>
        </w:tc>
        <w:tc>
          <w:tcPr>
            <w:tcW w:w="1093" w:type="pct"/>
            <w:tcBorders>
              <w:top w:val="single" w:color="auto" w:sz="4" w:space="0"/>
              <w:left w:val="single" w:color="auto" w:sz="4" w:space="0"/>
              <w:bottom w:val="single" w:color="auto" w:sz="4" w:space="0"/>
              <w:right w:val="single" w:color="auto" w:sz="4" w:space="0"/>
            </w:tcBorders>
            <w:vAlign w:val="center"/>
          </w:tcPr>
          <w:p w14:paraId="24DAEA60">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40个</w:t>
            </w:r>
          </w:p>
        </w:tc>
        <w:tc>
          <w:tcPr>
            <w:tcW w:w="3122" w:type="pct"/>
            <w:tcBorders>
              <w:top w:val="single" w:color="auto" w:sz="4" w:space="0"/>
              <w:left w:val="single" w:color="auto" w:sz="4" w:space="0"/>
              <w:bottom w:val="single" w:color="auto" w:sz="4" w:space="0"/>
              <w:right w:val="single" w:color="auto" w:sz="4" w:space="0"/>
            </w:tcBorders>
            <w:vAlign w:val="center"/>
          </w:tcPr>
          <w:p w14:paraId="7D5E2011">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电源：AC 100~240V 50/60Hz</w:t>
            </w:r>
          </w:p>
          <w:p w14:paraId="1F01190D">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输入功率：≥850W</w:t>
            </w:r>
          </w:p>
          <w:p w14:paraId="082AB85B">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光涵：类型：大功率680w LED光源、光源色温：6800K</w:t>
            </w:r>
          </w:p>
          <w:p w14:paraId="69EF2A1D">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色彩系统：1个带有8个颜色片的颜色轮、CMY无极混色、CTO色温校正(6800K-2800K)、高显指模式 面光模式 显色指数≥90</w:t>
            </w:r>
          </w:p>
          <w:p w14:paraId="12F7D3E5">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效果：2个图案盘，</w:t>
            </w:r>
            <w:r>
              <w:rPr>
                <w:rFonts w:hint="eastAsia" w:ascii="宋体" w:hAnsi="宋体" w:eastAsia="宋体" w:cs="宋体"/>
                <w:sz w:val="24"/>
                <w:szCs w:val="24"/>
                <w:lang w:val="en-US" w:eastAsia="zh-CN"/>
              </w:rPr>
              <w:t>支持</w:t>
            </w:r>
            <w:r>
              <w:rPr>
                <w:rFonts w:hint="eastAsia" w:ascii="宋体" w:hAnsi="宋体" w:eastAsia="宋体" w:cs="宋体"/>
                <w:sz w:val="24"/>
                <w:szCs w:val="24"/>
              </w:rPr>
              <w:t>双向旋转、图案流水和抖动效果、1个旋转8棱镜、1个独立柔光镜、4片式全切割系统，切割盘可90°旋转、电子频闪，0- 100%线性调光，调光效果特别的平滑、电子线性变排5°-45°</w:t>
            </w:r>
          </w:p>
          <w:p w14:paraId="422F0887">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 xml:space="preserve">控制与编程：39 通道 </w:t>
            </w:r>
          </w:p>
          <w:p w14:paraId="074DA4D8">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lang w:val="en-US" w:eastAsia="zh-CN"/>
              </w:rPr>
              <w:t>支持</w:t>
            </w:r>
            <w:r>
              <w:rPr>
                <w:rFonts w:hint="eastAsia" w:ascii="宋体" w:hAnsi="宋体" w:eastAsia="宋体" w:cs="宋体"/>
                <w:sz w:val="24"/>
                <w:szCs w:val="24"/>
              </w:rPr>
              <w:t xml:space="preserve">DMX 512 </w:t>
            </w:r>
          </w:p>
          <w:p w14:paraId="03F2AA84">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3芯输入和输出</w:t>
            </w:r>
          </w:p>
        </w:tc>
      </w:tr>
      <w:tr w14:paraId="397E7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tcBorders>
              <w:top w:val="single" w:color="auto" w:sz="4" w:space="0"/>
              <w:left w:val="single" w:color="auto" w:sz="4" w:space="0"/>
              <w:bottom w:val="single" w:color="auto" w:sz="4" w:space="0"/>
              <w:right w:val="single" w:color="auto" w:sz="4" w:space="0"/>
            </w:tcBorders>
            <w:vAlign w:val="center"/>
          </w:tcPr>
          <w:p w14:paraId="606BE8AA">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光束灯</w:t>
            </w:r>
          </w:p>
        </w:tc>
        <w:tc>
          <w:tcPr>
            <w:tcW w:w="1093" w:type="pct"/>
            <w:tcBorders>
              <w:top w:val="single" w:color="auto" w:sz="4" w:space="0"/>
              <w:left w:val="single" w:color="auto" w:sz="4" w:space="0"/>
              <w:bottom w:val="single" w:color="auto" w:sz="4" w:space="0"/>
              <w:right w:val="single" w:color="auto" w:sz="4" w:space="0"/>
            </w:tcBorders>
            <w:vAlign w:val="center"/>
          </w:tcPr>
          <w:p w14:paraId="26C9AA6F">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120个</w:t>
            </w:r>
          </w:p>
        </w:tc>
        <w:tc>
          <w:tcPr>
            <w:tcW w:w="3122" w:type="pct"/>
            <w:tcBorders>
              <w:top w:val="single" w:color="auto" w:sz="4" w:space="0"/>
              <w:left w:val="single" w:color="auto" w:sz="4" w:space="0"/>
              <w:bottom w:val="single" w:color="auto" w:sz="4" w:space="0"/>
              <w:right w:val="single" w:color="auto" w:sz="4" w:space="0"/>
            </w:tcBorders>
            <w:vAlign w:val="center"/>
          </w:tcPr>
          <w:p w14:paraId="009C935C">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色温：≥7200K</w:t>
            </w:r>
          </w:p>
          <w:p w14:paraId="11CDD5BD">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调焦：采用离精密玻璃镜头，电子线性高清调焦。</w:t>
            </w:r>
          </w:p>
          <w:p w14:paraId="208D78AC">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变焦：光束0°-2.5 °图案3 °-43 °染色4°-4 5 °</w:t>
            </w:r>
          </w:p>
          <w:p w14:paraId="6E5B28A0">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图案系统</w:t>
            </w:r>
          </w:p>
          <w:p w14:paraId="2B83DB02">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旋转图案 ：1个旋转图案盘有</w:t>
            </w:r>
            <w:r>
              <w:rPr>
                <w:rFonts w:hint="eastAsia" w:ascii="宋体" w:hAnsi="宋体" w:eastAsia="宋体" w:cs="宋体"/>
                <w:sz w:val="24"/>
                <w:szCs w:val="24"/>
                <w:lang w:val="en-US" w:eastAsia="zh-CN"/>
              </w:rPr>
              <w:t>≥</w:t>
            </w:r>
            <w:r>
              <w:rPr>
                <w:rFonts w:hint="eastAsia" w:ascii="宋体" w:hAnsi="宋体" w:eastAsia="宋体" w:cs="宋体"/>
                <w:sz w:val="24"/>
                <w:szCs w:val="24"/>
              </w:rPr>
              <w:t>8个可选图案片，可变速抖动及双向旋转 ，</w:t>
            </w:r>
          </w:p>
          <w:p w14:paraId="3A566510">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固定图案：1个固定图案盘有</w:t>
            </w:r>
            <w:r>
              <w:rPr>
                <w:rFonts w:hint="eastAsia" w:ascii="宋体" w:hAnsi="宋体" w:eastAsia="宋体" w:cs="宋体"/>
                <w:sz w:val="24"/>
                <w:szCs w:val="24"/>
                <w:lang w:val="en-US" w:eastAsia="zh-CN"/>
              </w:rPr>
              <w:t>≥</w:t>
            </w:r>
            <w:r>
              <w:rPr>
                <w:rFonts w:hint="eastAsia" w:ascii="宋体" w:hAnsi="宋体" w:eastAsia="宋体" w:cs="宋体"/>
                <w:sz w:val="24"/>
                <w:szCs w:val="24"/>
              </w:rPr>
              <w:t>6个固定图案片+动感效果盘，可变速抖动及双向旋转</w:t>
            </w:r>
          </w:p>
          <w:p w14:paraId="21200E7E">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颜色</w:t>
            </w:r>
            <w:r>
              <w:rPr>
                <w:rFonts w:hint="eastAsia" w:ascii="宋体" w:hAnsi="宋体" w:eastAsia="宋体" w:cs="宋体"/>
                <w:sz w:val="24"/>
                <w:szCs w:val="24"/>
                <w:lang w:val="en-US" w:eastAsia="zh-CN"/>
              </w:rPr>
              <w:t>系统</w:t>
            </w:r>
            <w:r>
              <w:rPr>
                <w:rFonts w:hint="eastAsia" w:ascii="宋体" w:hAnsi="宋体" w:eastAsia="宋体" w:cs="宋体"/>
                <w:sz w:val="24"/>
                <w:szCs w:val="24"/>
                <w:lang w:eastAsia="zh-CN"/>
              </w:rPr>
              <w:t>：</w:t>
            </w:r>
            <w:r>
              <w:rPr>
                <w:rFonts w:hint="eastAsia" w:ascii="宋体" w:hAnsi="宋体" w:eastAsia="宋体" w:cs="宋体"/>
                <w:sz w:val="24"/>
                <w:szCs w:val="24"/>
              </w:rPr>
              <w:t>1个颜色盘有</w:t>
            </w:r>
            <w:r>
              <w:rPr>
                <w:rFonts w:hint="eastAsia" w:ascii="宋体" w:hAnsi="宋体" w:eastAsia="宋体" w:cs="宋体"/>
                <w:sz w:val="24"/>
                <w:szCs w:val="24"/>
                <w:lang w:val="en-US" w:eastAsia="zh-CN"/>
              </w:rPr>
              <w:t>≥</w:t>
            </w:r>
            <w:r>
              <w:rPr>
                <w:rFonts w:hint="eastAsia" w:ascii="宋体" w:hAnsi="宋体" w:eastAsia="宋体" w:cs="宋体"/>
                <w:sz w:val="24"/>
                <w:szCs w:val="24"/>
              </w:rPr>
              <w:t>11种色片，具备半色及线性调节功能，可实现双向彩虹效果</w:t>
            </w:r>
          </w:p>
          <w:p w14:paraId="65D8C53F">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防护等级：IP≥65</w:t>
            </w:r>
          </w:p>
          <w:p w14:paraId="4813FB0C">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电气参数输入电压:AC200V-240V 50/60H z</w:t>
            </w:r>
          </w:p>
          <w:p w14:paraId="4192CA2F">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最大功率:600W</w:t>
            </w:r>
          </w:p>
          <w:p w14:paraId="37634A36">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电源接口：防水电源插座(输入输出)</w:t>
            </w:r>
          </w:p>
          <w:p w14:paraId="7722CAFC">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信号接口：防水信号插座（输入输出）</w:t>
            </w:r>
          </w:p>
          <w:p w14:paraId="0CD22FCB">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软件控制控制通道：19/16/22、传输协议： DMX512 RDM</w:t>
            </w:r>
          </w:p>
          <w:p w14:paraId="2FD13DD8">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效果水平/垂直: 水平扫描角度540°，垂直扫描角度270°，自动回位纠正及16Bit精度微调功能</w:t>
            </w:r>
          </w:p>
          <w:p w14:paraId="093E5D6A">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频闪：每秒1—20Hz快速频闪，具备脉冲频闪，同步异步频闪效果</w:t>
            </w:r>
          </w:p>
          <w:p w14:paraId="38926C19">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调光：0—100%机械线性调光</w:t>
            </w:r>
          </w:p>
          <w:p w14:paraId="6449C496">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棱镜：2个独立旋转棱镜盘，可产生多种棱镜组合效果</w:t>
            </w:r>
          </w:p>
          <w:p w14:paraId="7D078F99">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雾化：1个雾化片</w:t>
            </w:r>
          </w:p>
          <w:p w14:paraId="261CCA02">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效果盘：1个效果盘</w:t>
            </w:r>
          </w:p>
        </w:tc>
      </w:tr>
      <w:tr w14:paraId="39FB0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tcBorders>
              <w:top w:val="single" w:color="auto" w:sz="4" w:space="0"/>
              <w:left w:val="single" w:color="auto" w:sz="4" w:space="0"/>
              <w:bottom w:val="single" w:color="auto" w:sz="4" w:space="0"/>
              <w:right w:val="single" w:color="auto" w:sz="4" w:space="0"/>
            </w:tcBorders>
            <w:vAlign w:val="center"/>
          </w:tcPr>
          <w:p w14:paraId="43D190CD">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烟雾机</w:t>
            </w:r>
          </w:p>
        </w:tc>
        <w:tc>
          <w:tcPr>
            <w:tcW w:w="1093" w:type="pct"/>
            <w:tcBorders>
              <w:top w:val="single" w:color="auto" w:sz="4" w:space="0"/>
              <w:left w:val="single" w:color="auto" w:sz="4" w:space="0"/>
              <w:bottom w:val="single" w:color="auto" w:sz="4" w:space="0"/>
              <w:right w:val="single" w:color="auto" w:sz="4" w:space="0"/>
            </w:tcBorders>
            <w:vAlign w:val="center"/>
          </w:tcPr>
          <w:p w14:paraId="59ACD3C6">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6台</w:t>
            </w:r>
          </w:p>
        </w:tc>
        <w:tc>
          <w:tcPr>
            <w:tcW w:w="3122" w:type="pct"/>
            <w:tcBorders>
              <w:top w:val="single" w:color="auto" w:sz="4" w:space="0"/>
              <w:left w:val="single" w:color="auto" w:sz="4" w:space="0"/>
              <w:bottom w:val="single" w:color="auto" w:sz="4" w:space="0"/>
              <w:right w:val="single" w:color="auto" w:sz="4" w:space="0"/>
            </w:tcBorders>
            <w:vAlign w:val="center"/>
          </w:tcPr>
          <w:p w14:paraId="564541D3">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户外专业二氧化碳烟雾机</w:t>
            </w:r>
          </w:p>
        </w:tc>
      </w:tr>
      <w:tr w14:paraId="50A14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tcBorders>
              <w:top w:val="single" w:color="auto" w:sz="4" w:space="0"/>
              <w:left w:val="single" w:color="auto" w:sz="4" w:space="0"/>
              <w:bottom w:val="single" w:color="auto" w:sz="4" w:space="0"/>
              <w:right w:val="single" w:color="auto" w:sz="4" w:space="0"/>
            </w:tcBorders>
            <w:vAlign w:val="center"/>
          </w:tcPr>
          <w:p w14:paraId="6F775FD3">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NPU网络信号处理器</w:t>
            </w:r>
          </w:p>
        </w:tc>
        <w:tc>
          <w:tcPr>
            <w:tcW w:w="1093" w:type="pct"/>
            <w:tcBorders>
              <w:top w:val="single" w:color="auto" w:sz="4" w:space="0"/>
              <w:left w:val="single" w:color="auto" w:sz="4" w:space="0"/>
              <w:bottom w:val="single" w:color="auto" w:sz="4" w:space="0"/>
              <w:right w:val="single" w:color="auto" w:sz="4" w:space="0"/>
            </w:tcBorders>
            <w:vAlign w:val="center"/>
          </w:tcPr>
          <w:p w14:paraId="51A40C6D">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1套</w:t>
            </w:r>
          </w:p>
        </w:tc>
        <w:tc>
          <w:tcPr>
            <w:tcW w:w="3122" w:type="pct"/>
            <w:tcBorders>
              <w:top w:val="single" w:color="auto" w:sz="4" w:space="0"/>
              <w:left w:val="single" w:color="auto" w:sz="4" w:space="0"/>
              <w:bottom w:val="single" w:color="auto" w:sz="4" w:space="0"/>
              <w:right w:val="single" w:color="auto" w:sz="4" w:space="0"/>
            </w:tcBorders>
            <w:vAlign w:val="center"/>
          </w:tcPr>
          <w:p w14:paraId="1D7D854C">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8个DMX512输出口，可同时输出4,096控制参数</w:t>
            </w:r>
          </w:p>
          <w:p w14:paraId="736F63F6">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1个内置触摸式指令屏幕</w:t>
            </w:r>
            <w:r>
              <w:rPr>
                <w:rFonts w:hint="eastAsia" w:ascii="宋体" w:hAnsi="宋体" w:eastAsia="宋体" w:cs="宋体"/>
                <w:sz w:val="24"/>
                <w:szCs w:val="24"/>
                <w:lang w:val="en-US" w:eastAsia="zh-CN"/>
              </w:rPr>
              <w:t>≥7吋</w:t>
            </w:r>
          </w:p>
          <w:p w14:paraId="135ACCC8">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1个干兆以太网接口</w:t>
            </w:r>
          </w:p>
          <w:p w14:paraId="08B60125">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4个USB 2.0连接接口</w:t>
            </w:r>
          </w:p>
        </w:tc>
      </w:tr>
      <w:tr w14:paraId="0F1EB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84" w:type="pct"/>
            <w:tcBorders>
              <w:top w:val="single" w:color="auto" w:sz="4" w:space="0"/>
              <w:left w:val="single" w:color="auto" w:sz="4" w:space="0"/>
              <w:bottom w:val="single" w:color="auto" w:sz="4" w:space="0"/>
              <w:right w:val="single" w:color="auto" w:sz="4" w:space="0"/>
            </w:tcBorders>
            <w:vAlign w:val="center"/>
          </w:tcPr>
          <w:p w14:paraId="563769B8">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数字灯光控台</w:t>
            </w:r>
          </w:p>
        </w:tc>
        <w:tc>
          <w:tcPr>
            <w:tcW w:w="1093" w:type="pct"/>
            <w:tcBorders>
              <w:top w:val="single" w:color="auto" w:sz="4" w:space="0"/>
              <w:left w:val="single" w:color="auto" w:sz="4" w:space="0"/>
              <w:bottom w:val="single" w:color="auto" w:sz="4" w:space="0"/>
              <w:right w:val="single" w:color="auto" w:sz="4" w:space="0"/>
            </w:tcBorders>
            <w:vAlign w:val="center"/>
          </w:tcPr>
          <w:p w14:paraId="26DFA145">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2套</w:t>
            </w:r>
          </w:p>
        </w:tc>
        <w:tc>
          <w:tcPr>
            <w:tcW w:w="3122" w:type="pct"/>
            <w:tcBorders>
              <w:top w:val="single" w:color="auto" w:sz="4" w:space="0"/>
              <w:left w:val="single" w:color="auto" w:sz="4" w:space="0"/>
              <w:bottom w:val="single" w:color="auto" w:sz="4" w:space="0"/>
              <w:right w:val="single" w:color="auto" w:sz="4" w:space="0"/>
            </w:tcBorders>
            <w:vAlign w:val="center"/>
          </w:tcPr>
          <w:p w14:paraId="1FB32B89">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7个DMX输出，最高扩展可支持65536个通道参数</w:t>
            </w:r>
          </w:p>
          <w:p w14:paraId="3799F645">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内置3个15吋触摸屏+1个9吋触摸屏、可外接两个触摸显示器、30个高精度电动推杆(60mm)</w:t>
            </w:r>
          </w:p>
          <w:p w14:paraId="28898431">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2个AB场电动推杆(100mm)、1个主控电动推杆、7个耐磨编码器(带Push功能)、1个高灵敏轨迹球</w:t>
            </w:r>
          </w:p>
          <w:p w14:paraId="3EA11E72">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1个高精度调光轮、2个千兆以太网口、4个USB2.0口、可调式显示器翻盖</w:t>
            </w:r>
          </w:p>
          <w:p w14:paraId="4619E2AA">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MIDI输入输出接口、支持扩展推杆侧翼</w:t>
            </w:r>
          </w:p>
          <w:p w14:paraId="6A197922">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2个LED鹅颈灯插口、AC电源90-240 V， 50/60Hz.内置不间断UPS电源</w:t>
            </w:r>
          </w:p>
          <w:p w14:paraId="0238422B">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节目数据可保存在硬盘或U盘、支持多台联机备份、支持手持式远程控制</w:t>
            </w:r>
          </w:p>
          <w:p w14:paraId="05C22444">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支持舞台3D效果模纵，实时现场模拟、支持RDM管理</w:t>
            </w:r>
          </w:p>
          <w:p w14:paraId="162B8823">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支持多用户操作，</w:t>
            </w:r>
            <w:r>
              <w:rPr>
                <w:rFonts w:hint="eastAsia" w:ascii="宋体" w:hAnsi="宋体" w:eastAsia="宋体" w:cs="宋体"/>
                <w:sz w:val="24"/>
                <w:szCs w:val="24"/>
                <w:lang w:val="en-US" w:eastAsia="zh-CN"/>
              </w:rPr>
              <w:t>并</w:t>
            </w:r>
            <w:r>
              <w:rPr>
                <w:rFonts w:hint="eastAsia" w:ascii="宋体" w:hAnsi="宋体" w:eastAsia="宋体" w:cs="宋体"/>
                <w:sz w:val="24"/>
                <w:szCs w:val="24"/>
              </w:rPr>
              <w:t>可设置各用户权限</w:t>
            </w:r>
          </w:p>
          <w:p w14:paraId="227F77AC">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颜色，图案，光束，位置等各类型的素材</w:t>
            </w:r>
          </w:p>
        </w:tc>
      </w:tr>
      <w:tr w14:paraId="2B615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tcBorders>
              <w:top w:val="single" w:color="auto" w:sz="4" w:space="0"/>
              <w:left w:val="single" w:color="auto" w:sz="4" w:space="0"/>
              <w:bottom w:val="single" w:color="auto" w:sz="4" w:space="0"/>
              <w:right w:val="single" w:color="auto" w:sz="4" w:space="0"/>
            </w:tcBorders>
            <w:vAlign w:val="center"/>
          </w:tcPr>
          <w:p w14:paraId="2886EDBD">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信号放大器</w:t>
            </w:r>
          </w:p>
        </w:tc>
        <w:tc>
          <w:tcPr>
            <w:tcW w:w="1093" w:type="pct"/>
            <w:tcBorders>
              <w:top w:val="single" w:color="auto" w:sz="4" w:space="0"/>
              <w:left w:val="single" w:color="auto" w:sz="4" w:space="0"/>
              <w:bottom w:val="single" w:color="auto" w:sz="4" w:space="0"/>
              <w:right w:val="single" w:color="auto" w:sz="4" w:space="0"/>
            </w:tcBorders>
            <w:vAlign w:val="center"/>
          </w:tcPr>
          <w:p w14:paraId="5B5B358A">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1套</w:t>
            </w:r>
          </w:p>
        </w:tc>
        <w:tc>
          <w:tcPr>
            <w:tcW w:w="3122" w:type="pct"/>
            <w:tcBorders>
              <w:top w:val="single" w:color="auto" w:sz="4" w:space="0"/>
              <w:left w:val="single" w:color="auto" w:sz="4" w:space="0"/>
              <w:bottom w:val="single" w:color="auto" w:sz="4" w:space="0"/>
              <w:right w:val="single" w:color="auto" w:sz="4" w:space="0"/>
            </w:tcBorders>
            <w:vAlign w:val="center"/>
          </w:tcPr>
          <w:p w14:paraId="0CB783AB">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DMX512信号输入</w:t>
            </w:r>
          </w:p>
          <w:p w14:paraId="7742DBE8">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1路非隔离直通输入，1路非隔离直通输出</w:t>
            </w:r>
          </w:p>
          <w:p w14:paraId="5AFB5A9A">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8路光隔离信号分配输出</w:t>
            </w:r>
          </w:p>
          <w:p w14:paraId="77CFA194">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数字信号指示灯</w:t>
            </w:r>
          </w:p>
          <w:p w14:paraId="7376B096">
            <w:pPr>
              <w:spacing w:line="460" w:lineRule="exact"/>
              <w:jc w:val="center"/>
              <w:rPr>
                <w:rFonts w:hint="eastAsia" w:ascii="宋体" w:hAnsi="宋体" w:eastAsia="宋体" w:cs="宋体"/>
                <w:sz w:val="24"/>
                <w:szCs w:val="24"/>
              </w:rPr>
            </w:pPr>
            <w:r>
              <w:rPr>
                <w:rFonts w:hint="eastAsia" w:ascii="宋体" w:hAnsi="宋体" w:eastAsia="宋体" w:cs="宋体"/>
                <w:sz w:val="24"/>
                <w:szCs w:val="24"/>
              </w:rPr>
              <w:t>DMX信号分配输出连接器</w:t>
            </w:r>
          </w:p>
        </w:tc>
      </w:tr>
      <w:tr w14:paraId="6F571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tcBorders>
              <w:top w:val="single" w:color="auto" w:sz="4" w:space="0"/>
              <w:left w:val="single" w:color="auto" w:sz="4" w:space="0"/>
              <w:bottom w:val="single" w:color="auto" w:sz="4" w:space="0"/>
              <w:right w:val="single" w:color="auto" w:sz="4" w:space="0"/>
            </w:tcBorders>
            <w:vAlign w:val="center"/>
          </w:tcPr>
          <w:p w14:paraId="4FE8A735">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LED PAR灯</w:t>
            </w:r>
          </w:p>
        </w:tc>
        <w:tc>
          <w:tcPr>
            <w:tcW w:w="1093" w:type="pct"/>
            <w:tcBorders>
              <w:top w:val="single" w:color="auto" w:sz="4" w:space="0"/>
              <w:left w:val="single" w:color="auto" w:sz="4" w:space="0"/>
              <w:bottom w:val="single" w:color="auto" w:sz="4" w:space="0"/>
              <w:right w:val="single" w:color="auto" w:sz="4" w:space="0"/>
            </w:tcBorders>
            <w:vAlign w:val="center"/>
          </w:tcPr>
          <w:p w14:paraId="2B63854E">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150个</w:t>
            </w:r>
          </w:p>
        </w:tc>
        <w:tc>
          <w:tcPr>
            <w:tcW w:w="3122" w:type="pct"/>
            <w:tcBorders>
              <w:top w:val="single" w:color="auto" w:sz="4" w:space="0"/>
              <w:left w:val="single" w:color="auto" w:sz="4" w:space="0"/>
              <w:bottom w:val="single" w:color="auto" w:sz="4" w:space="0"/>
              <w:right w:val="single" w:color="auto" w:sz="4" w:space="0"/>
            </w:tcBorders>
            <w:vAlign w:val="center"/>
          </w:tcPr>
          <w:p w14:paraId="23FDCE24">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电源电压：AC100~240V,50/60Hz</w:t>
            </w:r>
          </w:p>
          <w:p w14:paraId="5AD9F585">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额定功率：约140W</w:t>
            </w:r>
          </w:p>
          <w:p w14:paraId="61962832">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出光角度：20-45°可选，</w:t>
            </w:r>
          </w:p>
          <w:p w14:paraId="5890F761">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lang w:val="en-US" w:eastAsia="zh-CN"/>
              </w:rPr>
              <w:t>颜</w:t>
            </w:r>
            <w:r>
              <w:rPr>
                <w:rFonts w:hint="eastAsia" w:ascii="宋体" w:hAnsi="宋体" w:eastAsia="宋体" w:cs="宋体"/>
                <w:sz w:val="24"/>
                <w:szCs w:val="24"/>
              </w:rPr>
              <w:t>色系统：红，绿，蓝，白四合一</w:t>
            </w:r>
          </w:p>
          <w:p w14:paraId="4C6F2FAF">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效果配置：0— 100%独立线性调光，0— 100%独立饱和度调节</w:t>
            </w:r>
          </w:p>
          <w:p w14:paraId="6085388B">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3200K-10000K色温线性调节，独立高速频闪.</w:t>
            </w:r>
          </w:p>
          <w:p w14:paraId="71D722E1">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颜色宏与颜色渐变效果</w:t>
            </w:r>
          </w:p>
          <w:p w14:paraId="656211A4">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控制面板：数码显示屏+四按键</w:t>
            </w:r>
          </w:p>
          <w:p w14:paraId="7E4B9CD0">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控制</w:t>
            </w:r>
            <w:r>
              <w:rPr>
                <w:rFonts w:hint="eastAsia" w:ascii="宋体" w:hAnsi="宋体" w:eastAsia="宋体" w:cs="宋体"/>
                <w:sz w:val="24"/>
                <w:szCs w:val="24"/>
                <w:lang w:val="en-US" w:eastAsia="zh-CN"/>
              </w:rPr>
              <w:t>通</w:t>
            </w:r>
            <w:r>
              <w:rPr>
                <w:rFonts w:hint="eastAsia" w:ascii="宋体" w:hAnsi="宋体" w:eastAsia="宋体" w:cs="宋体"/>
                <w:sz w:val="24"/>
                <w:szCs w:val="24"/>
              </w:rPr>
              <w:t>道：4CH/8CH两种通道控制模式。</w:t>
            </w:r>
          </w:p>
          <w:p w14:paraId="35CBC868">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协议：标准DMX512协议主从控制模式，</w:t>
            </w:r>
          </w:p>
          <w:p w14:paraId="65D40689">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菜单显示：LED显示</w:t>
            </w:r>
          </w:p>
          <w:p w14:paraId="62B62CA4">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电控技术：菜单或控台控制灯具复位，0-100%调光、恒功率控制，温度传感检则</w:t>
            </w:r>
          </w:p>
          <w:p w14:paraId="01DB7B7B">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智能调整光源功率，DMX通道电平监视，DMX信号提示</w:t>
            </w:r>
          </w:p>
          <w:p w14:paraId="5C1CC060">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各颜色起始亮度设置，过流，过压，过热保护。</w:t>
            </w:r>
          </w:p>
          <w:p w14:paraId="560D0089">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防护等级：≥IP55</w:t>
            </w:r>
          </w:p>
          <w:p w14:paraId="179CA448">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控制模式：DMX512控制/手动模式</w:t>
            </w:r>
          </w:p>
        </w:tc>
      </w:tr>
      <w:tr w14:paraId="11C88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84" w:type="pct"/>
            <w:tcBorders>
              <w:top w:val="single" w:color="auto" w:sz="4" w:space="0"/>
              <w:left w:val="single" w:color="auto" w:sz="4" w:space="0"/>
              <w:bottom w:val="single" w:color="auto" w:sz="4" w:space="0"/>
              <w:right w:val="single" w:color="auto" w:sz="4" w:space="0"/>
            </w:tcBorders>
            <w:vAlign w:val="center"/>
          </w:tcPr>
          <w:p w14:paraId="7B8B572A">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证件</w:t>
            </w:r>
          </w:p>
        </w:tc>
        <w:tc>
          <w:tcPr>
            <w:tcW w:w="1093" w:type="pct"/>
            <w:tcBorders>
              <w:top w:val="single" w:color="auto" w:sz="4" w:space="0"/>
              <w:left w:val="single" w:color="auto" w:sz="4" w:space="0"/>
              <w:bottom w:val="single" w:color="auto" w:sz="4" w:space="0"/>
              <w:right w:val="single" w:color="auto" w:sz="4" w:space="0"/>
            </w:tcBorders>
            <w:vAlign w:val="center"/>
          </w:tcPr>
          <w:p w14:paraId="2B9BE902">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1宗</w:t>
            </w:r>
          </w:p>
        </w:tc>
        <w:tc>
          <w:tcPr>
            <w:tcW w:w="3122" w:type="pct"/>
            <w:tcBorders>
              <w:top w:val="single" w:color="auto" w:sz="4" w:space="0"/>
              <w:left w:val="single" w:color="auto" w:sz="4" w:space="0"/>
              <w:bottom w:val="single" w:color="auto" w:sz="4" w:space="0"/>
              <w:right w:val="single" w:color="auto" w:sz="4" w:space="0"/>
            </w:tcBorders>
            <w:vAlign w:val="center"/>
          </w:tcPr>
          <w:p w14:paraId="1746CA38">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嘉宾证≥20个、工作证≥200个</w:t>
            </w:r>
          </w:p>
        </w:tc>
      </w:tr>
      <w:tr w14:paraId="7DC23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784" w:type="pct"/>
            <w:tcBorders>
              <w:top w:val="single" w:color="auto" w:sz="4" w:space="0"/>
              <w:left w:val="single" w:color="auto" w:sz="4" w:space="0"/>
              <w:bottom w:val="single" w:color="auto" w:sz="4" w:space="0"/>
              <w:right w:val="single" w:color="auto" w:sz="4" w:space="0"/>
            </w:tcBorders>
            <w:vAlign w:val="center"/>
          </w:tcPr>
          <w:p w14:paraId="55EFFCB0">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背景板、展板等</w:t>
            </w:r>
          </w:p>
        </w:tc>
        <w:tc>
          <w:tcPr>
            <w:tcW w:w="1093" w:type="pct"/>
            <w:tcBorders>
              <w:top w:val="single" w:color="auto" w:sz="4" w:space="0"/>
              <w:left w:val="single" w:color="auto" w:sz="4" w:space="0"/>
              <w:bottom w:val="single" w:color="auto" w:sz="4" w:space="0"/>
              <w:right w:val="single" w:color="auto" w:sz="4" w:space="0"/>
            </w:tcBorders>
            <w:vAlign w:val="center"/>
          </w:tcPr>
          <w:p w14:paraId="72BDD9C8">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1宗</w:t>
            </w:r>
          </w:p>
        </w:tc>
        <w:tc>
          <w:tcPr>
            <w:tcW w:w="3122" w:type="pct"/>
            <w:tcBorders>
              <w:top w:val="single" w:color="auto" w:sz="4" w:space="0"/>
              <w:left w:val="single" w:color="auto" w:sz="4" w:space="0"/>
              <w:bottom w:val="single" w:color="auto" w:sz="4" w:space="0"/>
              <w:right w:val="single" w:color="auto" w:sz="4" w:space="0"/>
            </w:tcBorders>
            <w:vAlign w:val="center"/>
          </w:tcPr>
          <w:p w14:paraId="7858B26F">
            <w:pPr>
              <w:spacing w:line="460" w:lineRule="exact"/>
              <w:ind w:firstLine="0"/>
              <w:jc w:val="center"/>
              <w:rPr>
                <w:rFonts w:hint="eastAsia" w:ascii="宋体" w:hAnsi="宋体" w:eastAsia="宋体" w:cs="宋体"/>
                <w:sz w:val="24"/>
                <w:szCs w:val="24"/>
              </w:rPr>
            </w:pPr>
            <w:r>
              <w:rPr>
                <w:rFonts w:hint="eastAsia" w:ascii="宋体" w:hAnsi="宋体" w:eastAsia="宋体" w:cs="宋体"/>
                <w:sz w:val="24"/>
                <w:szCs w:val="24"/>
              </w:rPr>
              <w:t>根据现场实际要求制作，画面、文字设计需体现山东大学文化特色。</w:t>
            </w:r>
          </w:p>
        </w:tc>
      </w:tr>
    </w:tbl>
    <w:p w14:paraId="776C929A">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p>
    <w:p w14:paraId="21C8E6FC">
      <w:pP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br w:type="page"/>
      </w:r>
    </w:p>
    <w:p w14:paraId="3A077E3C">
      <w:pPr>
        <w:snapToGrid w:val="0"/>
        <w:spacing w:line="360" w:lineRule="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山东大学采购商务条款响应一览表</w:t>
      </w:r>
    </w:p>
    <w:tbl>
      <w:tblPr>
        <w:tblStyle w:val="12"/>
        <w:tblW w:w="506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911"/>
        <w:gridCol w:w="1486"/>
        <w:gridCol w:w="6227"/>
      </w:tblGrid>
      <w:tr w14:paraId="1512D6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528" w:type="pct"/>
            <w:tcBorders>
              <w:top w:val="single" w:color="auto" w:sz="4" w:space="0"/>
              <w:bottom w:val="single" w:color="auto" w:sz="4" w:space="0"/>
              <w:right w:val="single" w:color="auto" w:sz="4" w:space="0"/>
            </w:tcBorders>
            <w:noWrap w:val="0"/>
            <w:vAlign w:val="center"/>
          </w:tcPr>
          <w:p w14:paraId="536338C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rPr>
            </w:pPr>
            <w:r>
              <w:rPr>
                <w:rFonts w:hint="eastAsia" w:ascii="宋体" w:hAnsi="宋体" w:eastAsia="宋体" w:cs="宋体"/>
                <w:color w:val="000000" w:themeColor="text1"/>
                <w:kern w:val="2"/>
                <w:sz w:val="32"/>
                <w:highlight w:val="none"/>
                <w14:textFill>
                  <w14:solidFill>
                    <w14:schemeClr w14:val="tx1"/>
                  </w14:solidFill>
                </w14:textFill>
              </w:rPr>
              <w:br w:type="page"/>
            </w:r>
            <w:r>
              <w:rPr>
                <w:rFonts w:hint="eastAsia" w:ascii="宋体" w:hAnsi="宋体" w:eastAsia="宋体" w:cs="宋体"/>
                <w:b/>
                <w:bCs/>
                <w:sz w:val="24"/>
                <w:szCs w:val="24"/>
              </w:rPr>
              <w:t>序号</w:t>
            </w:r>
          </w:p>
        </w:tc>
        <w:tc>
          <w:tcPr>
            <w:tcW w:w="861" w:type="pct"/>
            <w:tcBorders>
              <w:top w:val="single" w:color="auto" w:sz="4" w:space="0"/>
              <w:left w:val="single" w:color="auto" w:sz="4" w:space="0"/>
              <w:bottom w:val="single" w:color="auto" w:sz="4" w:space="0"/>
              <w:right w:val="single" w:color="auto" w:sz="4" w:space="0"/>
            </w:tcBorders>
            <w:noWrap w:val="0"/>
            <w:vAlign w:val="center"/>
          </w:tcPr>
          <w:p w14:paraId="3546FB2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名称</w:t>
            </w:r>
          </w:p>
        </w:tc>
        <w:tc>
          <w:tcPr>
            <w:tcW w:w="3609" w:type="pct"/>
            <w:tcBorders>
              <w:top w:val="single" w:color="auto" w:sz="4" w:space="0"/>
              <w:left w:val="single" w:color="auto" w:sz="4" w:space="0"/>
              <w:bottom w:val="single" w:color="auto" w:sz="4" w:space="0"/>
            </w:tcBorders>
            <w:noWrap w:val="0"/>
            <w:vAlign w:val="center"/>
          </w:tcPr>
          <w:p w14:paraId="3C8E686B">
            <w:pPr>
              <w:keepNext w:val="0"/>
              <w:keepLines w:val="0"/>
              <w:pageBreakBefore w:val="0"/>
              <w:widowControl w:val="0"/>
              <w:kinsoku/>
              <w:wordWrap/>
              <w:overflowPunct/>
              <w:topLinePunct w:val="0"/>
              <w:autoSpaceDE/>
              <w:autoSpaceDN/>
              <w:bidi w:val="0"/>
              <w:adjustRightInd/>
              <w:snapToGrid/>
              <w:spacing w:line="360" w:lineRule="auto"/>
              <w:ind w:firstLine="482"/>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采购人要求</w:t>
            </w:r>
          </w:p>
        </w:tc>
      </w:tr>
      <w:tr w14:paraId="068014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3" w:hRule="atLeast"/>
        </w:trPr>
        <w:tc>
          <w:tcPr>
            <w:tcW w:w="528" w:type="pct"/>
            <w:tcBorders>
              <w:top w:val="single" w:color="auto" w:sz="4" w:space="0"/>
              <w:bottom w:val="single" w:color="auto" w:sz="4" w:space="0"/>
              <w:right w:val="single" w:color="auto" w:sz="4" w:space="0"/>
            </w:tcBorders>
            <w:noWrap w:val="0"/>
            <w:vAlign w:val="center"/>
          </w:tcPr>
          <w:p w14:paraId="0EB5EC4F">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bCs/>
                <w:sz w:val="24"/>
                <w:szCs w:val="24"/>
              </w:rPr>
            </w:pPr>
            <w:r>
              <w:rPr>
                <w:rFonts w:hint="eastAsia" w:ascii="宋体" w:hAnsi="宋体" w:eastAsia="宋体" w:cs="宋体"/>
                <w:bCs/>
                <w:sz w:val="24"/>
                <w:szCs w:val="24"/>
              </w:rPr>
              <w:t>1</w:t>
            </w:r>
          </w:p>
        </w:tc>
        <w:tc>
          <w:tcPr>
            <w:tcW w:w="1619" w:type="dxa"/>
            <w:tcBorders>
              <w:top w:val="single" w:color="auto" w:sz="4" w:space="0"/>
              <w:left w:val="single" w:color="auto" w:sz="4" w:space="0"/>
              <w:bottom w:val="single" w:color="auto" w:sz="4" w:space="0"/>
              <w:right w:val="single" w:color="auto" w:sz="4" w:space="0"/>
            </w:tcBorders>
            <w:noWrap w:val="0"/>
            <w:vAlign w:val="center"/>
          </w:tcPr>
          <w:p w14:paraId="46727814">
            <w:pPr>
              <w:keepNext w:val="0"/>
              <w:keepLines w:val="0"/>
              <w:pageBreakBefore w:val="0"/>
              <w:tabs>
                <w:tab w:val="left" w:pos="420"/>
              </w:tabs>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成交价</w:t>
            </w:r>
          </w:p>
        </w:tc>
        <w:tc>
          <w:tcPr>
            <w:tcW w:w="6785" w:type="dxa"/>
            <w:tcBorders>
              <w:top w:val="single" w:color="auto" w:sz="4" w:space="0"/>
              <w:left w:val="single" w:color="auto" w:sz="4" w:space="0"/>
              <w:bottom w:val="single" w:color="auto" w:sz="4" w:space="0"/>
            </w:tcBorders>
            <w:noWrap w:val="0"/>
            <w:vAlign w:val="center"/>
          </w:tcPr>
          <w:p w14:paraId="43C3657E">
            <w:pPr>
              <w:keepNext w:val="0"/>
              <w:keepLines w:val="0"/>
              <w:pageBreakBefore w:val="0"/>
              <w:tabs>
                <w:tab w:val="left" w:pos="420"/>
              </w:tabs>
              <w:kinsoku/>
              <w:wordWrap/>
              <w:overflowPunct/>
              <w:topLinePunct w:val="0"/>
              <w:autoSpaceDE/>
              <w:autoSpaceDN/>
              <w:bidi w:val="0"/>
              <w:adjustRightInd/>
              <w:snapToGrid w:val="0"/>
              <w:spacing w:line="360" w:lineRule="auto"/>
              <w:ind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人民币</w:t>
            </w:r>
          </w:p>
        </w:tc>
      </w:tr>
      <w:tr w14:paraId="7BB054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3" w:hRule="atLeast"/>
        </w:trPr>
        <w:tc>
          <w:tcPr>
            <w:tcW w:w="528" w:type="pct"/>
            <w:tcBorders>
              <w:top w:val="single" w:color="auto" w:sz="4" w:space="0"/>
              <w:bottom w:val="single" w:color="auto" w:sz="4" w:space="0"/>
              <w:right w:val="single" w:color="auto" w:sz="4" w:space="0"/>
            </w:tcBorders>
            <w:noWrap w:val="0"/>
            <w:vAlign w:val="center"/>
          </w:tcPr>
          <w:p w14:paraId="77C0671B">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bCs/>
                <w:sz w:val="24"/>
                <w:szCs w:val="24"/>
              </w:rPr>
            </w:pPr>
            <w:r>
              <w:rPr>
                <w:rFonts w:hint="eastAsia" w:ascii="宋体" w:hAnsi="宋体" w:eastAsia="宋体" w:cs="宋体"/>
                <w:bCs/>
                <w:sz w:val="24"/>
                <w:szCs w:val="24"/>
              </w:rPr>
              <w:t>2</w:t>
            </w:r>
          </w:p>
        </w:tc>
        <w:tc>
          <w:tcPr>
            <w:tcW w:w="1619" w:type="dxa"/>
            <w:tcBorders>
              <w:top w:val="single" w:color="auto" w:sz="4" w:space="0"/>
              <w:left w:val="single" w:color="auto" w:sz="4" w:space="0"/>
              <w:bottom w:val="single" w:color="auto" w:sz="4" w:space="0"/>
              <w:right w:val="single" w:color="auto" w:sz="4" w:space="0"/>
            </w:tcBorders>
            <w:noWrap w:val="0"/>
            <w:vAlign w:val="center"/>
          </w:tcPr>
          <w:p w14:paraId="6F28B19B">
            <w:pPr>
              <w:keepNext w:val="0"/>
              <w:keepLines w:val="0"/>
              <w:pageBreakBefore w:val="0"/>
              <w:tabs>
                <w:tab w:val="left" w:pos="420"/>
              </w:tabs>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付款方式</w:t>
            </w:r>
          </w:p>
        </w:tc>
        <w:tc>
          <w:tcPr>
            <w:tcW w:w="6785" w:type="dxa"/>
            <w:tcBorders>
              <w:top w:val="single" w:color="auto" w:sz="4" w:space="0"/>
              <w:left w:val="single" w:color="auto" w:sz="4" w:space="0"/>
              <w:bottom w:val="single" w:color="auto" w:sz="4" w:space="0"/>
            </w:tcBorders>
            <w:noWrap w:val="0"/>
            <w:vAlign w:val="center"/>
          </w:tcPr>
          <w:p w14:paraId="3BD37C9F">
            <w:pPr>
              <w:keepNext w:val="0"/>
              <w:keepLines w:val="0"/>
              <w:pageBreakBefore w:val="0"/>
              <w:tabs>
                <w:tab w:val="left" w:pos="420"/>
              </w:tabs>
              <w:kinsoku/>
              <w:wordWrap/>
              <w:overflowPunct/>
              <w:topLinePunct w:val="0"/>
              <w:autoSpaceDE/>
              <w:autoSpaceDN/>
              <w:bidi w:val="0"/>
              <w:adjustRightInd/>
              <w:snapToGrid w:val="0"/>
              <w:spacing w:line="360" w:lineRule="auto"/>
              <w:ind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成立评价小组，活动结束后，由评价小组对活动效果进行验收，合格后付全款。</w:t>
            </w:r>
          </w:p>
        </w:tc>
      </w:tr>
      <w:tr w14:paraId="5B49DA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3" w:hRule="atLeast"/>
        </w:trPr>
        <w:tc>
          <w:tcPr>
            <w:tcW w:w="528" w:type="pct"/>
            <w:tcBorders>
              <w:top w:val="single" w:color="auto" w:sz="4" w:space="0"/>
              <w:bottom w:val="single" w:color="auto" w:sz="4" w:space="0"/>
              <w:right w:val="single" w:color="auto" w:sz="4" w:space="0"/>
            </w:tcBorders>
            <w:noWrap w:val="0"/>
            <w:vAlign w:val="center"/>
          </w:tcPr>
          <w:p w14:paraId="0255CE57">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3</w:t>
            </w:r>
          </w:p>
        </w:tc>
        <w:tc>
          <w:tcPr>
            <w:tcW w:w="1619" w:type="dxa"/>
            <w:tcBorders>
              <w:top w:val="single" w:color="auto" w:sz="4" w:space="0"/>
              <w:left w:val="single" w:color="auto" w:sz="4" w:space="0"/>
              <w:bottom w:val="single" w:color="auto" w:sz="4" w:space="0"/>
              <w:right w:val="single" w:color="auto" w:sz="4" w:space="0"/>
            </w:tcBorders>
            <w:noWrap w:val="0"/>
            <w:vAlign w:val="center"/>
          </w:tcPr>
          <w:p w14:paraId="39DB354A">
            <w:pPr>
              <w:keepNext w:val="0"/>
              <w:keepLines w:val="0"/>
              <w:pageBreakBefore w:val="0"/>
              <w:tabs>
                <w:tab w:val="left" w:pos="420"/>
              </w:tabs>
              <w:kinsoku/>
              <w:wordWrap/>
              <w:overflowPunct/>
              <w:topLinePunct w:val="0"/>
              <w:autoSpaceDE/>
              <w:autoSpaceDN/>
              <w:bidi w:val="0"/>
              <w:adjustRightInd/>
              <w:snapToGrid w:val="0"/>
              <w:spacing w:line="360" w:lineRule="auto"/>
              <w:ind w:firstLine="0" w:firstLineChars="0"/>
              <w:jc w:val="center"/>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服务期限</w:t>
            </w:r>
          </w:p>
        </w:tc>
        <w:tc>
          <w:tcPr>
            <w:tcW w:w="6785" w:type="dxa"/>
            <w:tcBorders>
              <w:top w:val="single" w:color="auto" w:sz="4" w:space="0"/>
              <w:left w:val="single" w:color="auto" w:sz="4" w:space="0"/>
              <w:bottom w:val="single" w:color="auto" w:sz="4" w:space="0"/>
            </w:tcBorders>
            <w:noWrap w:val="0"/>
            <w:vAlign w:val="center"/>
          </w:tcPr>
          <w:p w14:paraId="30830A6E">
            <w:pPr>
              <w:keepNext w:val="0"/>
              <w:keepLines w:val="0"/>
              <w:pageBreakBefore w:val="0"/>
              <w:tabs>
                <w:tab w:val="left" w:pos="420"/>
              </w:tabs>
              <w:kinsoku/>
              <w:wordWrap/>
              <w:overflowPunct/>
              <w:topLinePunct w:val="0"/>
              <w:autoSpaceDE/>
              <w:autoSpaceDN/>
              <w:bidi w:val="0"/>
              <w:adjustRightInd/>
              <w:snapToGrid w:val="0"/>
              <w:spacing w:line="360" w:lineRule="auto"/>
              <w:ind w:firstLine="0" w:firstLineChars="0"/>
              <w:jc w:val="left"/>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合同签订之日起至项目验收合格。</w:t>
            </w:r>
          </w:p>
        </w:tc>
      </w:tr>
      <w:tr w14:paraId="62B2D9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33" w:hRule="atLeast"/>
        </w:trPr>
        <w:tc>
          <w:tcPr>
            <w:tcW w:w="528" w:type="pct"/>
            <w:tcBorders>
              <w:top w:val="single" w:color="auto" w:sz="4" w:space="0"/>
              <w:bottom w:val="single" w:color="auto" w:sz="4" w:space="0"/>
              <w:right w:val="single" w:color="auto" w:sz="4" w:space="0"/>
            </w:tcBorders>
            <w:noWrap w:val="0"/>
            <w:vAlign w:val="center"/>
          </w:tcPr>
          <w:p w14:paraId="6E058E8A">
            <w:pPr>
              <w:keepNext w:val="0"/>
              <w:keepLines w:val="0"/>
              <w:pageBreakBefore w:val="0"/>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4</w:t>
            </w:r>
          </w:p>
        </w:tc>
        <w:tc>
          <w:tcPr>
            <w:tcW w:w="1619" w:type="dxa"/>
            <w:tcBorders>
              <w:top w:val="single" w:color="auto" w:sz="4" w:space="0"/>
              <w:left w:val="single" w:color="auto" w:sz="4" w:space="0"/>
              <w:bottom w:val="single" w:color="auto" w:sz="4" w:space="0"/>
              <w:right w:val="single" w:color="auto" w:sz="4" w:space="0"/>
            </w:tcBorders>
            <w:noWrap w:val="0"/>
            <w:vAlign w:val="center"/>
          </w:tcPr>
          <w:p w14:paraId="3568ED64">
            <w:pPr>
              <w:keepNext w:val="0"/>
              <w:keepLines w:val="0"/>
              <w:pageBreakBefore w:val="0"/>
              <w:tabs>
                <w:tab w:val="left" w:pos="420"/>
              </w:tabs>
              <w:kinsoku/>
              <w:wordWrap/>
              <w:overflowPunct/>
              <w:topLinePunct w:val="0"/>
              <w:autoSpaceDE/>
              <w:autoSpaceDN/>
              <w:bidi w:val="0"/>
              <w:adjustRightInd/>
              <w:snapToGrid w:val="0"/>
              <w:spacing w:line="360" w:lineRule="auto"/>
              <w:ind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其他</w:t>
            </w:r>
          </w:p>
        </w:tc>
        <w:tc>
          <w:tcPr>
            <w:tcW w:w="6785" w:type="dxa"/>
            <w:tcBorders>
              <w:top w:val="single" w:color="auto" w:sz="4" w:space="0"/>
              <w:left w:val="single" w:color="auto" w:sz="4" w:space="0"/>
              <w:bottom w:val="single" w:color="auto" w:sz="4" w:space="0"/>
            </w:tcBorders>
            <w:noWrap w:val="0"/>
            <w:vAlign w:val="center"/>
          </w:tcPr>
          <w:p w14:paraId="196D5198">
            <w:pPr>
              <w:keepNext w:val="0"/>
              <w:keepLines w:val="0"/>
              <w:pageBreakBefore w:val="0"/>
              <w:tabs>
                <w:tab w:val="left" w:pos="420"/>
              </w:tabs>
              <w:kinsoku/>
              <w:wordWrap/>
              <w:overflowPunct/>
              <w:topLinePunct w:val="0"/>
              <w:autoSpaceDE/>
              <w:autoSpaceDN/>
              <w:bidi w:val="0"/>
              <w:adjustRightInd/>
              <w:snapToGrid w:val="0"/>
              <w:spacing w:line="360" w:lineRule="auto"/>
              <w:ind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知识产权</w:t>
            </w:r>
          </w:p>
          <w:p w14:paraId="6AC4B0F0">
            <w:pPr>
              <w:keepNext w:val="0"/>
              <w:keepLines w:val="0"/>
              <w:pageBreakBefore w:val="0"/>
              <w:tabs>
                <w:tab w:val="left" w:pos="420"/>
              </w:tabs>
              <w:kinsoku/>
              <w:wordWrap/>
              <w:overflowPunct/>
              <w:topLinePunct w:val="0"/>
              <w:autoSpaceDE/>
              <w:autoSpaceDN/>
              <w:bidi w:val="0"/>
              <w:adjustRightInd/>
              <w:snapToGrid w:val="0"/>
              <w:spacing w:line="360" w:lineRule="auto"/>
              <w:ind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中标单位</w:t>
            </w:r>
            <w:r>
              <w:rPr>
                <w:rFonts w:hint="eastAsia" w:ascii="宋体" w:hAnsi="宋体" w:eastAsia="宋体" w:cs="宋体"/>
                <w:color w:val="000000"/>
                <w:sz w:val="24"/>
                <w:szCs w:val="24"/>
              </w:rPr>
              <w:t>须保证</w:t>
            </w:r>
            <w:r>
              <w:rPr>
                <w:rFonts w:hint="eastAsia" w:ascii="宋体" w:hAnsi="宋体" w:eastAsia="宋体" w:cs="宋体"/>
                <w:color w:val="000000"/>
                <w:sz w:val="24"/>
                <w:szCs w:val="24"/>
                <w:lang w:val="en-US" w:eastAsia="zh-CN"/>
              </w:rPr>
              <w:t>采购人</w:t>
            </w:r>
            <w:r>
              <w:rPr>
                <w:rFonts w:hint="eastAsia" w:ascii="宋体" w:hAnsi="宋体" w:eastAsia="宋体" w:cs="宋体"/>
                <w:color w:val="000000"/>
                <w:sz w:val="24"/>
                <w:szCs w:val="24"/>
              </w:rPr>
              <w:t>在使用其服务及其任何部分不受到第三方关于侵犯知识产权的指控。如果任何第三方提出侵权指控，中标</w:t>
            </w:r>
            <w:r>
              <w:rPr>
                <w:rFonts w:hint="eastAsia" w:ascii="宋体" w:hAnsi="宋体" w:eastAsia="宋体" w:cs="宋体"/>
                <w:color w:val="000000"/>
                <w:sz w:val="24"/>
                <w:szCs w:val="24"/>
                <w:lang w:val="en-US" w:eastAsia="zh-CN"/>
              </w:rPr>
              <w:t>单位</w:t>
            </w:r>
            <w:r>
              <w:rPr>
                <w:rFonts w:hint="eastAsia" w:ascii="宋体" w:hAnsi="宋体" w:eastAsia="宋体" w:cs="宋体"/>
                <w:color w:val="000000"/>
                <w:sz w:val="24"/>
                <w:szCs w:val="24"/>
              </w:rPr>
              <w:t>必须与第三方交涉并承担由此引起的一切法律责任和费用。</w:t>
            </w:r>
          </w:p>
          <w:p w14:paraId="08BD65EB">
            <w:pPr>
              <w:keepNext w:val="0"/>
              <w:keepLines w:val="0"/>
              <w:pageBreakBefore w:val="0"/>
              <w:tabs>
                <w:tab w:val="left" w:pos="420"/>
              </w:tabs>
              <w:kinsoku/>
              <w:wordWrap/>
              <w:overflowPunct/>
              <w:topLinePunct w:val="0"/>
              <w:autoSpaceDE/>
              <w:autoSpaceDN/>
              <w:bidi w:val="0"/>
              <w:adjustRightInd/>
              <w:snapToGrid w:val="0"/>
              <w:spacing w:line="360" w:lineRule="auto"/>
              <w:ind w:firstLine="0"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（2）专利权和保密要求，</w:t>
            </w:r>
            <w:r>
              <w:rPr>
                <w:rFonts w:hint="eastAsia" w:ascii="宋体" w:hAnsi="宋体" w:eastAsia="宋体" w:cs="宋体"/>
                <w:color w:val="000000"/>
                <w:sz w:val="24"/>
                <w:szCs w:val="24"/>
                <w:lang w:val="en-US" w:eastAsia="zh-CN"/>
              </w:rPr>
              <w:t>中标单位</w:t>
            </w:r>
            <w:r>
              <w:rPr>
                <w:rFonts w:hint="eastAsia" w:ascii="宋体" w:hAnsi="宋体" w:eastAsia="宋体" w:cs="宋体"/>
                <w:color w:val="000000"/>
                <w:sz w:val="24"/>
                <w:szCs w:val="24"/>
              </w:rPr>
              <w:t>应保证</w:t>
            </w:r>
            <w:r>
              <w:rPr>
                <w:rFonts w:hint="eastAsia" w:ascii="宋体" w:hAnsi="宋体" w:eastAsia="宋体" w:cs="宋体"/>
                <w:color w:val="000000"/>
                <w:sz w:val="24"/>
                <w:szCs w:val="24"/>
                <w:lang w:val="en-US" w:eastAsia="zh-CN"/>
              </w:rPr>
              <w:t>采购人</w:t>
            </w:r>
            <w:r>
              <w:rPr>
                <w:rFonts w:hint="eastAsia" w:ascii="宋体" w:hAnsi="宋体" w:eastAsia="宋体" w:cs="宋体"/>
                <w:color w:val="000000"/>
                <w:sz w:val="24"/>
                <w:szCs w:val="24"/>
              </w:rPr>
              <w:t>在使用该服务或其任何一部分时，不受第三方侵权指控。同时，</w:t>
            </w:r>
            <w:r>
              <w:rPr>
                <w:rFonts w:hint="eastAsia" w:ascii="宋体" w:hAnsi="宋体" w:eastAsia="宋体" w:cs="宋体"/>
                <w:color w:val="000000"/>
                <w:sz w:val="24"/>
                <w:szCs w:val="24"/>
                <w:lang w:val="en-US" w:eastAsia="zh-CN"/>
              </w:rPr>
              <w:t>中标单位</w:t>
            </w:r>
            <w:r>
              <w:rPr>
                <w:rFonts w:hint="eastAsia" w:ascii="宋体" w:hAnsi="宋体" w:eastAsia="宋体" w:cs="宋体"/>
                <w:color w:val="000000"/>
                <w:sz w:val="24"/>
                <w:szCs w:val="24"/>
              </w:rPr>
              <w:t>不得向第三方泄露</w:t>
            </w:r>
            <w:r>
              <w:rPr>
                <w:rFonts w:hint="eastAsia" w:ascii="宋体" w:hAnsi="宋体" w:eastAsia="宋体" w:cs="宋体"/>
                <w:color w:val="000000"/>
                <w:sz w:val="24"/>
                <w:szCs w:val="24"/>
                <w:lang w:val="en-US" w:eastAsia="zh-CN"/>
              </w:rPr>
              <w:t>采购人</w:t>
            </w:r>
            <w:r>
              <w:rPr>
                <w:rFonts w:hint="eastAsia" w:ascii="宋体" w:hAnsi="宋体" w:eastAsia="宋体" w:cs="宋体"/>
                <w:color w:val="000000"/>
                <w:sz w:val="24"/>
                <w:szCs w:val="24"/>
              </w:rPr>
              <w:t>提供的技术文件等资料。</w:t>
            </w:r>
          </w:p>
        </w:tc>
      </w:tr>
    </w:tbl>
    <w:p w14:paraId="05184D81">
      <w:pPr>
        <w:rPr>
          <w:rFonts w:hint="eastAsia" w:ascii="宋体" w:hAnsi="宋体" w:eastAsia="宋体" w:cs="宋体"/>
          <w:color w:val="000000" w:themeColor="text1"/>
          <w:kern w:val="2"/>
          <w:sz w:val="32"/>
          <w:highlight w:val="none"/>
          <w14:textFill>
            <w14:solidFill>
              <w14:schemeClr w14:val="tx1"/>
            </w14:solidFill>
          </w14:textFill>
        </w:rPr>
      </w:pP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3"/>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E24DB0"/>
    <w:rsid w:val="00014877"/>
    <w:rsid w:val="00107F51"/>
    <w:rsid w:val="00187FB5"/>
    <w:rsid w:val="01722086"/>
    <w:rsid w:val="01864C69"/>
    <w:rsid w:val="0208692A"/>
    <w:rsid w:val="02105937"/>
    <w:rsid w:val="027779FF"/>
    <w:rsid w:val="029A4ABB"/>
    <w:rsid w:val="031459D0"/>
    <w:rsid w:val="037A7FC6"/>
    <w:rsid w:val="042968D4"/>
    <w:rsid w:val="04EB264D"/>
    <w:rsid w:val="04FA2C4D"/>
    <w:rsid w:val="05094BC0"/>
    <w:rsid w:val="055869F3"/>
    <w:rsid w:val="05A20CE2"/>
    <w:rsid w:val="060B4770"/>
    <w:rsid w:val="0618640F"/>
    <w:rsid w:val="065057E0"/>
    <w:rsid w:val="082068BB"/>
    <w:rsid w:val="082B31B8"/>
    <w:rsid w:val="08B16E7B"/>
    <w:rsid w:val="09076941"/>
    <w:rsid w:val="0913450E"/>
    <w:rsid w:val="097255CA"/>
    <w:rsid w:val="097E761F"/>
    <w:rsid w:val="09C16841"/>
    <w:rsid w:val="09D142C1"/>
    <w:rsid w:val="0A840C61"/>
    <w:rsid w:val="0AE359BC"/>
    <w:rsid w:val="0B1D5A27"/>
    <w:rsid w:val="0B32516C"/>
    <w:rsid w:val="0B58407D"/>
    <w:rsid w:val="0B7618F2"/>
    <w:rsid w:val="0BC37096"/>
    <w:rsid w:val="0C97522D"/>
    <w:rsid w:val="0CC765B1"/>
    <w:rsid w:val="0CC77D60"/>
    <w:rsid w:val="0D9A4CD8"/>
    <w:rsid w:val="0D9F1B48"/>
    <w:rsid w:val="0DD904E7"/>
    <w:rsid w:val="0E4002F1"/>
    <w:rsid w:val="0E8F7900"/>
    <w:rsid w:val="0E987BC3"/>
    <w:rsid w:val="0EFB58EA"/>
    <w:rsid w:val="0F59158D"/>
    <w:rsid w:val="0FDC426E"/>
    <w:rsid w:val="103E5D2F"/>
    <w:rsid w:val="104F387A"/>
    <w:rsid w:val="108F3CD9"/>
    <w:rsid w:val="10D64D5C"/>
    <w:rsid w:val="10DD0EA7"/>
    <w:rsid w:val="1125479F"/>
    <w:rsid w:val="1171089E"/>
    <w:rsid w:val="11932F02"/>
    <w:rsid w:val="11A77306"/>
    <w:rsid w:val="123918DC"/>
    <w:rsid w:val="125211DF"/>
    <w:rsid w:val="127B7650"/>
    <w:rsid w:val="12E67807"/>
    <w:rsid w:val="1352048D"/>
    <w:rsid w:val="138E6A50"/>
    <w:rsid w:val="13C539D9"/>
    <w:rsid w:val="143C2C1C"/>
    <w:rsid w:val="149F5C2A"/>
    <w:rsid w:val="14B616EB"/>
    <w:rsid w:val="14BB54CD"/>
    <w:rsid w:val="14E4280C"/>
    <w:rsid w:val="14F9711F"/>
    <w:rsid w:val="150A7FF0"/>
    <w:rsid w:val="15211F63"/>
    <w:rsid w:val="15303D84"/>
    <w:rsid w:val="15352419"/>
    <w:rsid w:val="155722FF"/>
    <w:rsid w:val="159272D9"/>
    <w:rsid w:val="15A5483F"/>
    <w:rsid w:val="1692405F"/>
    <w:rsid w:val="16A13BDE"/>
    <w:rsid w:val="1708075F"/>
    <w:rsid w:val="183A1EC4"/>
    <w:rsid w:val="18D168C7"/>
    <w:rsid w:val="18FE6C33"/>
    <w:rsid w:val="190633A8"/>
    <w:rsid w:val="19AB6511"/>
    <w:rsid w:val="19BF2F21"/>
    <w:rsid w:val="19C67379"/>
    <w:rsid w:val="1A40342D"/>
    <w:rsid w:val="1A5067D4"/>
    <w:rsid w:val="1AEA6958"/>
    <w:rsid w:val="1AF45D59"/>
    <w:rsid w:val="1B002A8F"/>
    <w:rsid w:val="1B1B672A"/>
    <w:rsid w:val="1B2503B3"/>
    <w:rsid w:val="1B2C4819"/>
    <w:rsid w:val="1B81457B"/>
    <w:rsid w:val="1B966F1A"/>
    <w:rsid w:val="1BBB297E"/>
    <w:rsid w:val="1BD36D90"/>
    <w:rsid w:val="1CCE6C9E"/>
    <w:rsid w:val="1CD277DE"/>
    <w:rsid w:val="1CE07EA7"/>
    <w:rsid w:val="1D0213A9"/>
    <w:rsid w:val="1D540AFD"/>
    <w:rsid w:val="1D803678"/>
    <w:rsid w:val="1D947315"/>
    <w:rsid w:val="1DD65B22"/>
    <w:rsid w:val="1E0B5B62"/>
    <w:rsid w:val="1E1420D6"/>
    <w:rsid w:val="1E943953"/>
    <w:rsid w:val="1F2F46E8"/>
    <w:rsid w:val="1F663FC7"/>
    <w:rsid w:val="1FF63823"/>
    <w:rsid w:val="201E60AC"/>
    <w:rsid w:val="20322611"/>
    <w:rsid w:val="20652E7D"/>
    <w:rsid w:val="20907B80"/>
    <w:rsid w:val="20954636"/>
    <w:rsid w:val="209E7711"/>
    <w:rsid w:val="20D16233"/>
    <w:rsid w:val="20D96B23"/>
    <w:rsid w:val="211A4B0C"/>
    <w:rsid w:val="21587019"/>
    <w:rsid w:val="22047FDC"/>
    <w:rsid w:val="220E39AD"/>
    <w:rsid w:val="227F5DDF"/>
    <w:rsid w:val="229040EB"/>
    <w:rsid w:val="22D63784"/>
    <w:rsid w:val="22E00101"/>
    <w:rsid w:val="2358693D"/>
    <w:rsid w:val="235A7D5E"/>
    <w:rsid w:val="236A5EB2"/>
    <w:rsid w:val="257806A4"/>
    <w:rsid w:val="25B55E88"/>
    <w:rsid w:val="26860AF8"/>
    <w:rsid w:val="26F946EF"/>
    <w:rsid w:val="27454323"/>
    <w:rsid w:val="276724B2"/>
    <w:rsid w:val="27AE17AE"/>
    <w:rsid w:val="27B065D9"/>
    <w:rsid w:val="27EC3203"/>
    <w:rsid w:val="28497CE9"/>
    <w:rsid w:val="287E5D51"/>
    <w:rsid w:val="28853958"/>
    <w:rsid w:val="2899220D"/>
    <w:rsid w:val="28F36F96"/>
    <w:rsid w:val="29083185"/>
    <w:rsid w:val="291218A3"/>
    <w:rsid w:val="292F2F3C"/>
    <w:rsid w:val="293B132E"/>
    <w:rsid w:val="29B660AF"/>
    <w:rsid w:val="29EF48F6"/>
    <w:rsid w:val="2A5B35EC"/>
    <w:rsid w:val="2AB6061E"/>
    <w:rsid w:val="2B0C566F"/>
    <w:rsid w:val="2B1A015B"/>
    <w:rsid w:val="2B261739"/>
    <w:rsid w:val="2B673557"/>
    <w:rsid w:val="2B7427ED"/>
    <w:rsid w:val="2BCF662B"/>
    <w:rsid w:val="2C0D6332"/>
    <w:rsid w:val="2CBA36ED"/>
    <w:rsid w:val="2CDB0A3F"/>
    <w:rsid w:val="2D2D582E"/>
    <w:rsid w:val="2E3547B2"/>
    <w:rsid w:val="2E3B5A0D"/>
    <w:rsid w:val="2E6424E2"/>
    <w:rsid w:val="2E783031"/>
    <w:rsid w:val="2EB9037F"/>
    <w:rsid w:val="2EEB4B42"/>
    <w:rsid w:val="2F0927B5"/>
    <w:rsid w:val="2F09696A"/>
    <w:rsid w:val="2F6623A2"/>
    <w:rsid w:val="2F9C7562"/>
    <w:rsid w:val="2FBC1453"/>
    <w:rsid w:val="3018551A"/>
    <w:rsid w:val="302741E5"/>
    <w:rsid w:val="30FA1725"/>
    <w:rsid w:val="314C1540"/>
    <w:rsid w:val="31C763A2"/>
    <w:rsid w:val="32AD063B"/>
    <w:rsid w:val="32CF7C6A"/>
    <w:rsid w:val="32D7003E"/>
    <w:rsid w:val="32DC1712"/>
    <w:rsid w:val="32DE6B39"/>
    <w:rsid w:val="333B167A"/>
    <w:rsid w:val="33576006"/>
    <w:rsid w:val="33CE2588"/>
    <w:rsid w:val="34032B6D"/>
    <w:rsid w:val="341F3636"/>
    <w:rsid w:val="342B05CE"/>
    <w:rsid w:val="34334935"/>
    <w:rsid w:val="34336B72"/>
    <w:rsid w:val="3478118C"/>
    <w:rsid w:val="34917046"/>
    <w:rsid w:val="34A55CAF"/>
    <w:rsid w:val="34DA04A1"/>
    <w:rsid w:val="356D49D0"/>
    <w:rsid w:val="36C45BF0"/>
    <w:rsid w:val="36E32A61"/>
    <w:rsid w:val="374304CC"/>
    <w:rsid w:val="37563922"/>
    <w:rsid w:val="375C419C"/>
    <w:rsid w:val="3776067E"/>
    <w:rsid w:val="379B7260"/>
    <w:rsid w:val="3803313D"/>
    <w:rsid w:val="38081F51"/>
    <w:rsid w:val="38A31458"/>
    <w:rsid w:val="38C75919"/>
    <w:rsid w:val="393E30D3"/>
    <w:rsid w:val="396C36C6"/>
    <w:rsid w:val="398F3FBF"/>
    <w:rsid w:val="39E37447"/>
    <w:rsid w:val="39E77711"/>
    <w:rsid w:val="3A5A3DCE"/>
    <w:rsid w:val="3A5C44DE"/>
    <w:rsid w:val="3A9A3CF3"/>
    <w:rsid w:val="3AA76B24"/>
    <w:rsid w:val="3B3173C8"/>
    <w:rsid w:val="3B691A1F"/>
    <w:rsid w:val="3BDC084C"/>
    <w:rsid w:val="3BFE02EE"/>
    <w:rsid w:val="3C1A2779"/>
    <w:rsid w:val="3C314A4D"/>
    <w:rsid w:val="3C3275E3"/>
    <w:rsid w:val="3C432158"/>
    <w:rsid w:val="3CDF3860"/>
    <w:rsid w:val="3CEA6867"/>
    <w:rsid w:val="3CF44DFB"/>
    <w:rsid w:val="3D224BDE"/>
    <w:rsid w:val="3D230748"/>
    <w:rsid w:val="3D3775C9"/>
    <w:rsid w:val="3D385A7A"/>
    <w:rsid w:val="3D3A5A3A"/>
    <w:rsid w:val="3D590F09"/>
    <w:rsid w:val="3D5973AB"/>
    <w:rsid w:val="3D71102F"/>
    <w:rsid w:val="3DCA347D"/>
    <w:rsid w:val="3DDF1802"/>
    <w:rsid w:val="3DFB1B0E"/>
    <w:rsid w:val="3E08609E"/>
    <w:rsid w:val="3E100775"/>
    <w:rsid w:val="3F591BA3"/>
    <w:rsid w:val="403326B5"/>
    <w:rsid w:val="40415F5B"/>
    <w:rsid w:val="40B0119D"/>
    <w:rsid w:val="414D52BF"/>
    <w:rsid w:val="418A0727"/>
    <w:rsid w:val="41DF1DC6"/>
    <w:rsid w:val="421074D3"/>
    <w:rsid w:val="422920EC"/>
    <w:rsid w:val="428928DD"/>
    <w:rsid w:val="43456004"/>
    <w:rsid w:val="438D51D7"/>
    <w:rsid w:val="43CD58CE"/>
    <w:rsid w:val="43D53DA6"/>
    <w:rsid w:val="43E202FE"/>
    <w:rsid w:val="43F01942"/>
    <w:rsid w:val="4462579A"/>
    <w:rsid w:val="44892B36"/>
    <w:rsid w:val="44EC4088"/>
    <w:rsid w:val="45067575"/>
    <w:rsid w:val="4576226F"/>
    <w:rsid w:val="458147A7"/>
    <w:rsid w:val="46843C9F"/>
    <w:rsid w:val="46846882"/>
    <w:rsid w:val="46866723"/>
    <w:rsid w:val="46C5455B"/>
    <w:rsid w:val="47194598"/>
    <w:rsid w:val="4739637A"/>
    <w:rsid w:val="477D2D67"/>
    <w:rsid w:val="48053CEE"/>
    <w:rsid w:val="4826047B"/>
    <w:rsid w:val="488512C3"/>
    <w:rsid w:val="489A7754"/>
    <w:rsid w:val="48AC5E86"/>
    <w:rsid w:val="48C30E74"/>
    <w:rsid w:val="490B1097"/>
    <w:rsid w:val="49133B00"/>
    <w:rsid w:val="49BA55F7"/>
    <w:rsid w:val="49F41C02"/>
    <w:rsid w:val="4A383AAE"/>
    <w:rsid w:val="4A842FC4"/>
    <w:rsid w:val="4AB60F23"/>
    <w:rsid w:val="4ADA723F"/>
    <w:rsid w:val="4B652E50"/>
    <w:rsid w:val="4BB74681"/>
    <w:rsid w:val="4BCB1E65"/>
    <w:rsid w:val="4C0673B0"/>
    <w:rsid w:val="4C4541C4"/>
    <w:rsid w:val="4C890E00"/>
    <w:rsid w:val="4CFF544D"/>
    <w:rsid w:val="4D664F0D"/>
    <w:rsid w:val="4D737BC0"/>
    <w:rsid w:val="4D90732F"/>
    <w:rsid w:val="4DB911F5"/>
    <w:rsid w:val="4E39006D"/>
    <w:rsid w:val="4E3F4042"/>
    <w:rsid w:val="4E4A5E9C"/>
    <w:rsid w:val="4E5E0C59"/>
    <w:rsid w:val="4F5758BF"/>
    <w:rsid w:val="4FED4EA3"/>
    <w:rsid w:val="50414FAD"/>
    <w:rsid w:val="508225E4"/>
    <w:rsid w:val="50A27F35"/>
    <w:rsid w:val="51103835"/>
    <w:rsid w:val="511145F1"/>
    <w:rsid w:val="51265427"/>
    <w:rsid w:val="512C2130"/>
    <w:rsid w:val="51586D6F"/>
    <w:rsid w:val="51C74D12"/>
    <w:rsid w:val="51C76515"/>
    <w:rsid w:val="51E2012B"/>
    <w:rsid w:val="52217DE8"/>
    <w:rsid w:val="52234144"/>
    <w:rsid w:val="528065BE"/>
    <w:rsid w:val="52A85446"/>
    <w:rsid w:val="52BC6652"/>
    <w:rsid w:val="5332144D"/>
    <w:rsid w:val="53817A93"/>
    <w:rsid w:val="53D517BB"/>
    <w:rsid w:val="53E34E8E"/>
    <w:rsid w:val="54381BD1"/>
    <w:rsid w:val="552A401D"/>
    <w:rsid w:val="553E5FA5"/>
    <w:rsid w:val="55885BB5"/>
    <w:rsid w:val="55CD5943"/>
    <w:rsid w:val="5655292B"/>
    <w:rsid w:val="5659437D"/>
    <w:rsid w:val="566770A4"/>
    <w:rsid w:val="56B83067"/>
    <w:rsid w:val="56F16299"/>
    <w:rsid w:val="572C398B"/>
    <w:rsid w:val="57DF2C91"/>
    <w:rsid w:val="580B5A68"/>
    <w:rsid w:val="58371843"/>
    <w:rsid w:val="585E5382"/>
    <w:rsid w:val="58623C63"/>
    <w:rsid w:val="58A50202"/>
    <w:rsid w:val="595A7F7E"/>
    <w:rsid w:val="59740071"/>
    <w:rsid w:val="59756698"/>
    <w:rsid w:val="59C33373"/>
    <w:rsid w:val="59C86CA9"/>
    <w:rsid w:val="59D43EF5"/>
    <w:rsid w:val="59D547EA"/>
    <w:rsid w:val="5A421A14"/>
    <w:rsid w:val="5A8D0756"/>
    <w:rsid w:val="5A8D3AFE"/>
    <w:rsid w:val="5B0F1B30"/>
    <w:rsid w:val="5B2E6B4B"/>
    <w:rsid w:val="5B5D4931"/>
    <w:rsid w:val="5BBE5C5A"/>
    <w:rsid w:val="5BC14016"/>
    <w:rsid w:val="5BEB236A"/>
    <w:rsid w:val="5C3A0A04"/>
    <w:rsid w:val="5CCA5E91"/>
    <w:rsid w:val="5D845BA8"/>
    <w:rsid w:val="5D8D3E71"/>
    <w:rsid w:val="5DA07FF7"/>
    <w:rsid w:val="5E01304D"/>
    <w:rsid w:val="5EE27322"/>
    <w:rsid w:val="5EE947C8"/>
    <w:rsid w:val="5F093A0F"/>
    <w:rsid w:val="5F10128B"/>
    <w:rsid w:val="5F6371E0"/>
    <w:rsid w:val="5F6F4B8F"/>
    <w:rsid w:val="5F916C75"/>
    <w:rsid w:val="60021EA4"/>
    <w:rsid w:val="600736BC"/>
    <w:rsid w:val="600A4B09"/>
    <w:rsid w:val="605F1D0B"/>
    <w:rsid w:val="6064444F"/>
    <w:rsid w:val="611353F0"/>
    <w:rsid w:val="61985A2E"/>
    <w:rsid w:val="61D94A0C"/>
    <w:rsid w:val="62CD3DF2"/>
    <w:rsid w:val="62E96664"/>
    <w:rsid w:val="63041BE6"/>
    <w:rsid w:val="631043D5"/>
    <w:rsid w:val="649F377C"/>
    <w:rsid w:val="65064588"/>
    <w:rsid w:val="651519EE"/>
    <w:rsid w:val="653A2280"/>
    <w:rsid w:val="654732FD"/>
    <w:rsid w:val="6569233D"/>
    <w:rsid w:val="659C36B8"/>
    <w:rsid w:val="65EC26C9"/>
    <w:rsid w:val="668A5968"/>
    <w:rsid w:val="676505EB"/>
    <w:rsid w:val="67E56DD6"/>
    <w:rsid w:val="67F71073"/>
    <w:rsid w:val="689E5B3D"/>
    <w:rsid w:val="68D80B25"/>
    <w:rsid w:val="696D1859"/>
    <w:rsid w:val="6976206A"/>
    <w:rsid w:val="69BD5F23"/>
    <w:rsid w:val="69DD6A02"/>
    <w:rsid w:val="6A6B76AD"/>
    <w:rsid w:val="6A7D6396"/>
    <w:rsid w:val="6A80346D"/>
    <w:rsid w:val="6AAB27BF"/>
    <w:rsid w:val="6B3E7BB5"/>
    <w:rsid w:val="6B8A56F6"/>
    <w:rsid w:val="6BB64740"/>
    <w:rsid w:val="6BDE7EC2"/>
    <w:rsid w:val="6BFA7CAB"/>
    <w:rsid w:val="6C066525"/>
    <w:rsid w:val="6C543A41"/>
    <w:rsid w:val="6C8420F9"/>
    <w:rsid w:val="6D366A53"/>
    <w:rsid w:val="6D5A5A6E"/>
    <w:rsid w:val="6D6072F6"/>
    <w:rsid w:val="6D6B2D94"/>
    <w:rsid w:val="6DE17D2F"/>
    <w:rsid w:val="6E09125C"/>
    <w:rsid w:val="6E3F2708"/>
    <w:rsid w:val="6ECC1B03"/>
    <w:rsid w:val="6F081ECC"/>
    <w:rsid w:val="6F1F55DB"/>
    <w:rsid w:val="6F2F0829"/>
    <w:rsid w:val="6F367F8E"/>
    <w:rsid w:val="6FCF139E"/>
    <w:rsid w:val="70197D66"/>
    <w:rsid w:val="7036075E"/>
    <w:rsid w:val="70362978"/>
    <w:rsid w:val="70412488"/>
    <w:rsid w:val="70966DD4"/>
    <w:rsid w:val="70E525BA"/>
    <w:rsid w:val="70E75FDC"/>
    <w:rsid w:val="71082E7B"/>
    <w:rsid w:val="71270FB4"/>
    <w:rsid w:val="71695A58"/>
    <w:rsid w:val="716B02ED"/>
    <w:rsid w:val="71CA268E"/>
    <w:rsid w:val="71E24DB0"/>
    <w:rsid w:val="72250458"/>
    <w:rsid w:val="725C4DCF"/>
    <w:rsid w:val="7297545B"/>
    <w:rsid w:val="729F408D"/>
    <w:rsid w:val="73002031"/>
    <w:rsid w:val="73351CA8"/>
    <w:rsid w:val="73FF0EDA"/>
    <w:rsid w:val="74464EE5"/>
    <w:rsid w:val="748529B1"/>
    <w:rsid w:val="74B626D6"/>
    <w:rsid w:val="74E108A3"/>
    <w:rsid w:val="74E42550"/>
    <w:rsid w:val="74E94751"/>
    <w:rsid w:val="751C6ECC"/>
    <w:rsid w:val="751F7A57"/>
    <w:rsid w:val="756B596A"/>
    <w:rsid w:val="75880514"/>
    <w:rsid w:val="75B901F2"/>
    <w:rsid w:val="75CF1E4C"/>
    <w:rsid w:val="75E777AA"/>
    <w:rsid w:val="76631429"/>
    <w:rsid w:val="76730EC0"/>
    <w:rsid w:val="76A603F3"/>
    <w:rsid w:val="76C138E8"/>
    <w:rsid w:val="76CE6F37"/>
    <w:rsid w:val="77C75D52"/>
    <w:rsid w:val="781C1AEE"/>
    <w:rsid w:val="783B369C"/>
    <w:rsid w:val="78BC1B1C"/>
    <w:rsid w:val="78BE1435"/>
    <w:rsid w:val="78C13D31"/>
    <w:rsid w:val="79287717"/>
    <w:rsid w:val="79C55761"/>
    <w:rsid w:val="7B5707FE"/>
    <w:rsid w:val="7B655E5A"/>
    <w:rsid w:val="7BAD448A"/>
    <w:rsid w:val="7BAE7445"/>
    <w:rsid w:val="7BFA2B6E"/>
    <w:rsid w:val="7C5E1890"/>
    <w:rsid w:val="7CB06CB4"/>
    <w:rsid w:val="7D1623C2"/>
    <w:rsid w:val="7D1B4352"/>
    <w:rsid w:val="7D395CFE"/>
    <w:rsid w:val="7D4F7832"/>
    <w:rsid w:val="7D9253F8"/>
    <w:rsid w:val="7D9F2718"/>
    <w:rsid w:val="7DBA21EF"/>
    <w:rsid w:val="7DD556D7"/>
    <w:rsid w:val="7E3C37AE"/>
    <w:rsid w:val="7E450708"/>
    <w:rsid w:val="7FAF52AF"/>
    <w:rsid w:val="7FC4329C"/>
    <w:rsid w:val="7FE068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16"/>
    <w:autoRedefine/>
    <w:qFormat/>
    <w:uiPriority w:val="0"/>
    <w:pPr>
      <w:keepNext/>
      <w:keepLines/>
      <w:spacing w:beforeLines="0" w:beforeAutospacing="0" w:afterLines="0" w:afterAutospacing="0" w:line="360" w:lineRule="auto"/>
      <w:jc w:val="center"/>
      <w:outlineLvl w:val="0"/>
    </w:pPr>
    <w:rPr>
      <w:rFonts w:ascii="Times New Roman" w:hAnsi="Times New Roman"/>
      <w:b/>
      <w:kern w:val="44"/>
      <w:sz w:val="44"/>
      <w:szCs w:val="21"/>
    </w:rPr>
  </w:style>
  <w:style w:type="paragraph" w:styleId="4">
    <w:name w:val="heading 2"/>
    <w:basedOn w:val="1"/>
    <w:next w:val="1"/>
    <w:link w:val="15"/>
    <w:autoRedefine/>
    <w:semiHidden/>
    <w:unhideWhenUsed/>
    <w:qFormat/>
    <w:uiPriority w:val="0"/>
    <w:pPr>
      <w:keepNext/>
      <w:keepLines/>
      <w:spacing w:line="360" w:lineRule="auto"/>
      <w:ind w:firstLine="0" w:firstLineChars="0"/>
      <w:jc w:val="left"/>
      <w:outlineLvl w:val="1"/>
    </w:pPr>
    <w:rPr>
      <w:rFonts w:ascii="Arial" w:hAnsi="Arial" w:eastAsia="仿宋"/>
      <w:b/>
      <w:bCs/>
      <w:sz w:val="32"/>
      <w:szCs w:val="32"/>
    </w:rPr>
  </w:style>
  <w:style w:type="paragraph" w:styleId="5">
    <w:name w:val="heading 3"/>
    <w:basedOn w:val="1"/>
    <w:next w:val="6"/>
    <w:link w:val="18"/>
    <w:semiHidden/>
    <w:unhideWhenUsed/>
    <w:qFormat/>
    <w:uiPriority w:val="0"/>
    <w:pPr>
      <w:keepNext/>
      <w:keepLines/>
      <w:spacing w:beforeLines="0" w:afterLines="0" w:line="360" w:lineRule="auto"/>
      <w:ind w:firstLine="0" w:firstLineChars="0"/>
      <w:outlineLvl w:val="2"/>
    </w:pPr>
    <w:rPr>
      <w:rFonts w:eastAsia="仿宋" w:cs="Times New Roman"/>
      <w:b/>
      <w:bCs/>
      <w:sz w:val="30"/>
      <w:szCs w:val="32"/>
    </w:rPr>
  </w:style>
  <w:style w:type="character" w:default="1" w:styleId="13">
    <w:name w:val="Default Paragraph Font"/>
    <w:autoRedefine/>
    <w:semiHidden/>
    <w:qFormat/>
    <w:uiPriority w:val="0"/>
  </w:style>
  <w:style w:type="table" w:default="1" w:styleId="12">
    <w:name w:val="Normal Table"/>
    <w:autoRedefine/>
    <w:semiHidden/>
    <w:qFormat/>
    <w:uiPriority w:val="0"/>
    <w:tblPr>
      <w:tblCellMar>
        <w:top w:w="0" w:type="dxa"/>
        <w:left w:w="108" w:type="dxa"/>
        <w:bottom w:w="0" w:type="dxa"/>
        <w:right w:w="108" w:type="dxa"/>
      </w:tblCellMar>
    </w:tblPr>
  </w:style>
  <w:style w:type="paragraph" w:styleId="2">
    <w:name w:val="List Paragraph"/>
    <w:basedOn w:val="1"/>
    <w:autoRedefine/>
    <w:qFormat/>
    <w:uiPriority w:val="34"/>
    <w:pPr>
      <w:ind w:firstLine="420" w:firstLineChars="200"/>
    </w:pPr>
    <w:rPr>
      <w:rFonts w:ascii="Calibri" w:hAnsi="Calibri"/>
      <w:szCs w:val="22"/>
    </w:rPr>
  </w:style>
  <w:style w:type="paragraph" w:styleId="6">
    <w:name w:val="Normal Indent"/>
    <w:basedOn w:val="1"/>
    <w:autoRedefine/>
    <w:qFormat/>
    <w:uiPriority w:val="0"/>
    <w:pPr>
      <w:ind w:firstLine="420" w:firstLineChars="200"/>
    </w:pPr>
  </w:style>
  <w:style w:type="paragraph" w:styleId="7">
    <w:name w:val="Body Text"/>
    <w:basedOn w:val="1"/>
    <w:qFormat/>
    <w:uiPriority w:val="99"/>
    <w:pPr>
      <w:spacing w:after="120"/>
    </w:pPr>
    <w:rPr>
      <w:kern w:val="0"/>
      <w:sz w:val="20"/>
    </w:rPr>
  </w:style>
  <w:style w:type="paragraph" w:styleId="8">
    <w:name w:val="Body Text Indent"/>
    <w:basedOn w:val="1"/>
    <w:autoRedefine/>
    <w:qFormat/>
    <w:uiPriority w:val="0"/>
    <w:pPr>
      <w:spacing w:after="120" w:afterLines="0" w:afterAutospacing="0"/>
      <w:ind w:left="420" w:leftChars="200"/>
    </w:pPr>
  </w:style>
  <w:style w:type="paragraph" w:styleId="9">
    <w:name w:val="Plain Text"/>
    <w:basedOn w:val="1"/>
    <w:autoRedefine/>
    <w:qFormat/>
    <w:uiPriority w:val="0"/>
    <w:rPr>
      <w:rFonts w:ascii="宋体" w:hAnsi="Courier New"/>
    </w:rPr>
  </w:style>
  <w:style w:type="paragraph" w:styleId="10">
    <w:name w:val="Title"/>
    <w:basedOn w:val="1"/>
    <w:next w:val="1"/>
    <w:link w:val="17"/>
    <w:autoRedefine/>
    <w:qFormat/>
    <w:uiPriority w:val="0"/>
    <w:pPr>
      <w:spacing w:before="240" w:after="60"/>
      <w:jc w:val="left"/>
      <w:outlineLvl w:val="0"/>
    </w:pPr>
    <w:rPr>
      <w:rFonts w:ascii="Cambria" w:hAnsi="Cambria" w:eastAsia="仿宋" w:cs="黑体"/>
      <w:b/>
      <w:bCs/>
      <w:sz w:val="32"/>
      <w:szCs w:val="32"/>
    </w:rPr>
  </w:style>
  <w:style w:type="paragraph" w:styleId="11">
    <w:name w:val="Body Text First Indent 2"/>
    <w:basedOn w:val="8"/>
    <w:autoRedefine/>
    <w:qFormat/>
    <w:uiPriority w:val="0"/>
    <w:pPr>
      <w:ind w:firstLine="420" w:firstLineChars="200"/>
    </w:pPr>
  </w:style>
  <w:style w:type="character" w:styleId="14">
    <w:name w:val="Hyperlink"/>
    <w:qFormat/>
    <w:uiPriority w:val="0"/>
    <w:rPr>
      <w:rFonts w:ascii="Times New Roman" w:hAnsi="Times New Roman" w:eastAsia="宋体"/>
      <w:color w:val="auto"/>
      <w:u w:val="none"/>
      <w:shd w:val="clear" w:color="auto" w:fill="009688"/>
    </w:rPr>
  </w:style>
  <w:style w:type="character" w:customStyle="1" w:styleId="15">
    <w:name w:val="标题 2 Char"/>
    <w:link w:val="4"/>
    <w:autoRedefine/>
    <w:qFormat/>
    <w:uiPriority w:val="0"/>
    <w:rPr>
      <w:rFonts w:ascii="Arial" w:hAnsi="Arial" w:eastAsia="仿宋"/>
      <w:b/>
      <w:sz w:val="32"/>
      <w:szCs w:val="21"/>
    </w:rPr>
  </w:style>
  <w:style w:type="character" w:customStyle="1" w:styleId="16">
    <w:name w:val="标题 1 Char"/>
    <w:link w:val="3"/>
    <w:autoRedefine/>
    <w:qFormat/>
    <w:uiPriority w:val="0"/>
    <w:rPr>
      <w:rFonts w:ascii="Times New Roman" w:hAnsi="Times New Roman" w:eastAsia="仿宋" w:cs="Times New Roman"/>
      <w:b/>
      <w:kern w:val="44"/>
      <w:sz w:val="44"/>
      <w:szCs w:val="21"/>
    </w:rPr>
  </w:style>
  <w:style w:type="character" w:customStyle="1" w:styleId="17">
    <w:name w:val="标题 Char1"/>
    <w:link w:val="10"/>
    <w:autoRedefine/>
    <w:qFormat/>
    <w:uiPriority w:val="0"/>
    <w:rPr>
      <w:rFonts w:ascii="Cambria" w:hAnsi="Cambria" w:eastAsia="仿宋" w:cs="黑体"/>
      <w:b/>
      <w:bCs/>
      <w:sz w:val="32"/>
      <w:szCs w:val="32"/>
    </w:rPr>
  </w:style>
  <w:style w:type="character" w:customStyle="1" w:styleId="18">
    <w:name w:val="标题 3 Char"/>
    <w:link w:val="5"/>
    <w:autoRedefine/>
    <w:qFormat/>
    <w:uiPriority w:val="0"/>
    <w:rPr>
      <w:rFonts w:ascii="Calibri" w:hAnsi="Calibri" w:eastAsia="仿宋" w:cs="Times New Roman"/>
      <w:b/>
      <w:bCs/>
      <w:sz w:val="30"/>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1550</Words>
  <Characters>1588</Characters>
  <Lines>0</Lines>
  <Paragraphs>0</Paragraphs>
  <TotalTime>21</TotalTime>
  <ScaleCrop>false</ScaleCrop>
  <LinksUpToDate>false</LinksUpToDate>
  <CharactersWithSpaces>1590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2026-05-26T05:43:00Z</dcterms:created>
  <dc:creator>NTKO</dc:creator>
  <cp:lastModifiedBy>Administrator</cp:lastModifiedBy>
  <dcterms:modified xsi:type="dcterms:W3CDTF">2026-05-26T11:51:36Z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A1B562AF246B4971AD1DC91875209F0F_13</vt:lpwstr>
  </property>
  <property fmtid="{D5CDD505-2E9C-101B-9397-08002B2CF9AE}" pid="4" name="KSOTemplateDocerSaveRecord">
    <vt:lpwstr>eyJoZGlkIjoiY2ZhYTNlNWY3NzJhODc4NTFmNjVhMjkwZTFjODAxYjciLCJ1c2VySWQiOiIyOTE4MDQzOTAifQ==</vt:lpwstr>
  </property>
</Properties>
</file>