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6DA31C">
      <w:pPr>
        <w:keepNext/>
        <w:keepLines/>
        <w:widowControl w:val="0"/>
        <w:spacing w:before="120" w:after="120" w:line="240" w:lineRule="auto"/>
        <w:jc w:val="center"/>
        <w:outlineLvl w:val="0"/>
        <w:rPr>
          <w:rFonts w:ascii="宋体" w:hAnsi="宋体" w:eastAsia="宋体" w:cs="仿宋"/>
          <w:b/>
          <w:bCs/>
          <w:kern w:val="2"/>
          <w:sz w:val="32"/>
          <w:szCs w:val="44"/>
          <w:highlight w:val="none"/>
          <w:lang w:val="en-US" w:eastAsia="zh-CN" w:bidi="ar-SA"/>
        </w:rPr>
      </w:pPr>
      <w:r>
        <w:rPr>
          <w:rFonts w:hint="eastAsia" w:ascii="宋体" w:hAnsi="宋体" w:eastAsia="宋体" w:cs="仿宋"/>
          <w:b/>
          <w:bCs/>
          <w:kern w:val="2"/>
          <w:sz w:val="32"/>
          <w:szCs w:val="44"/>
          <w:highlight w:val="none"/>
          <w:lang w:val="en-US" w:eastAsia="zh-CN" w:bidi="ar-SA"/>
        </w:rPr>
        <w:t>采购内容及项目要求</w:t>
      </w:r>
    </w:p>
    <w:p w14:paraId="369530BC">
      <w:pPr>
        <w:widowControl/>
        <w:kinsoku w:val="0"/>
        <w:autoSpaceDE w:val="0"/>
        <w:autoSpaceDN w:val="0"/>
        <w:adjustRightInd w:val="0"/>
        <w:snapToGrid w:val="0"/>
        <w:spacing w:before="145" w:line="219" w:lineRule="auto"/>
        <w:ind w:left="11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highlight w:val="none"/>
          <w:lang w:val="en-US" w:eastAsia="en-US" w:bidi="ar-SA"/>
        </w:rPr>
      </w:pPr>
      <w:r>
        <w:rPr>
          <w:rFonts w:hint="eastAsia" w:ascii="宋体" w:hAnsi="宋体" w:eastAsia="宋体" w:cs="宋体"/>
          <w:b/>
          <w:kern w:val="0"/>
          <w:sz w:val="24"/>
          <w:highlight w:val="none"/>
          <w:lang w:eastAsia="en-US" w:bidi="en-US"/>
        </w:rPr>
        <w:t>一、项目概况</w:t>
      </w:r>
    </w:p>
    <w:p w14:paraId="4E90DE6D">
      <w:pPr>
        <w:pStyle w:val="6"/>
        <w:spacing w:after="0" w:line="520" w:lineRule="exact"/>
        <w:ind w:firstLine="600" w:firstLineChars="250"/>
        <w:rPr>
          <w:rFonts w:hint="eastAsia" w:ascii="宋体" w:hAnsi="宋体" w:eastAsia="宋体" w:cs="Times New Roman"/>
          <w:sz w:val="24"/>
          <w:highlight w:val="none"/>
          <w:lang w:eastAsia="en-US"/>
        </w:rPr>
      </w:pPr>
      <w:r>
        <w:rPr>
          <w:rFonts w:hint="eastAsia" w:ascii="宋体" w:hAnsi="宋体" w:eastAsia="宋体" w:cs="Times New Roman"/>
          <w:sz w:val="24"/>
          <w:highlight w:val="none"/>
          <w:lang w:eastAsia="en-US"/>
        </w:rPr>
        <w:t>为了深入贯彻山东大学附属中学“共享生命成长”的教育理念，构建山东大学附属中学富有竞争力的薪酬福利体系，提高学校教职工福利待遇水平，提升教师的归属感、幸福感，保障学校办学水平的不断提升。山东大学附属中学将对学校教职工</w:t>
      </w:r>
      <w:r>
        <w:rPr>
          <w:rFonts w:hint="eastAsia" w:ascii="宋体" w:hAnsi="宋体" w:eastAsia="宋体" w:cs="Times New Roman"/>
          <w:sz w:val="24"/>
          <w:highlight w:val="none"/>
          <w:lang w:val="en-US" w:eastAsia="en-US"/>
        </w:rPr>
        <w:t>商业补充医疗保险</w:t>
      </w:r>
      <w:r>
        <w:rPr>
          <w:rFonts w:hint="eastAsia" w:ascii="宋体" w:hAnsi="宋体" w:eastAsia="宋体" w:cs="Times New Roman"/>
          <w:sz w:val="24"/>
          <w:highlight w:val="none"/>
          <w:lang w:eastAsia="en-US"/>
        </w:rPr>
        <w:t>服务单位进行采购。</w:t>
      </w:r>
    </w:p>
    <w:p w14:paraId="5FA91F29">
      <w:pPr>
        <w:pStyle w:val="6"/>
        <w:spacing w:after="0" w:line="520" w:lineRule="exact"/>
        <w:ind w:firstLine="600" w:firstLineChars="250"/>
        <w:rPr>
          <w:rFonts w:hint="eastAsia" w:ascii="宋体" w:hAnsi="宋体" w:eastAsia="宋体" w:cs="Times New Roman"/>
          <w:sz w:val="24"/>
          <w:highlight w:val="none"/>
          <w:lang w:eastAsia="en-US"/>
        </w:rPr>
      </w:pPr>
      <w:r>
        <w:rPr>
          <w:rFonts w:hint="eastAsia" w:ascii="宋体" w:hAnsi="宋体" w:eastAsia="宋体" w:cs="Times New Roman"/>
          <w:sz w:val="24"/>
          <w:highlight w:val="none"/>
          <w:lang w:eastAsia="en-US"/>
        </w:rPr>
        <w:t>山东大学附属中学非事业编制教职工</w:t>
      </w:r>
      <w:r>
        <w:rPr>
          <w:rFonts w:hint="eastAsia" w:ascii="宋体" w:hAnsi="宋体" w:eastAsia="宋体" w:cs="Times New Roman"/>
          <w:sz w:val="24"/>
          <w:highlight w:val="none"/>
          <w:lang w:val="en-US" w:eastAsia="en-US"/>
        </w:rPr>
        <w:t>商业补充医疗保险</w:t>
      </w:r>
      <w:r>
        <w:rPr>
          <w:rFonts w:hint="eastAsia" w:ascii="宋体" w:hAnsi="宋体" w:eastAsia="宋体" w:cs="Times New Roman"/>
          <w:sz w:val="24"/>
          <w:highlight w:val="none"/>
          <w:lang w:eastAsia="en-US"/>
        </w:rPr>
        <w:t>服务项目，预估参保人数</w:t>
      </w:r>
      <w:r>
        <w:rPr>
          <w:rFonts w:hint="eastAsia" w:ascii="宋体" w:hAnsi="宋体" w:eastAsia="宋体" w:cs="Times New Roman"/>
          <w:sz w:val="24"/>
          <w:highlight w:val="none"/>
          <w:lang w:val="en-US" w:eastAsia="en-US"/>
        </w:rPr>
        <w:t>103</w:t>
      </w:r>
      <w:r>
        <w:rPr>
          <w:rFonts w:hint="eastAsia" w:ascii="宋体" w:hAnsi="宋体" w:eastAsia="宋体" w:cs="Times New Roman"/>
          <w:sz w:val="24"/>
          <w:highlight w:val="none"/>
          <w:lang w:eastAsia="en-US"/>
        </w:rPr>
        <w:t>人左右，</w:t>
      </w:r>
      <w:r>
        <w:rPr>
          <w:rFonts w:hint="eastAsia" w:ascii="宋体" w:hAnsi="宋体" w:eastAsia="宋体" w:cs="Times New Roman"/>
          <w:sz w:val="24"/>
          <w:highlight w:val="none"/>
          <w:lang w:val="en-US" w:eastAsia="en-US"/>
        </w:rPr>
        <w:t>15</w:t>
      </w:r>
      <w:r>
        <w:rPr>
          <w:rFonts w:hint="eastAsia" w:ascii="宋体" w:hAnsi="宋体" w:eastAsia="宋体" w:cs="Times New Roman"/>
          <w:sz w:val="24"/>
          <w:highlight w:val="none"/>
          <w:lang w:eastAsia="en-US"/>
        </w:rPr>
        <w:t>00元/人/年。</w:t>
      </w:r>
    </w:p>
    <w:p w14:paraId="1D5A0B37">
      <w:pPr>
        <w:pStyle w:val="6"/>
        <w:spacing w:after="0" w:line="520" w:lineRule="exact"/>
        <w:ind w:firstLine="600" w:firstLineChars="250"/>
        <w:rPr>
          <w:rFonts w:hint="eastAsia" w:ascii="宋体" w:hAnsi="宋体" w:eastAsia="宋体" w:cs="Times New Roman"/>
          <w:sz w:val="24"/>
          <w:highlight w:val="none"/>
          <w:lang w:eastAsia="en-US"/>
        </w:rPr>
      </w:pPr>
      <w:r>
        <w:rPr>
          <w:rFonts w:hint="eastAsia" w:ascii="宋体" w:hAnsi="宋体" w:eastAsia="宋体" w:cs="Times New Roman"/>
          <w:sz w:val="24"/>
          <w:highlight w:val="none"/>
          <w:lang w:eastAsia="zh-CN"/>
        </w:rPr>
        <w:t>本项目服务期三年，服务合同一年一签（采购人在年度预算能保障的前提下，根据中标人服务质量自主决定是否与中标人续签下一年合同）</w:t>
      </w:r>
      <w:r>
        <w:rPr>
          <w:rFonts w:hint="eastAsia" w:ascii="宋体" w:hAnsi="宋体" w:eastAsia="宋体" w:cs="Times New Roman"/>
          <w:sz w:val="24"/>
          <w:highlight w:val="none"/>
          <w:lang w:eastAsia="en-US"/>
        </w:rPr>
        <w:t>。</w:t>
      </w:r>
    </w:p>
    <w:p w14:paraId="6F9655DC">
      <w:pPr>
        <w:pStyle w:val="6"/>
        <w:spacing w:after="0" w:line="520" w:lineRule="exact"/>
        <w:ind w:firstLine="600" w:firstLineChars="250"/>
        <w:rPr>
          <w:rFonts w:hint="eastAsia" w:ascii="宋体" w:hAnsi="宋体" w:eastAsia="宋体" w:cs="Times New Roman"/>
          <w:sz w:val="24"/>
          <w:highlight w:val="none"/>
          <w:lang w:eastAsia="en-US"/>
        </w:rPr>
      </w:pPr>
      <w:r>
        <w:rPr>
          <w:rFonts w:hint="eastAsia" w:ascii="宋体" w:hAnsi="宋体" w:eastAsia="宋体" w:cs="Times New Roman"/>
          <w:sz w:val="24"/>
          <w:highlight w:val="none"/>
          <w:lang w:eastAsia="en-US"/>
        </w:rPr>
        <w:t>本项目共分为 1 个包，供应商不得对包中所报服务分解后进行响应。本项目预算金额为人民币</w:t>
      </w:r>
      <w:r>
        <w:rPr>
          <w:rFonts w:hint="eastAsia" w:ascii="宋体" w:hAnsi="宋体" w:eastAsia="宋体" w:cs="Times New Roman"/>
          <w:sz w:val="24"/>
          <w:highlight w:val="none"/>
          <w:lang w:val="en-US" w:eastAsia="en-US"/>
        </w:rPr>
        <w:t>15.5</w:t>
      </w:r>
      <w:r>
        <w:rPr>
          <w:rFonts w:hint="eastAsia" w:ascii="宋体" w:hAnsi="宋体" w:eastAsia="宋体" w:cs="Times New Roman"/>
          <w:sz w:val="24"/>
          <w:highlight w:val="none"/>
          <w:lang w:eastAsia="en-US"/>
        </w:rPr>
        <w:t>万元/年。</w:t>
      </w:r>
    </w:p>
    <w:p w14:paraId="27DCD516">
      <w:pPr>
        <w:pStyle w:val="6"/>
        <w:spacing w:after="0" w:line="520" w:lineRule="exact"/>
        <w:rPr>
          <w:rFonts w:hint="eastAsia" w:ascii="宋体" w:hAnsi="宋体" w:eastAsia="宋体" w:cs="宋体"/>
          <w:b/>
          <w:kern w:val="0"/>
          <w:sz w:val="24"/>
          <w:szCs w:val="24"/>
          <w:highlight w:val="none"/>
          <w:lang w:val="en-US" w:eastAsia="zh-CN" w:bidi="en-US"/>
        </w:rPr>
      </w:pPr>
      <w:r>
        <w:rPr>
          <w:rFonts w:hint="eastAsia" w:ascii="宋体" w:hAnsi="宋体" w:eastAsia="宋体" w:cs="宋体"/>
          <w:b/>
          <w:kern w:val="0"/>
          <w:sz w:val="24"/>
          <w:szCs w:val="24"/>
          <w:highlight w:val="none"/>
          <w:lang w:val="en-US" w:eastAsia="zh-CN" w:bidi="en-US"/>
        </w:rPr>
        <w:t>二、主要条款</w:t>
      </w:r>
    </w:p>
    <w:p w14:paraId="3E69EB96">
      <w:pPr>
        <w:widowControl/>
        <w:kinsoku w:val="0"/>
        <w:autoSpaceDE w:val="0"/>
        <w:autoSpaceDN w:val="0"/>
        <w:adjustRightInd w:val="0"/>
        <w:snapToGrid w:val="0"/>
        <w:spacing w:line="63" w:lineRule="exact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Cs w:val="21"/>
          <w:highlight w:val="none"/>
          <w:lang w:eastAsia="en-US"/>
        </w:rPr>
      </w:pPr>
    </w:p>
    <w:tbl>
      <w:tblPr>
        <w:tblStyle w:val="17"/>
        <w:tblW w:w="5022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47"/>
        <w:gridCol w:w="2988"/>
        <w:gridCol w:w="1972"/>
        <w:gridCol w:w="7818"/>
      </w:tblGrid>
      <w:tr w14:paraId="4528C7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1273" w:type="dxa"/>
            <w:noWrap w:val="0"/>
            <w:vAlign w:val="center"/>
          </w:tcPr>
          <w:p w14:paraId="40040A44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055" w:type="dxa"/>
            <w:noWrap w:val="0"/>
            <w:vAlign w:val="center"/>
          </w:tcPr>
          <w:p w14:paraId="403807A5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保障项目</w:t>
            </w:r>
          </w:p>
        </w:tc>
        <w:tc>
          <w:tcPr>
            <w:tcW w:w="1992" w:type="dxa"/>
            <w:noWrap w:val="0"/>
            <w:vAlign w:val="center"/>
          </w:tcPr>
          <w:p w14:paraId="5137B9D8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赔付限额（元）</w:t>
            </w:r>
          </w:p>
        </w:tc>
        <w:tc>
          <w:tcPr>
            <w:tcW w:w="7971" w:type="dxa"/>
            <w:noWrap w:val="0"/>
            <w:vAlign w:val="center"/>
          </w:tcPr>
          <w:p w14:paraId="523CBF63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说明</w:t>
            </w:r>
          </w:p>
        </w:tc>
      </w:tr>
      <w:tr w14:paraId="252292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2" w:hRule="atLeast"/>
        </w:trPr>
        <w:tc>
          <w:tcPr>
            <w:tcW w:w="1273" w:type="dxa"/>
            <w:noWrap w:val="0"/>
            <w:vAlign w:val="center"/>
          </w:tcPr>
          <w:p w14:paraId="64331754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055" w:type="dxa"/>
            <w:noWrap w:val="0"/>
            <w:vAlign w:val="center"/>
          </w:tcPr>
          <w:p w14:paraId="4A9F0333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意外身故伤残</w:t>
            </w:r>
          </w:p>
        </w:tc>
        <w:tc>
          <w:tcPr>
            <w:tcW w:w="1992" w:type="dxa"/>
            <w:noWrap w:val="0"/>
            <w:vAlign w:val="center"/>
          </w:tcPr>
          <w:p w14:paraId="424FA7CE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600,000.00</w:t>
            </w:r>
          </w:p>
        </w:tc>
        <w:tc>
          <w:tcPr>
            <w:tcW w:w="7971" w:type="dxa"/>
            <w:noWrap w:val="0"/>
            <w:vAlign w:val="top"/>
          </w:tcPr>
          <w:p w14:paraId="2F4825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1.因意外身故一次性给付</w:t>
            </w:r>
          </w:p>
          <w:p w14:paraId="0AB038F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根据《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人身保险伤残评定及代码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GB/T 44893—2024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》比例赔付</w:t>
            </w:r>
          </w:p>
          <w:p w14:paraId="7CDFE085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  <w:t>3.与行业协会要求保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持一致，不得增加额外的责任免除条款</w:t>
            </w:r>
          </w:p>
        </w:tc>
      </w:tr>
      <w:tr w14:paraId="4B67F9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1273" w:type="dxa"/>
            <w:noWrap w:val="0"/>
            <w:vAlign w:val="center"/>
          </w:tcPr>
          <w:p w14:paraId="3710BF1A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055" w:type="dxa"/>
            <w:noWrap w:val="0"/>
            <w:vAlign w:val="center"/>
          </w:tcPr>
          <w:p w14:paraId="398E2539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意外医疗</w:t>
            </w:r>
          </w:p>
        </w:tc>
        <w:tc>
          <w:tcPr>
            <w:tcW w:w="1992" w:type="dxa"/>
            <w:noWrap w:val="0"/>
            <w:vAlign w:val="center"/>
          </w:tcPr>
          <w:p w14:paraId="7E38FA77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0,000.00</w:t>
            </w:r>
          </w:p>
        </w:tc>
        <w:tc>
          <w:tcPr>
            <w:tcW w:w="7971" w:type="dxa"/>
            <w:noWrap w:val="0"/>
            <w:vAlign w:val="center"/>
          </w:tcPr>
          <w:p w14:paraId="0924C4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1.因遭受意外伤害进行的治疗，进行赔付，赔付限额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0000元</w:t>
            </w:r>
          </w:p>
          <w:p w14:paraId="2F1623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2.因意外产生的与行业协会要求保持一致，不得增加额外的责任免除条款</w:t>
            </w:r>
          </w:p>
        </w:tc>
      </w:tr>
      <w:tr w14:paraId="3AB8BC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1273" w:type="dxa"/>
            <w:noWrap w:val="0"/>
            <w:vAlign w:val="center"/>
          </w:tcPr>
          <w:p w14:paraId="1A1F1C5D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3055" w:type="dxa"/>
            <w:noWrap w:val="0"/>
            <w:vAlign w:val="center"/>
          </w:tcPr>
          <w:p w14:paraId="675A930A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重大疾病</w:t>
            </w:r>
          </w:p>
        </w:tc>
        <w:tc>
          <w:tcPr>
            <w:tcW w:w="1992" w:type="dxa"/>
            <w:noWrap w:val="0"/>
            <w:vAlign w:val="center"/>
          </w:tcPr>
          <w:p w14:paraId="1A6CD2CA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重度200,000.00</w:t>
            </w:r>
          </w:p>
          <w:p w14:paraId="52D45360">
            <w:pPr>
              <w:pStyle w:val="6"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轻度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60,000.00</w:t>
            </w:r>
          </w:p>
        </w:tc>
        <w:tc>
          <w:tcPr>
            <w:tcW w:w="7971" w:type="dxa"/>
            <w:noWrap w:val="0"/>
            <w:vAlign w:val="center"/>
          </w:tcPr>
          <w:p w14:paraId="787DCD3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因罹患重大疾病或非重大疾病进行赔付</w:t>
            </w:r>
          </w:p>
          <w:p w14:paraId="7F02D3D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重大疾病保险条款中的疾病名称、疾病定义、除外责任和术语释义应当符合《重大疾病保险的疾病定义使用规范（2020年修订版）》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以下简称“规范”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的具体规定。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疾病种类不得少于《规范》中所列明的疾病类型。</w:t>
            </w:r>
          </w:p>
        </w:tc>
      </w:tr>
      <w:tr w14:paraId="5778B8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1273" w:type="dxa"/>
            <w:noWrap w:val="0"/>
            <w:vAlign w:val="center"/>
          </w:tcPr>
          <w:p w14:paraId="013BD0A2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3055" w:type="dxa"/>
            <w:noWrap w:val="0"/>
            <w:vAlign w:val="center"/>
          </w:tcPr>
          <w:p w14:paraId="30395A5A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住院补贴</w:t>
            </w:r>
          </w:p>
        </w:tc>
        <w:tc>
          <w:tcPr>
            <w:tcW w:w="1992" w:type="dxa"/>
            <w:noWrap w:val="0"/>
            <w:vAlign w:val="center"/>
          </w:tcPr>
          <w:p w14:paraId="74F9CF16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60</w:t>
            </w:r>
          </w:p>
        </w:tc>
        <w:tc>
          <w:tcPr>
            <w:tcW w:w="7971" w:type="dxa"/>
            <w:noWrap w:val="0"/>
            <w:vAlign w:val="center"/>
          </w:tcPr>
          <w:p w14:paraId="3ED765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被保险人住院，每天补贴60元</w:t>
            </w:r>
          </w:p>
        </w:tc>
      </w:tr>
      <w:tr w14:paraId="7CB198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1273" w:type="dxa"/>
            <w:noWrap w:val="0"/>
            <w:vAlign w:val="center"/>
          </w:tcPr>
          <w:p w14:paraId="048A73F5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3055" w:type="dxa"/>
            <w:noWrap w:val="0"/>
            <w:vAlign w:val="center"/>
          </w:tcPr>
          <w:p w14:paraId="49E14FC0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住院费用</w:t>
            </w:r>
          </w:p>
        </w:tc>
        <w:tc>
          <w:tcPr>
            <w:tcW w:w="1992" w:type="dxa"/>
            <w:noWrap w:val="0"/>
            <w:vAlign w:val="center"/>
          </w:tcPr>
          <w:p w14:paraId="32AE56B2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0,000.00</w:t>
            </w:r>
          </w:p>
        </w:tc>
        <w:tc>
          <w:tcPr>
            <w:tcW w:w="7971" w:type="dxa"/>
            <w:noWrap w:val="0"/>
            <w:vAlign w:val="center"/>
          </w:tcPr>
          <w:p w14:paraId="45A0E9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被保险人因疾病住院，经基本医疗保险报销后，剩余符合社保范围内的100%理赔</w:t>
            </w:r>
          </w:p>
        </w:tc>
      </w:tr>
      <w:tr w14:paraId="253EF4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1273" w:type="dxa"/>
            <w:noWrap w:val="0"/>
            <w:vAlign w:val="center"/>
          </w:tcPr>
          <w:p w14:paraId="358A4EEB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3055" w:type="dxa"/>
            <w:noWrap w:val="0"/>
            <w:vAlign w:val="center"/>
          </w:tcPr>
          <w:p w14:paraId="58B20CA3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门诊费用</w:t>
            </w:r>
          </w:p>
        </w:tc>
        <w:tc>
          <w:tcPr>
            <w:tcW w:w="1992" w:type="dxa"/>
            <w:noWrap w:val="0"/>
            <w:vAlign w:val="center"/>
          </w:tcPr>
          <w:p w14:paraId="6A3A2170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,000.00</w:t>
            </w:r>
          </w:p>
        </w:tc>
        <w:tc>
          <w:tcPr>
            <w:tcW w:w="7971" w:type="dxa"/>
            <w:noWrap w:val="0"/>
            <w:vAlign w:val="center"/>
          </w:tcPr>
          <w:p w14:paraId="6BFF86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普通门诊符合社保范围内的100%理赔</w:t>
            </w:r>
          </w:p>
          <w:p w14:paraId="6461E0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要求：1.1000元以内进行快速理赔；</w:t>
            </w:r>
          </w:p>
          <w:p w14:paraId="1E41A3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720" w:firstLineChars="30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2.门诊用药期限可超过2周。</w:t>
            </w:r>
          </w:p>
        </w:tc>
      </w:tr>
      <w:tr w14:paraId="514A82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1273" w:type="dxa"/>
            <w:noWrap w:val="0"/>
            <w:vAlign w:val="center"/>
          </w:tcPr>
          <w:p w14:paraId="51799A04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3055" w:type="dxa"/>
            <w:noWrap w:val="0"/>
            <w:vAlign w:val="center"/>
          </w:tcPr>
          <w:p w14:paraId="432C1D4E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疾病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身故(免赔期0天)</w:t>
            </w:r>
          </w:p>
        </w:tc>
        <w:tc>
          <w:tcPr>
            <w:tcW w:w="1992" w:type="dxa"/>
            <w:noWrap w:val="0"/>
            <w:vAlign w:val="center"/>
          </w:tcPr>
          <w:p w14:paraId="672E29D3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300,000.00</w:t>
            </w:r>
          </w:p>
        </w:tc>
        <w:tc>
          <w:tcPr>
            <w:tcW w:w="7971" w:type="dxa"/>
            <w:noWrap w:val="0"/>
            <w:vAlign w:val="center"/>
          </w:tcPr>
          <w:p w14:paraId="51CB69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1.被保险人身故或全残一次性给付。</w:t>
            </w:r>
          </w:p>
          <w:p w14:paraId="7A014BD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textAlignment w:val="auto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与行业协会要求保持一致，不得增加额外的责任免除条款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等待期30天。</w:t>
            </w:r>
          </w:p>
        </w:tc>
      </w:tr>
    </w:tbl>
    <w:p w14:paraId="4C13C3F5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50129C"/>
    <w:rsid w:val="00631353"/>
    <w:rsid w:val="01E272A3"/>
    <w:rsid w:val="02FB75A0"/>
    <w:rsid w:val="0646713D"/>
    <w:rsid w:val="0B536F5B"/>
    <w:rsid w:val="0C827F53"/>
    <w:rsid w:val="0E812604"/>
    <w:rsid w:val="1038759B"/>
    <w:rsid w:val="12560F32"/>
    <w:rsid w:val="143A23E4"/>
    <w:rsid w:val="16453930"/>
    <w:rsid w:val="1D3C196C"/>
    <w:rsid w:val="20F563FE"/>
    <w:rsid w:val="25071F18"/>
    <w:rsid w:val="26342943"/>
    <w:rsid w:val="265C1CFC"/>
    <w:rsid w:val="2C5C51D5"/>
    <w:rsid w:val="328C11EE"/>
    <w:rsid w:val="3A50129C"/>
    <w:rsid w:val="3AB85F64"/>
    <w:rsid w:val="3B9814E3"/>
    <w:rsid w:val="3BB83D9A"/>
    <w:rsid w:val="40834252"/>
    <w:rsid w:val="43491507"/>
    <w:rsid w:val="45180407"/>
    <w:rsid w:val="452B4861"/>
    <w:rsid w:val="4649335D"/>
    <w:rsid w:val="4A2A2D74"/>
    <w:rsid w:val="4ABF7E6A"/>
    <w:rsid w:val="4B7A48F9"/>
    <w:rsid w:val="50F525E8"/>
    <w:rsid w:val="55867476"/>
    <w:rsid w:val="58D5360D"/>
    <w:rsid w:val="618810C7"/>
    <w:rsid w:val="65DF6447"/>
    <w:rsid w:val="679B0868"/>
    <w:rsid w:val="6F9F6052"/>
    <w:rsid w:val="70B346A9"/>
    <w:rsid w:val="71A82547"/>
    <w:rsid w:val="7CC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/>
      <w:b/>
      <w:bCs/>
      <w:kern w:val="0"/>
      <w:sz w:val="24"/>
      <w:szCs w:val="32"/>
    </w:rPr>
  </w:style>
  <w:style w:type="paragraph" w:styleId="4">
    <w:name w:val="heading 3"/>
    <w:basedOn w:val="1"/>
    <w:next w:val="1"/>
    <w:link w:val="14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/>
      <w:b/>
      <w:bCs/>
      <w:kern w:val="0"/>
      <w:sz w:val="24"/>
      <w:szCs w:val="32"/>
    </w:rPr>
  </w:style>
  <w:style w:type="paragraph" w:styleId="5">
    <w:name w:val="heading 5"/>
    <w:basedOn w:val="1"/>
    <w:next w:val="1"/>
    <w:link w:val="16"/>
    <w:semiHidden/>
    <w:unhideWhenUsed/>
    <w:qFormat/>
    <w:uiPriority w:val="0"/>
    <w:pPr>
      <w:keepNext/>
      <w:keepLines/>
      <w:spacing w:before="280" w:after="290" w:line="376" w:lineRule="auto"/>
      <w:jc w:val="center"/>
      <w:outlineLvl w:val="4"/>
    </w:pPr>
    <w:rPr>
      <w:rFonts w:ascii="Times New Roman" w:hAnsi="Times New Roman" w:eastAsia="宋体"/>
      <w:b/>
      <w:bCs/>
      <w:sz w:val="32"/>
      <w:szCs w:val="28"/>
    </w:rPr>
  </w:style>
  <w:style w:type="character" w:default="1" w:styleId="12">
    <w:name w:val="Default Paragraph Font"/>
    <w:autoRedefine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qFormat/>
    <w:uiPriority w:val="99"/>
    <w:pPr>
      <w:widowControl w:val="0"/>
      <w:spacing w:after="120"/>
      <w:jc w:val="both"/>
    </w:pPr>
    <w:rPr>
      <w:rFonts w:ascii="Times New Roman" w:hAnsi="Times New Roman" w:eastAsia="宋体" w:cs="Times New Roman"/>
      <w:kern w:val="0"/>
      <w:sz w:val="20"/>
      <w:szCs w:val="24"/>
      <w:lang w:val="en-US" w:eastAsia="zh-CN" w:bidi="ar-SA"/>
    </w:rPr>
  </w:style>
  <w:style w:type="paragraph" w:styleId="7">
    <w:name w:val="toc 3"/>
    <w:basedOn w:val="1"/>
    <w:next w:val="1"/>
    <w:qFormat/>
    <w:uiPriority w:val="0"/>
    <w:pPr>
      <w:tabs>
        <w:tab w:val="right" w:leader="dot" w:pos="9359"/>
      </w:tabs>
      <w:spacing w:line="276" w:lineRule="auto"/>
      <w:ind w:left="420"/>
      <w:jc w:val="left"/>
    </w:pPr>
    <w:rPr>
      <w:rFonts w:ascii="Calibri" w:hAnsi="Calibri" w:eastAsia="宋体"/>
      <w:iCs/>
      <w:sz w:val="24"/>
      <w:szCs w:val="20"/>
    </w:rPr>
  </w:style>
  <w:style w:type="paragraph" w:styleId="8">
    <w:name w:val="toc 1"/>
    <w:basedOn w:val="9"/>
    <w:next w:val="1"/>
    <w:qFormat/>
    <w:uiPriority w:val="0"/>
    <w:pPr>
      <w:tabs>
        <w:tab w:val="right" w:leader="dot" w:pos="9359"/>
      </w:tabs>
    </w:pPr>
    <w:rPr>
      <w:rFonts w:ascii="Calibri" w:hAnsi="Calibri" w:eastAsia="宋体"/>
      <w:sz w:val="30"/>
      <w:szCs w:val="20"/>
    </w:rPr>
  </w:style>
  <w:style w:type="paragraph" w:styleId="9">
    <w:name w:val="toc 2"/>
    <w:basedOn w:val="7"/>
    <w:next w:val="1"/>
    <w:uiPriority w:val="0"/>
    <w:rPr>
      <w:rFonts w:ascii="Calibri" w:hAnsi="Calibri" w:eastAsia="宋体"/>
      <w:sz w:val="28"/>
      <w:szCs w:val="20"/>
    </w:rPr>
  </w:style>
  <w:style w:type="paragraph" w:styleId="10">
    <w:name w:val="toc 4"/>
    <w:basedOn w:val="7"/>
    <w:next w:val="1"/>
    <w:uiPriority w:val="0"/>
    <w:rPr>
      <w:sz w:val="21"/>
    </w:rPr>
  </w:style>
  <w:style w:type="character" w:customStyle="1" w:styleId="13">
    <w:name w:val="标题 1 Char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4">
    <w:name w:val="标题 3 Char"/>
    <w:link w:val="4"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character" w:customStyle="1" w:styleId="15">
    <w:name w:val="标题 2 Char"/>
    <w:link w:val="3"/>
    <w:qFormat/>
    <w:uiPriority w:val="0"/>
    <w:rPr>
      <w:rFonts w:ascii="Cambria" w:hAnsi="Cambria" w:eastAsia="宋体" w:cs="Times New Roman"/>
      <w:b/>
      <w:bCs/>
      <w:sz w:val="24"/>
      <w:szCs w:val="32"/>
    </w:rPr>
  </w:style>
  <w:style w:type="character" w:customStyle="1" w:styleId="16">
    <w:name w:val="标题 5 Char"/>
    <w:link w:val="5"/>
    <w:qFormat/>
    <w:uiPriority w:val="0"/>
    <w:rPr>
      <w:rFonts w:ascii="Times New Roman" w:hAnsi="Times New Roman" w:eastAsia="宋体"/>
      <w:b/>
      <w:bCs/>
      <w:kern w:val="2"/>
      <w:sz w:val="32"/>
      <w:szCs w:val="28"/>
    </w:rPr>
  </w:style>
  <w:style w:type="table" w:customStyle="1" w:styleId="17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2025-12-18T07:41:00Z</dcterms:created>
  <dc:creator>刘</dc:creator>
  <cp:lastModifiedBy>刘</cp:lastModifiedBy>
  <dcterms:modified xsi:type="dcterms:W3CDTF">2025-12-18T07:42:13Z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9886BE4B1E4A47DE9E7CAE13C9EEF9EF_11</vt:lpwstr>
  </property>
  <property fmtid="{D5CDD505-2E9C-101B-9397-08002B2CF9AE}" pid="4" name="KSOTemplateDocerSaveRecord">
    <vt:lpwstr>eyJoZGlkIjoiOTc3M2Y5NzIzMDFlZjAyY2Q4Njk5ODkyYjFjNzBiNTQiLCJ1c2VySWQiOiI0Mjc3NzIzNjAifQ==</vt:lpwstr>
  </property>
</Properties>
</file>