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EBCA4F">
      <w:pPr>
        <w:pStyle w:val="2"/>
        <w:spacing w:before="120" w:after="120" w:line="360" w:lineRule="auto"/>
        <w:rPr>
          <w:rFonts w:hint="eastAsia" w:ascii="宋体" w:hAnsi="宋体" w:cs="宋体"/>
        </w:rPr>
      </w:pPr>
      <w:r>
        <w:rPr>
          <w:rFonts w:hint="eastAsia" w:ascii="宋体" w:hAnsi="宋体" w:cs="宋体"/>
          <w:kern w:val="2"/>
        </w:rPr>
        <w:t>采购内容及项目要求</w:t>
      </w:r>
    </w:p>
    <w:p w14:paraId="08C57E1E">
      <w:pPr>
        <w:spacing w:line="360" w:lineRule="auto"/>
        <w:ind w:firstLine="118" w:firstLineChars="49"/>
        <w:rPr>
          <w:rFonts w:hint="eastAsia" w:ascii="宋体" w:hAnsi="宋体" w:cs="宋体"/>
          <w:b/>
          <w:bCs/>
          <w:sz w:val="24"/>
        </w:rPr>
      </w:pPr>
      <w:bookmarkStart w:id="0" w:name="_Toc464744381"/>
      <w:bookmarkStart w:id="1" w:name="_Toc464566023"/>
      <w:bookmarkStart w:id="2" w:name="_Toc464566055"/>
      <w:bookmarkStart w:id="3" w:name="_Toc464565991"/>
      <w:bookmarkStart w:id="4" w:name="_Toc465342055"/>
      <w:r>
        <w:rPr>
          <w:rFonts w:hint="eastAsia" w:ascii="宋体" w:hAnsi="宋体" w:cs="宋体"/>
          <w:b/>
          <w:bCs/>
          <w:sz w:val="24"/>
        </w:rPr>
        <w:t>一、项目概况</w:t>
      </w:r>
    </w:p>
    <w:p w14:paraId="18961FA1">
      <w:pPr>
        <w:bidi w:val="0"/>
        <w:spacing w:line="360" w:lineRule="auto"/>
        <w:ind w:firstLine="240" w:firstLineChars="1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）项目名称：山东大学饮食管理服务中心2025年食品级洗涤剂采购项目</w:t>
      </w:r>
    </w:p>
    <w:p w14:paraId="4C320C27">
      <w:pPr>
        <w:pStyle w:val="3"/>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本项目共分为1个包，供应商不得对采购清单内的货物拆分响应。</w:t>
      </w:r>
    </w:p>
    <w:tbl>
      <w:tblPr>
        <w:tblStyle w:val="5"/>
        <w:tblW w:w="46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83"/>
        <w:gridCol w:w="1059"/>
        <w:gridCol w:w="1753"/>
        <w:gridCol w:w="1888"/>
      </w:tblGrid>
      <w:tr w14:paraId="614C1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3529" w:type="dxa"/>
            <w:noWrap w:val="0"/>
            <w:vAlign w:val="center"/>
          </w:tcPr>
          <w:p w14:paraId="496A7317">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名称</w:t>
            </w:r>
          </w:p>
        </w:tc>
        <w:tc>
          <w:tcPr>
            <w:tcW w:w="1143" w:type="dxa"/>
            <w:noWrap w:val="0"/>
            <w:vAlign w:val="center"/>
          </w:tcPr>
          <w:p w14:paraId="795C03B5">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单位</w:t>
            </w:r>
          </w:p>
        </w:tc>
        <w:tc>
          <w:tcPr>
            <w:tcW w:w="1867" w:type="dxa"/>
            <w:noWrap w:val="0"/>
            <w:vAlign w:val="center"/>
          </w:tcPr>
          <w:p w14:paraId="033B882F">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数量</w:t>
            </w:r>
          </w:p>
          <w:p w14:paraId="653EC6F6">
            <w:pPr>
              <w:spacing w:line="360" w:lineRule="auto"/>
              <w:jc w:val="center"/>
              <w:rPr>
                <w:rFonts w:hint="eastAsia" w:ascii="宋体" w:hAnsi="宋体" w:eastAsia="宋体" w:cs="宋体"/>
                <w:bCs/>
                <w:sz w:val="24"/>
                <w:szCs w:val="24"/>
                <w:lang w:eastAsia="zh-CN"/>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斤</w:t>
            </w:r>
            <w:r>
              <w:rPr>
                <w:rFonts w:hint="eastAsia" w:ascii="宋体" w:hAnsi="宋体" w:eastAsia="宋体" w:cs="宋体"/>
                <w:bCs/>
                <w:sz w:val="24"/>
                <w:szCs w:val="24"/>
                <w:lang w:eastAsia="zh-CN"/>
              </w:rPr>
              <w:t>）</w:t>
            </w:r>
          </w:p>
        </w:tc>
        <w:tc>
          <w:tcPr>
            <w:tcW w:w="2053" w:type="dxa"/>
            <w:noWrap w:val="0"/>
            <w:vAlign w:val="center"/>
          </w:tcPr>
          <w:p w14:paraId="58978ED3">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预算金额</w:t>
            </w:r>
          </w:p>
          <w:p w14:paraId="24113654">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（万元）</w:t>
            </w:r>
          </w:p>
        </w:tc>
      </w:tr>
      <w:tr w14:paraId="3DC45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29" w:type="dxa"/>
            <w:noWrap w:val="0"/>
            <w:vAlign w:val="center"/>
          </w:tcPr>
          <w:p w14:paraId="23557528">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食品用洗涤剂（A类产品）</w:t>
            </w:r>
          </w:p>
        </w:tc>
        <w:tc>
          <w:tcPr>
            <w:tcW w:w="1143" w:type="dxa"/>
            <w:noWrap w:val="0"/>
            <w:vAlign w:val="center"/>
          </w:tcPr>
          <w:p w14:paraId="15EB52D0">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斤</w:t>
            </w:r>
          </w:p>
        </w:tc>
        <w:tc>
          <w:tcPr>
            <w:tcW w:w="1867" w:type="dxa"/>
            <w:noWrap w:val="0"/>
            <w:vAlign w:val="center"/>
          </w:tcPr>
          <w:p w14:paraId="38240016">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190000</w:t>
            </w:r>
          </w:p>
        </w:tc>
        <w:tc>
          <w:tcPr>
            <w:tcW w:w="2053" w:type="dxa"/>
            <w:noWrap w:val="0"/>
            <w:vAlign w:val="center"/>
          </w:tcPr>
          <w:p w14:paraId="08B4E488">
            <w:pPr>
              <w:spacing w:line="360" w:lineRule="auto"/>
              <w:jc w:val="center"/>
              <w:rPr>
                <w:rFonts w:hint="eastAsia" w:ascii="宋体" w:hAnsi="宋体" w:eastAsia="宋体" w:cs="宋体"/>
                <w:bCs/>
                <w:sz w:val="24"/>
                <w:szCs w:val="24"/>
                <w:highlight w:val="yellow"/>
                <w:lang w:val="en-US" w:eastAsia="zh-CN"/>
              </w:rPr>
            </w:pPr>
            <w:r>
              <w:rPr>
                <w:rFonts w:hint="eastAsia" w:ascii="宋体" w:hAnsi="宋体" w:eastAsia="宋体" w:cs="宋体"/>
                <w:bCs/>
                <w:sz w:val="24"/>
                <w:szCs w:val="24"/>
                <w:lang w:val="en-US" w:eastAsia="zh-CN"/>
              </w:rPr>
              <w:t>50</w:t>
            </w:r>
          </w:p>
        </w:tc>
      </w:tr>
    </w:tbl>
    <w:p w14:paraId="775A6117">
      <w:pPr>
        <w:numPr>
          <w:ilvl w:val="0"/>
          <w:numId w:val="0"/>
        </w:numPr>
        <w:adjustRightInd w:val="0"/>
        <w:snapToGrid w:val="0"/>
        <w:spacing w:line="360" w:lineRule="auto"/>
        <w:rPr>
          <w:rFonts w:hint="eastAsia" w:ascii="宋体" w:hAnsi="宋体" w:cs="宋体"/>
          <w:b w:val="0"/>
          <w:bCs w:val="0"/>
          <w:sz w:val="24"/>
          <w:lang w:eastAsia="zh-CN"/>
        </w:rPr>
      </w:pPr>
      <w:r>
        <w:rPr>
          <w:rFonts w:hint="eastAsia" w:ascii="宋体" w:hAnsi="宋体" w:cs="宋体"/>
          <w:b w:val="0"/>
          <w:bCs w:val="0"/>
          <w:sz w:val="24"/>
          <w:lang w:eastAsia="zh-CN"/>
        </w:rPr>
        <w:t>（</w:t>
      </w:r>
      <w:r>
        <w:rPr>
          <w:rFonts w:hint="eastAsia" w:ascii="宋体" w:hAnsi="宋体" w:cs="宋体"/>
          <w:b w:val="0"/>
          <w:bCs w:val="0"/>
          <w:sz w:val="24"/>
          <w:lang w:val="en-US" w:eastAsia="zh-CN"/>
        </w:rPr>
        <w:t>2</w:t>
      </w:r>
      <w:r>
        <w:rPr>
          <w:rFonts w:hint="eastAsia" w:ascii="宋体" w:hAnsi="宋体" w:cs="宋体"/>
          <w:b w:val="0"/>
          <w:bCs w:val="0"/>
          <w:sz w:val="24"/>
          <w:lang w:eastAsia="zh-CN"/>
        </w:rPr>
        <w:t>）货款支付</w:t>
      </w:r>
    </w:p>
    <w:p w14:paraId="3C26D5DE">
      <w:pPr>
        <w:numPr>
          <w:ilvl w:val="0"/>
          <w:numId w:val="0"/>
        </w:numPr>
        <w:adjustRightInd w:val="0"/>
        <w:snapToGrid w:val="0"/>
        <w:spacing w:line="360" w:lineRule="auto"/>
        <w:ind w:firstLine="480" w:firstLineChars="200"/>
        <w:rPr>
          <w:rFonts w:hint="eastAsia" w:ascii="宋体" w:hAnsi="宋体" w:cs="宋体"/>
          <w:b w:val="0"/>
          <w:bCs w:val="0"/>
          <w:sz w:val="24"/>
          <w:lang w:eastAsia="zh-CN"/>
        </w:rPr>
      </w:pPr>
      <w:r>
        <w:rPr>
          <w:rFonts w:hint="eastAsia" w:ascii="宋体" w:hAnsi="宋体" w:cs="宋体"/>
          <w:b w:val="0"/>
          <w:bCs w:val="0"/>
          <w:sz w:val="24"/>
          <w:lang w:eastAsia="zh-CN"/>
        </w:rPr>
        <w:t>支票或转账支付，不支付预付款</w:t>
      </w:r>
    </w:p>
    <w:p w14:paraId="7D83A239">
      <w:pPr>
        <w:numPr>
          <w:ilvl w:val="0"/>
          <w:numId w:val="0"/>
        </w:numPr>
        <w:adjustRightInd w:val="0"/>
        <w:snapToGrid w:val="0"/>
        <w:spacing w:line="360" w:lineRule="auto"/>
        <w:ind w:firstLine="480" w:firstLineChars="200"/>
        <w:rPr>
          <w:rFonts w:hint="eastAsia" w:ascii="宋体" w:hAnsi="宋体" w:cs="宋体"/>
          <w:b w:val="0"/>
          <w:bCs w:val="0"/>
          <w:sz w:val="24"/>
          <w:lang w:eastAsia="zh-CN"/>
        </w:rPr>
      </w:pPr>
      <w:r>
        <w:rPr>
          <w:rFonts w:hint="eastAsia" w:ascii="宋体" w:hAnsi="宋体" w:cs="宋体"/>
          <w:b w:val="0"/>
          <w:bCs w:val="0"/>
          <w:sz w:val="24"/>
          <w:lang w:eastAsia="zh-CN"/>
        </w:rPr>
        <w:t>采购协议生效后，每月25日之前以当月采购人入库凭证，结算当月费用（遇法定节假日和寒暑假顺延，账款最长支付期限不超过60天）</w:t>
      </w:r>
    </w:p>
    <w:p w14:paraId="699AF2AF">
      <w:pPr>
        <w:numPr>
          <w:ilvl w:val="0"/>
          <w:numId w:val="0"/>
        </w:numPr>
        <w:adjustRightInd w:val="0"/>
        <w:snapToGrid w:val="0"/>
        <w:spacing w:line="360" w:lineRule="auto"/>
        <w:ind w:firstLine="480" w:firstLineChars="200"/>
        <w:rPr>
          <w:rFonts w:hint="eastAsia" w:ascii="宋体" w:hAnsi="宋体" w:cs="宋体"/>
          <w:b w:val="0"/>
          <w:bCs w:val="0"/>
          <w:sz w:val="24"/>
          <w:lang w:eastAsia="zh-CN"/>
        </w:rPr>
      </w:pPr>
      <w:r>
        <w:rPr>
          <w:rFonts w:hint="eastAsia" w:ascii="宋体" w:hAnsi="宋体" w:cs="宋体"/>
          <w:b w:val="0"/>
          <w:bCs w:val="0"/>
          <w:sz w:val="24"/>
          <w:lang w:eastAsia="zh-CN"/>
        </w:rPr>
        <w:t>结算凭证：出具由供应商或授权负责本项目的特许经销商开具的正规发票，销货清单（加盖公章），采购人出具入库单，双方核对无误签字确认后作为结算凭证。</w:t>
      </w:r>
    </w:p>
    <w:p w14:paraId="7F927D28">
      <w:pPr>
        <w:numPr>
          <w:ilvl w:val="0"/>
          <w:numId w:val="0"/>
        </w:numPr>
        <w:adjustRightInd w:val="0"/>
        <w:snapToGrid w:val="0"/>
        <w:spacing w:line="360" w:lineRule="auto"/>
        <w:ind w:firstLine="482" w:firstLineChars="200"/>
        <w:rPr>
          <w:rFonts w:hint="eastAsia" w:ascii="宋体" w:hAnsi="宋体" w:cs="宋体"/>
          <w:b/>
          <w:bCs/>
          <w:sz w:val="24"/>
        </w:rPr>
      </w:pPr>
      <w:r>
        <w:rPr>
          <w:rFonts w:hint="eastAsia" w:ascii="宋体" w:hAnsi="宋体" w:cs="宋体"/>
          <w:b/>
          <w:bCs/>
          <w:sz w:val="24"/>
          <w:lang w:eastAsia="zh-CN"/>
        </w:rPr>
        <w:t>二、</w:t>
      </w:r>
      <w:r>
        <w:rPr>
          <w:rFonts w:hint="eastAsia" w:ascii="宋体" w:hAnsi="宋体" w:cs="宋体"/>
          <w:b/>
          <w:bCs/>
          <w:sz w:val="24"/>
        </w:rPr>
        <w:t>技术条款及商务条款响应要求（所有正响应指标均作为验收指标）</w:t>
      </w:r>
      <w:bookmarkEnd w:id="0"/>
      <w:bookmarkEnd w:id="1"/>
      <w:bookmarkEnd w:id="2"/>
      <w:bookmarkEnd w:id="3"/>
      <w:bookmarkEnd w:id="4"/>
      <w:r>
        <w:rPr>
          <w:rFonts w:hint="eastAsia" w:ascii="宋体" w:hAnsi="宋体" w:cs="宋体"/>
          <w:b/>
          <w:bCs/>
          <w:sz w:val="24"/>
        </w:rPr>
        <w:t>。</w:t>
      </w:r>
    </w:p>
    <w:p w14:paraId="709195B2">
      <w:pPr>
        <w:adjustRightInd w:val="0"/>
        <w:snapToGrid w:val="0"/>
        <w:spacing w:line="360" w:lineRule="auto"/>
        <w:jc w:val="center"/>
        <w:rPr>
          <w:b/>
          <w:sz w:val="32"/>
          <w:szCs w:val="32"/>
        </w:rPr>
      </w:pPr>
      <w:r>
        <w:rPr>
          <w:rFonts w:hint="eastAsia"/>
          <w:b/>
          <w:sz w:val="28"/>
          <w:szCs w:val="28"/>
        </w:rPr>
        <w:t>山东大学采购</w:t>
      </w:r>
      <w:r>
        <w:rPr>
          <w:b/>
          <w:sz w:val="28"/>
          <w:szCs w:val="28"/>
        </w:rPr>
        <w:t>技术条款响应一览表</w:t>
      </w:r>
    </w:p>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
        <w:gridCol w:w="2126"/>
        <w:gridCol w:w="5498"/>
      </w:tblGrid>
      <w:tr w14:paraId="484AE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527" w:type="pct"/>
            <w:noWrap w:val="0"/>
            <w:vAlign w:val="center"/>
          </w:tcPr>
          <w:p w14:paraId="77377DB9">
            <w:pPr>
              <w:jc w:val="center"/>
              <w:rPr>
                <w:rFonts w:hint="eastAsia" w:ascii="宋体" w:hAnsi="宋体" w:eastAsia="宋体" w:cs="宋体"/>
                <w:bCs/>
                <w:sz w:val="24"/>
                <w:szCs w:val="24"/>
              </w:rPr>
            </w:pPr>
            <w:bookmarkStart w:id="5" w:name="_Hlk74663131"/>
            <w:r>
              <w:rPr>
                <w:rFonts w:hint="eastAsia" w:ascii="宋体" w:hAnsi="宋体" w:eastAsia="宋体" w:cs="宋体"/>
                <w:bCs/>
                <w:sz w:val="24"/>
                <w:szCs w:val="24"/>
              </w:rPr>
              <w:t>序号</w:t>
            </w:r>
          </w:p>
        </w:tc>
        <w:tc>
          <w:tcPr>
            <w:tcW w:w="2339" w:type="dxa"/>
            <w:noWrap w:val="0"/>
            <w:vAlign w:val="center"/>
          </w:tcPr>
          <w:p w14:paraId="689EA287">
            <w:pPr>
              <w:jc w:val="center"/>
              <w:rPr>
                <w:rFonts w:hint="eastAsia" w:ascii="宋体" w:hAnsi="宋体" w:eastAsia="宋体" w:cs="宋体"/>
                <w:bCs/>
                <w:sz w:val="24"/>
                <w:szCs w:val="24"/>
              </w:rPr>
            </w:pPr>
            <w:r>
              <w:rPr>
                <w:rFonts w:hint="eastAsia" w:ascii="宋体" w:hAnsi="宋体" w:eastAsia="宋体" w:cs="宋体"/>
                <w:bCs/>
                <w:sz w:val="24"/>
                <w:szCs w:val="24"/>
              </w:rPr>
              <w:t>名称</w:t>
            </w:r>
          </w:p>
        </w:tc>
        <w:tc>
          <w:tcPr>
            <w:tcW w:w="5971" w:type="dxa"/>
            <w:noWrap w:val="0"/>
            <w:vAlign w:val="center"/>
          </w:tcPr>
          <w:p w14:paraId="19F99D31">
            <w:pPr>
              <w:jc w:val="center"/>
              <w:rPr>
                <w:rFonts w:hint="eastAsia" w:ascii="宋体" w:hAnsi="宋体" w:eastAsia="宋体" w:cs="宋体"/>
                <w:bCs/>
                <w:sz w:val="24"/>
                <w:szCs w:val="24"/>
              </w:rPr>
            </w:pPr>
            <w:r>
              <w:rPr>
                <w:rFonts w:hint="eastAsia" w:ascii="宋体" w:hAnsi="宋体" w:eastAsia="宋体" w:cs="宋体"/>
                <w:bCs/>
                <w:sz w:val="24"/>
                <w:szCs w:val="24"/>
              </w:rPr>
              <w:t>采购人要求</w:t>
            </w:r>
          </w:p>
        </w:tc>
      </w:tr>
      <w:tr w14:paraId="079EC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27" w:type="pct"/>
            <w:noWrap w:val="0"/>
            <w:vAlign w:val="center"/>
          </w:tcPr>
          <w:p w14:paraId="3E56FC61">
            <w:pPr>
              <w:jc w:val="center"/>
              <w:rPr>
                <w:rFonts w:hint="eastAsia" w:ascii="宋体" w:hAnsi="宋体" w:eastAsia="宋体" w:cs="宋体"/>
                <w:bCs/>
                <w:sz w:val="24"/>
                <w:szCs w:val="24"/>
              </w:rPr>
            </w:pPr>
            <w:r>
              <w:rPr>
                <w:rFonts w:hint="eastAsia" w:ascii="宋体" w:hAnsi="宋体" w:eastAsia="宋体" w:cs="宋体"/>
                <w:bCs/>
                <w:sz w:val="24"/>
                <w:szCs w:val="24"/>
              </w:rPr>
              <w:t>1</w:t>
            </w:r>
          </w:p>
        </w:tc>
        <w:tc>
          <w:tcPr>
            <w:tcW w:w="2339" w:type="dxa"/>
            <w:noWrap w:val="0"/>
            <w:vAlign w:val="center"/>
          </w:tcPr>
          <w:p w14:paraId="4E7E26B4">
            <w:pPr>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表面活性剂含量要求</w:t>
            </w:r>
          </w:p>
        </w:tc>
        <w:tc>
          <w:tcPr>
            <w:tcW w:w="5971" w:type="dxa"/>
            <w:noWrap w:val="0"/>
            <w:vAlign w:val="center"/>
          </w:tcPr>
          <w:p w14:paraId="7518C5B5">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直链烷基苯磺酸钠(LAS):含量要求在0.5~2.0克/千克；</w:t>
            </w:r>
          </w:p>
          <w:p w14:paraId="7D7D757F">
            <w:pPr>
              <w:jc w:val="left"/>
              <w:rPr>
                <w:rFonts w:hint="eastAsia" w:ascii="宋体" w:hAnsi="宋体" w:eastAsia="宋体" w:cs="宋体"/>
                <w:bCs/>
                <w:sz w:val="24"/>
                <w:szCs w:val="24"/>
              </w:rPr>
            </w:pPr>
            <w:r>
              <w:rPr>
                <w:rFonts w:hint="eastAsia" w:ascii="宋体" w:hAnsi="宋体" w:eastAsia="宋体" w:cs="宋体"/>
                <w:sz w:val="24"/>
                <w:szCs w:val="24"/>
                <w:lang w:val="en-US" w:eastAsia="zh-CN"/>
              </w:rPr>
              <w:t>直链脂肪醇聚氧乙烯醚硫酸钠(AES):含量要求在1.7~5.0克/千克。</w:t>
            </w:r>
          </w:p>
        </w:tc>
      </w:tr>
      <w:tr w14:paraId="53D5F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27" w:type="pct"/>
            <w:noWrap w:val="0"/>
            <w:vAlign w:val="center"/>
          </w:tcPr>
          <w:p w14:paraId="67D420E9">
            <w:pPr>
              <w:jc w:val="center"/>
              <w:rPr>
                <w:rFonts w:hint="eastAsia" w:ascii="宋体" w:hAnsi="宋体" w:eastAsia="宋体" w:cs="宋体"/>
                <w:bCs/>
                <w:sz w:val="24"/>
                <w:szCs w:val="24"/>
              </w:rPr>
            </w:pPr>
            <w:r>
              <w:rPr>
                <w:rFonts w:hint="eastAsia" w:ascii="宋体" w:hAnsi="宋体" w:eastAsia="宋体" w:cs="宋体"/>
                <w:bCs/>
                <w:sz w:val="24"/>
                <w:szCs w:val="24"/>
              </w:rPr>
              <w:t>2</w:t>
            </w:r>
          </w:p>
        </w:tc>
        <w:tc>
          <w:tcPr>
            <w:tcW w:w="2339" w:type="dxa"/>
            <w:noWrap w:val="0"/>
            <w:vAlign w:val="center"/>
          </w:tcPr>
          <w:p w14:paraId="4C847635">
            <w:pPr>
              <w:jc w:val="center"/>
              <w:rPr>
                <w:rFonts w:hint="eastAsia" w:ascii="宋体" w:hAnsi="宋体" w:eastAsia="宋体" w:cs="宋体"/>
                <w:bCs/>
                <w:sz w:val="24"/>
                <w:szCs w:val="24"/>
              </w:rPr>
            </w:pPr>
            <w:r>
              <w:rPr>
                <w:rFonts w:hint="eastAsia" w:ascii="宋体" w:hAnsi="宋体" w:eastAsia="宋体" w:cs="宋体"/>
                <w:bCs/>
                <w:sz w:val="24"/>
                <w:szCs w:val="24"/>
              </w:rPr>
              <w:t>执行标准</w:t>
            </w:r>
          </w:p>
        </w:tc>
        <w:tc>
          <w:tcPr>
            <w:tcW w:w="5971" w:type="dxa"/>
            <w:noWrap w:val="0"/>
            <w:vAlign w:val="center"/>
          </w:tcPr>
          <w:p w14:paraId="12AE8B65">
            <w:pPr>
              <w:jc w:val="left"/>
              <w:rPr>
                <w:rFonts w:hint="eastAsia" w:ascii="宋体" w:hAnsi="宋体" w:eastAsia="宋体" w:cs="宋体"/>
                <w:bCs/>
                <w:sz w:val="24"/>
                <w:szCs w:val="24"/>
              </w:rPr>
            </w:pPr>
            <w:r>
              <w:rPr>
                <w:rFonts w:hint="eastAsia" w:ascii="宋体" w:hAnsi="宋体" w:eastAsia="宋体" w:cs="宋体"/>
                <w:bCs/>
                <w:sz w:val="24"/>
                <w:szCs w:val="24"/>
              </w:rPr>
              <w:t>1.GB14930.1《食品安全国家标准洗涤剂》</w:t>
            </w:r>
          </w:p>
          <w:p w14:paraId="7FC7EEC7">
            <w:pPr>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.洗涤剂所用原料应符合</w:t>
            </w:r>
            <w:r>
              <w:rPr>
                <w:rFonts w:hint="eastAsia" w:ascii="宋体" w:hAnsi="宋体" w:eastAsia="宋体" w:cs="宋体"/>
                <w:bCs/>
                <w:sz w:val="24"/>
                <w:szCs w:val="24"/>
              </w:rPr>
              <w:t>GB14930.1《食品安全国家标准洗涤剂》</w:t>
            </w:r>
            <w:r>
              <w:rPr>
                <w:rFonts w:hint="eastAsia" w:ascii="宋体" w:hAnsi="宋体" w:eastAsia="宋体" w:cs="宋体"/>
                <w:bCs/>
                <w:sz w:val="24"/>
                <w:szCs w:val="24"/>
                <w:lang w:val="en-US" w:eastAsia="zh-CN"/>
              </w:rPr>
              <w:t>中A类产品的</w:t>
            </w:r>
            <w:r>
              <w:rPr>
                <w:rFonts w:hint="eastAsia" w:ascii="宋体" w:hAnsi="宋体" w:eastAsia="宋体" w:cs="宋体"/>
                <w:sz w:val="24"/>
                <w:szCs w:val="24"/>
              </w:rPr>
              <w:t>要求，不得添加禁用物质。</w:t>
            </w:r>
          </w:p>
          <w:p w14:paraId="6A244A4E">
            <w:pPr>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.洗涤剂最小包装净含量，应符合JJF1070《定量包装商品净含量计量检验规则》要求</w:t>
            </w:r>
            <w:r>
              <w:rPr>
                <w:rFonts w:hint="eastAsia" w:ascii="宋体" w:hAnsi="宋体" w:eastAsia="宋体" w:cs="宋体"/>
                <w:sz w:val="24"/>
                <w:szCs w:val="24"/>
                <w:lang w:val="en-US" w:eastAsia="zh-CN"/>
              </w:rPr>
              <w:t>和国家市场监督管理总局第70号令《定量包装商品计量监督管理办法》</w:t>
            </w:r>
            <w:r>
              <w:rPr>
                <w:rFonts w:hint="eastAsia" w:ascii="宋体" w:hAnsi="宋体" w:eastAsia="宋体" w:cs="宋体"/>
                <w:sz w:val="24"/>
                <w:szCs w:val="24"/>
              </w:rPr>
              <w:t>。</w:t>
            </w:r>
          </w:p>
          <w:p w14:paraId="529B6450">
            <w:pPr>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.洗涤剂</w:t>
            </w:r>
            <w:r>
              <w:rPr>
                <w:rFonts w:hint="eastAsia" w:ascii="宋体" w:hAnsi="宋体" w:eastAsia="宋体" w:cs="宋体"/>
                <w:sz w:val="24"/>
                <w:szCs w:val="24"/>
                <w:lang w:val="en-US" w:eastAsia="zh-CN"/>
              </w:rPr>
              <w:t>产品标示和包装</w:t>
            </w:r>
            <w:r>
              <w:rPr>
                <w:rFonts w:hint="eastAsia" w:ascii="宋体" w:hAnsi="宋体" w:eastAsia="宋体" w:cs="宋体"/>
                <w:sz w:val="24"/>
                <w:szCs w:val="24"/>
              </w:rPr>
              <w:t>，应符合</w:t>
            </w:r>
            <w:r>
              <w:rPr>
                <w:rFonts w:hint="eastAsia" w:ascii="宋体" w:hAnsi="宋体" w:eastAsia="宋体" w:cs="宋体"/>
                <w:sz w:val="24"/>
                <w:szCs w:val="24"/>
                <w:lang w:val="en-US" w:eastAsia="zh-CN"/>
              </w:rPr>
              <w:t>GB4806.1《食品安全国家标准食品接触材料及制品通用安全要求》;GB4806.7《食品安全国家标准食品接触用塑料材料及制品》；GB4806.9《食品安全国家标准食品接触用金属材料及制品》；</w:t>
            </w:r>
            <w:r>
              <w:rPr>
                <w:rFonts w:hint="eastAsia" w:ascii="宋体" w:hAnsi="宋体" w:eastAsia="宋体" w:cs="宋体"/>
                <w:sz w:val="24"/>
                <w:szCs w:val="24"/>
              </w:rPr>
              <w:t>GB/T</w:t>
            </w:r>
            <w:r>
              <w:rPr>
                <w:rFonts w:hint="eastAsia" w:ascii="宋体" w:hAnsi="宋体" w:eastAsia="宋体" w:cs="宋体"/>
                <w:sz w:val="24"/>
                <w:szCs w:val="24"/>
                <w:lang w:val="en-US" w:eastAsia="zh-CN"/>
              </w:rPr>
              <w:t>36970</w:t>
            </w:r>
            <w:r>
              <w:rPr>
                <w:rFonts w:hint="eastAsia" w:ascii="宋体" w:hAnsi="宋体" w:eastAsia="宋体" w:cs="宋体"/>
                <w:sz w:val="24"/>
                <w:szCs w:val="24"/>
              </w:rPr>
              <w:t>《</w:t>
            </w:r>
            <w:r>
              <w:rPr>
                <w:rFonts w:hint="eastAsia" w:ascii="宋体" w:hAnsi="宋体" w:eastAsia="宋体" w:cs="宋体"/>
                <w:sz w:val="24"/>
                <w:szCs w:val="24"/>
                <w:lang w:val="en-US" w:eastAsia="zh-CN"/>
              </w:rPr>
              <w:t>消费品使用说明洗涤用品标签</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QBT2952《洗涤用品标示和包装要求》</w:t>
            </w:r>
            <w:r>
              <w:rPr>
                <w:rFonts w:hint="eastAsia" w:ascii="宋体" w:hAnsi="宋体" w:eastAsia="宋体" w:cs="宋体"/>
                <w:sz w:val="24"/>
                <w:szCs w:val="24"/>
              </w:rPr>
              <w:t>要求。</w:t>
            </w:r>
          </w:p>
          <w:p w14:paraId="69E587D2">
            <w:pPr>
              <w:jc w:val="left"/>
              <w:rPr>
                <w:rFonts w:hint="eastAsia" w:ascii="宋体" w:hAnsi="宋体" w:eastAsia="宋体" w:cs="宋体"/>
                <w:bCs/>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.洗涤剂型式（或委托）检验、出厂检验项目，应符合其执行标准感官、理化、生物等检验要求</w:t>
            </w:r>
            <w:r>
              <w:rPr>
                <w:rFonts w:hint="eastAsia" w:ascii="宋体" w:hAnsi="宋体" w:eastAsia="宋体" w:cs="宋体"/>
                <w:color w:val="FF0000"/>
                <w:sz w:val="24"/>
                <w:szCs w:val="24"/>
              </w:rPr>
              <w:t>。</w:t>
            </w:r>
          </w:p>
        </w:tc>
      </w:tr>
      <w:bookmarkEnd w:id="5"/>
    </w:tbl>
    <w:p w14:paraId="09C504C2">
      <w:pPr>
        <w:ind w:firstLine="480"/>
        <w:jc w:val="left"/>
        <w:rPr>
          <w:rFonts w:hint="eastAsia" w:ascii="宋体" w:hAnsi="宋体" w:eastAsia="宋体" w:cs="宋体"/>
          <w:sz w:val="24"/>
          <w:szCs w:val="24"/>
        </w:rPr>
      </w:pPr>
      <w:r>
        <w:rPr>
          <w:rFonts w:hint="eastAsia" w:ascii="宋体" w:hAnsi="宋体" w:eastAsia="宋体" w:cs="宋体"/>
          <w:sz w:val="24"/>
          <w:szCs w:val="24"/>
        </w:rPr>
        <w:t>1.表中相应的标准如有更新，按照最新修订的现行标准执行；表中未列出的产品也需达到相应的国家标准和行业标准，不再一一列举；表中理化及生物指标包括但不限于列出的项目，如有更新，按照最新修订的现行标准和国家市场监督管理部门抽检标准执行。</w:t>
      </w:r>
    </w:p>
    <w:p w14:paraId="1B3CB1E0">
      <w:pPr>
        <w:ind w:firstLine="480"/>
        <w:jc w:val="left"/>
        <w:rPr>
          <w:rFonts w:hint="eastAsia" w:ascii="宋体" w:hAnsi="宋体" w:eastAsia="宋体" w:cs="宋体"/>
          <w:sz w:val="24"/>
          <w:szCs w:val="24"/>
        </w:rPr>
      </w:pPr>
      <w:r>
        <w:rPr>
          <w:rFonts w:hint="eastAsia" w:ascii="宋体" w:hAnsi="宋体" w:eastAsia="宋体" w:cs="宋体"/>
          <w:sz w:val="24"/>
          <w:szCs w:val="24"/>
        </w:rPr>
        <w:t>2.每种明细产品必须标明品种、规格、等级、生产厂家等内容。</w:t>
      </w:r>
    </w:p>
    <w:p w14:paraId="39A34732">
      <w:pPr>
        <w:ind w:firstLine="480"/>
        <w:jc w:val="left"/>
        <w:rPr>
          <w:rFonts w:hint="eastAsia" w:ascii="宋体" w:hAnsi="宋体" w:eastAsia="宋体" w:cs="宋体"/>
          <w:sz w:val="24"/>
          <w:szCs w:val="24"/>
        </w:rPr>
      </w:pPr>
      <w:r>
        <w:rPr>
          <w:rFonts w:hint="eastAsia" w:ascii="宋体" w:hAnsi="宋体" w:eastAsia="宋体" w:cs="宋体"/>
          <w:sz w:val="24"/>
          <w:szCs w:val="24"/>
        </w:rPr>
        <w:t>3.所有产品必须符合产品明示的其他标准和质量要求，以及相关的法律法规、部门规章和规定。</w:t>
      </w:r>
    </w:p>
    <w:p w14:paraId="429056F5">
      <w:pPr>
        <w:spacing w:line="360" w:lineRule="auto"/>
        <w:jc w:val="center"/>
        <w:rPr>
          <w:rFonts w:hint="eastAsia" w:ascii="宋体" w:hAnsi="宋体"/>
          <w:b/>
          <w:bCs/>
          <w:sz w:val="32"/>
          <w:szCs w:val="40"/>
        </w:rPr>
      </w:pPr>
      <w:r>
        <w:rPr>
          <w:rFonts w:hint="eastAsia" w:ascii="宋体" w:hAnsi="宋体"/>
          <w:b/>
          <w:bCs/>
          <w:sz w:val="32"/>
          <w:szCs w:val="40"/>
        </w:rPr>
        <w:br w:type="page"/>
      </w:r>
      <w:r>
        <w:rPr>
          <w:rFonts w:hint="eastAsia" w:ascii="宋体" w:hAnsi="宋体"/>
          <w:b/>
          <w:bCs/>
          <w:sz w:val="32"/>
          <w:szCs w:val="40"/>
        </w:rPr>
        <w:t>山东大学采购商务条款响应一览表</w:t>
      </w:r>
    </w:p>
    <w:tbl>
      <w:tblPr>
        <w:tblStyle w:val="4"/>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72"/>
        <w:gridCol w:w="2055"/>
        <w:gridCol w:w="5492"/>
      </w:tblGrid>
      <w:tr w14:paraId="60D29B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 w:hRule="atLeast"/>
          <w:jc w:val="center"/>
        </w:trPr>
        <w:tc>
          <w:tcPr>
            <w:tcW w:w="1031" w:type="dxa"/>
            <w:tcBorders>
              <w:top w:val="single" w:color="auto" w:sz="4" w:space="0"/>
              <w:left w:val="single" w:color="auto" w:sz="4" w:space="0"/>
              <w:bottom w:val="single" w:color="auto" w:sz="4" w:space="0"/>
              <w:right w:val="single" w:color="auto" w:sz="4" w:space="0"/>
            </w:tcBorders>
            <w:noWrap w:val="0"/>
            <w:vAlign w:val="top"/>
          </w:tcPr>
          <w:p w14:paraId="5F32CAF7">
            <w:pPr>
              <w:spacing w:line="276" w:lineRule="auto"/>
              <w:jc w:val="center"/>
              <w:rPr>
                <w:rFonts w:hint="eastAsia" w:ascii="宋体" w:hAnsi="宋体" w:eastAsia="宋体" w:cs="宋体"/>
                <w:b/>
                <w:bCs/>
                <w:sz w:val="24"/>
                <w:szCs w:val="24"/>
              </w:rPr>
            </w:pPr>
            <w:r>
              <w:rPr>
                <w:rFonts w:hint="eastAsia" w:ascii="宋体" w:hAnsi="宋体" w:eastAsia="宋体" w:cs="宋体"/>
                <w:b/>
                <w:sz w:val="24"/>
              </w:rPr>
              <w:t>序号</w:t>
            </w:r>
          </w:p>
        </w:tc>
        <w:tc>
          <w:tcPr>
            <w:tcW w:w="2235" w:type="dxa"/>
            <w:tcBorders>
              <w:top w:val="single" w:color="auto" w:sz="4" w:space="0"/>
              <w:left w:val="single" w:color="auto" w:sz="4" w:space="0"/>
              <w:bottom w:val="single" w:color="auto" w:sz="4" w:space="0"/>
              <w:right w:val="single" w:color="auto" w:sz="4" w:space="0"/>
            </w:tcBorders>
            <w:noWrap w:val="0"/>
            <w:vAlign w:val="top"/>
          </w:tcPr>
          <w:p w14:paraId="60EFFF06">
            <w:pPr>
              <w:spacing w:line="276" w:lineRule="auto"/>
              <w:jc w:val="center"/>
              <w:rPr>
                <w:rFonts w:hint="eastAsia" w:ascii="宋体" w:hAnsi="宋体" w:eastAsia="宋体" w:cs="宋体"/>
                <w:b/>
                <w:bCs/>
                <w:sz w:val="24"/>
                <w:szCs w:val="24"/>
              </w:rPr>
            </w:pPr>
            <w:r>
              <w:rPr>
                <w:rFonts w:hint="eastAsia" w:ascii="宋体" w:hAnsi="宋体" w:eastAsia="宋体" w:cs="宋体"/>
                <w:b/>
                <w:sz w:val="24"/>
              </w:rPr>
              <w:t>名称</w:t>
            </w:r>
          </w:p>
        </w:tc>
        <w:tc>
          <w:tcPr>
            <w:tcW w:w="6019" w:type="dxa"/>
            <w:tcBorders>
              <w:top w:val="single" w:color="auto" w:sz="4" w:space="0"/>
              <w:left w:val="single" w:color="auto" w:sz="4" w:space="0"/>
              <w:bottom w:val="single" w:color="auto" w:sz="4" w:space="0"/>
              <w:right w:val="single" w:color="auto" w:sz="4" w:space="0"/>
            </w:tcBorders>
            <w:noWrap w:val="0"/>
            <w:vAlign w:val="top"/>
          </w:tcPr>
          <w:p w14:paraId="2756B831">
            <w:pPr>
              <w:spacing w:line="276" w:lineRule="auto"/>
              <w:jc w:val="center"/>
              <w:rPr>
                <w:rFonts w:hint="eastAsia" w:ascii="宋体" w:hAnsi="宋体" w:eastAsia="宋体" w:cs="宋体"/>
                <w:b/>
                <w:bCs/>
                <w:sz w:val="24"/>
                <w:szCs w:val="24"/>
              </w:rPr>
            </w:pPr>
            <w:r>
              <w:rPr>
                <w:rFonts w:hint="eastAsia" w:ascii="宋体" w:hAnsi="宋体" w:eastAsia="宋体" w:cs="宋体"/>
                <w:b/>
                <w:sz w:val="24"/>
              </w:rPr>
              <w:t>采购人要求</w:t>
            </w:r>
          </w:p>
        </w:tc>
      </w:tr>
      <w:tr w14:paraId="7A79C7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31" w:type="dxa"/>
            <w:tcBorders>
              <w:top w:val="single" w:color="auto" w:sz="4" w:space="0"/>
              <w:left w:val="single" w:color="auto" w:sz="4" w:space="0"/>
              <w:bottom w:val="single" w:color="auto" w:sz="4" w:space="0"/>
              <w:right w:val="single" w:color="auto" w:sz="4" w:space="0"/>
            </w:tcBorders>
            <w:noWrap w:val="0"/>
            <w:vAlign w:val="center"/>
          </w:tcPr>
          <w:p w14:paraId="76A3636D">
            <w:pPr>
              <w:spacing w:line="276" w:lineRule="auto"/>
              <w:jc w:val="center"/>
              <w:rPr>
                <w:rFonts w:hint="eastAsia" w:ascii="宋体" w:hAnsi="宋体" w:eastAsia="宋体" w:cs="宋体"/>
                <w:b/>
                <w:bCs/>
                <w:color w:val="000000"/>
                <w:sz w:val="24"/>
                <w:szCs w:val="24"/>
              </w:rPr>
            </w:pPr>
            <w:r>
              <w:rPr>
                <w:rFonts w:hint="eastAsia" w:ascii="宋体" w:hAnsi="宋体" w:eastAsia="宋体" w:cs="宋体"/>
                <w:sz w:val="24"/>
              </w:rPr>
              <w:t>1</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2AB4D235">
            <w:pPr>
              <w:spacing w:line="276" w:lineRule="auto"/>
              <w:jc w:val="center"/>
              <w:rPr>
                <w:rFonts w:hint="eastAsia" w:ascii="宋体" w:hAnsi="宋体" w:eastAsia="宋体" w:cs="宋体"/>
                <w:color w:val="000000"/>
                <w:sz w:val="24"/>
                <w:szCs w:val="24"/>
              </w:rPr>
            </w:pPr>
            <w:r>
              <w:rPr>
                <w:rFonts w:hint="eastAsia" w:ascii="宋体" w:hAnsi="宋体" w:eastAsia="宋体" w:cs="宋体"/>
                <w:sz w:val="24"/>
              </w:rPr>
              <w:t>报价要求</w:t>
            </w:r>
          </w:p>
        </w:tc>
        <w:tc>
          <w:tcPr>
            <w:tcW w:w="6019" w:type="dxa"/>
            <w:tcBorders>
              <w:top w:val="single" w:color="auto" w:sz="4" w:space="0"/>
              <w:left w:val="single" w:color="auto" w:sz="4" w:space="0"/>
              <w:bottom w:val="single" w:color="auto" w:sz="4" w:space="0"/>
              <w:right w:val="single" w:color="auto" w:sz="4" w:space="0"/>
            </w:tcBorders>
            <w:noWrap w:val="0"/>
            <w:vAlign w:val="center"/>
          </w:tcPr>
          <w:p w14:paraId="0DB6BF82">
            <w:pPr>
              <w:spacing w:line="276" w:lineRule="auto"/>
              <w:rPr>
                <w:rFonts w:hint="eastAsia" w:ascii="宋体" w:hAnsi="宋体" w:eastAsia="宋体" w:cs="宋体"/>
                <w:color w:val="000000"/>
                <w:sz w:val="24"/>
                <w:szCs w:val="24"/>
              </w:rPr>
            </w:pPr>
            <w:r>
              <w:rPr>
                <w:rFonts w:hint="eastAsia" w:ascii="宋体" w:hAnsi="宋体" w:eastAsia="宋体" w:cs="宋体"/>
                <w:sz w:val="24"/>
                <w:szCs w:val="28"/>
              </w:rPr>
              <w:t>投标人的报价单价价格中应包含税费、成本、利润、运输、装卸、存储和各类人工成本、检测、保险费及</w:t>
            </w:r>
            <w:r>
              <w:rPr>
                <w:rFonts w:hint="eastAsia" w:ascii="宋体" w:hAnsi="宋体" w:eastAsia="宋体" w:cs="宋体"/>
                <w:sz w:val="24"/>
                <w:szCs w:val="28"/>
                <w:lang w:eastAsia="zh-CN"/>
              </w:rPr>
              <w:t>参考竞争性磋商文件</w:t>
            </w:r>
            <w:r>
              <w:rPr>
                <w:rFonts w:hint="eastAsia" w:ascii="宋体" w:hAnsi="宋体" w:eastAsia="宋体" w:cs="宋体"/>
                <w:sz w:val="24"/>
                <w:szCs w:val="28"/>
              </w:rPr>
              <w:t>技术和商务条款所列所有内容及相关服务等完成本次项目的所有费用，且报价为含税价。</w:t>
            </w:r>
          </w:p>
        </w:tc>
      </w:tr>
      <w:tr w14:paraId="6B5520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031" w:type="dxa"/>
            <w:tcBorders>
              <w:top w:val="single" w:color="auto" w:sz="4" w:space="0"/>
              <w:left w:val="single" w:color="auto" w:sz="4" w:space="0"/>
              <w:bottom w:val="single" w:color="auto" w:sz="4" w:space="0"/>
              <w:right w:val="single" w:color="auto" w:sz="4" w:space="0"/>
            </w:tcBorders>
            <w:noWrap w:val="0"/>
            <w:vAlign w:val="center"/>
          </w:tcPr>
          <w:p w14:paraId="12C288F1">
            <w:pPr>
              <w:spacing w:line="276" w:lineRule="auto"/>
              <w:jc w:val="center"/>
              <w:rPr>
                <w:rFonts w:hint="eastAsia" w:ascii="宋体" w:hAnsi="宋体" w:eastAsia="宋体" w:cs="宋体"/>
                <w:b/>
                <w:bCs/>
                <w:color w:val="000000"/>
                <w:sz w:val="24"/>
                <w:szCs w:val="24"/>
              </w:rPr>
            </w:pPr>
            <w:r>
              <w:rPr>
                <w:rFonts w:hint="eastAsia" w:ascii="宋体" w:hAnsi="宋体" w:eastAsia="宋体" w:cs="宋体"/>
                <w:sz w:val="24"/>
              </w:rPr>
              <w:t>2</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0416F739">
            <w:pPr>
              <w:spacing w:line="276" w:lineRule="auto"/>
              <w:jc w:val="center"/>
              <w:rPr>
                <w:rFonts w:hint="eastAsia" w:ascii="宋体" w:hAnsi="宋体" w:eastAsia="宋体" w:cs="宋体"/>
                <w:color w:val="000000"/>
                <w:sz w:val="24"/>
                <w:szCs w:val="24"/>
              </w:rPr>
            </w:pPr>
            <w:r>
              <w:rPr>
                <w:rFonts w:hint="eastAsia" w:ascii="宋体" w:hAnsi="宋体" w:eastAsia="宋体" w:cs="宋体"/>
                <w:sz w:val="24"/>
              </w:rPr>
              <w:t>交货时限要求</w:t>
            </w:r>
          </w:p>
        </w:tc>
        <w:tc>
          <w:tcPr>
            <w:tcW w:w="6019" w:type="dxa"/>
            <w:tcBorders>
              <w:top w:val="single" w:color="auto" w:sz="4" w:space="0"/>
              <w:left w:val="single" w:color="auto" w:sz="4" w:space="0"/>
              <w:bottom w:val="single" w:color="auto" w:sz="4" w:space="0"/>
              <w:right w:val="single" w:color="auto" w:sz="4" w:space="0"/>
            </w:tcBorders>
            <w:noWrap w:val="0"/>
            <w:vAlign w:val="center"/>
          </w:tcPr>
          <w:p w14:paraId="56933961">
            <w:pPr>
              <w:spacing w:line="276" w:lineRule="auto"/>
              <w:rPr>
                <w:rFonts w:hint="eastAsia" w:ascii="宋体" w:hAnsi="宋体" w:eastAsia="宋体" w:cs="宋体"/>
                <w:b/>
                <w:bCs/>
                <w:color w:val="000000"/>
                <w:sz w:val="24"/>
                <w:szCs w:val="24"/>
              </w:rPr>
            </w:pPr>
            <w:r>
              <w:rPr>
                <w:rFonts w:hint="eastAsia" w:ascii="宋体" w:hAnsi="宋体" w:eastAsia="宋体" w:cs="宋体"/>
                <w:sz w:val="24"/>
              </w:rPr>
              <w:t>本项目为分批次供货，供应商在接到采购人订单后24小时内配送到位。</w:t>
            </w:r>
          </w:p>
        </w:tc>
      </w:tr>
      <w:tr w14:paraId="4AFD97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atLeast"/>
          <w:jc w:val="center"/>
        </w:trPr>
        <w:tc>
          <w:tcPr>
            <w:tcW w:w="1031" w:type="dxa"/>
            <w:tcBorders>
              <w:top w:val="single" w:color="auto" w:sz="4" w:space="0"/>
              <w:left w:val="single" w:color="auto" w:sz="4" w:space="0"/>
              <w:bottom w:val="single" w:color="auto" w:sz="4" w:space="0"/>
              <w:right w:val="single" w:color="auto" w:sz="4" w:space="0"/>
            </w:tcBorders>
            <w:noWrap w:val="0"/>
            <w:vAlign w:val="center"/>
          </w:tcPr>
          <w:p w14:paraId="049C4CA9">
            <w:pPr>
              <w:spacing w:line="276" w:lineRule="auto"/>
              <w:jc w:val="center"/>
              <w:rPr>
                <w:rFonts w:hint="eastAsia" w:ascii="宋体" w:hAnsi="宋体" w:eastAsia="宋体" w:cs="宋体"/>
                <w:b/>
                <w:bCs/>
                <w:color w:val="000000"/>
                <w:sz w:val="24"/>
                <w:szCs w:val="24"/>
              </w:rPr>
            </w:pPr>
            <w:r>
              <w:rPr>
                <w:rFonts w:hint="eastAsia" w:ascii="宋体" w:hAnsi="宋体" w:eastAsia="宋体" w:cs="宋体"/>
                <w:sz w:val="24"/>
              </w:rPr>
              <w:t>3</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4300DED9">
            <w:pPr>
              <w:spacing w:line="276" w:lineRule="auto"/>
              <w:jc w:val="center"/>
              <w:rPr>
                <w:rFonts w:hint="eastAsia" w:ascii="宋体" w:hAnsi="宋体" w:eastAsia="宋体" w:cs="宋体"/>
                <w:color w:val="000000"/>
                <w:sz w:val="24"/>
                <w:szCs w:val="24"/>
              </w:rPr>
            </w:pPr>
            <w:r>
              <w:rPr>
                <w:rFonts w:hint="eastAsia" w:ascii="宋体" w:hAnsi="宋体" w:eastAsia="宋体" w:cs="宋体"/>
                <w:sz w:val="24"/>
              </w:rPr>
              <w:t>包装运输要求</w:t>
            </w:r>
          </w:p>
        </w:tc>
        <w:tc>
          <w:tcPr>
            <w:tcW w:w="6019" w:type="dxa"/>
            <w:tcBorders>
              <w:top w:val="single" w:color="auto" w:sz="4" w:space="0"/>
              <w:left w:val="single" w:color="auto" w:sz="4" w:space="0"/>
              <w:bottom w:val="single" w:color="auto" w:sz="4" w:space="0"/>
              <w:right w:val="single" w:color="auto" w:sz="4" w:space="0"/>
            </w:tcBorders>
            <w:noWrap w:val="0"/>
            <w:vAlign w:val="center"/>
          </w:tcPr>
          <w:p w14:paraId="37E0E978">
            <w:pPr>
              <w:spacing w:line="276" w:lineRule="auto"/>
              <w:rPr>
                <w:rFonts w:hint="eastAsia" w:ascii="宋体" w:hAnsi="宋体" w:eastAsia="宋体" w:cs="宋体"/>
                <w:sz w:val="24"/>
              </w:rPr>
            </w:pPr>
            <w:r>
              <w:rPr>
                <w:rFonts w:hint="eastAsia" w:ascii="宋体" w:hAnsi="宋体" w:eastAsia="宋体" w:cs="宋体"/>
                <w:sz w:val="24"/>
              </w:rPr>
              <w:t>（1）运输中需有遮盖物,防止日晒、雨淋、渗漏、污染和标签脱落。不得与有害、有毒、有异常气味的物品一同运输。</w:t>
            </w:r>
          </w:p>
          <w:p w14:paraId="665D211D">
            <w:pPr>
              <w:spacing w:line="276" w:lineRule="auto"/>
              <w:rPr>
                <w:rFonts w:hint="eastAsia" w:ascii="宋体" w:hAnsi="宋体" w:eastAsia="宋体" w:cs="宋体"/>
                <w:sz w:val="24"/>
                <w:szCs w:val="24"/>
              </w:rPr>
            </w:pPr>
            <w:r>
              <w:rPr>
                <w:rFonts w:hint="eastAsia" w:ascii="宋体" w:hAnsi="宋体" w:eastAsia="宋体" w:cs="宋体"/>
                <w:sz w:val="24"/>
              </w:rPr>
              <w:t>（2）进入校园后，供应商需严格遵守山东大学相关道路安全规定，限速行驶，如有违反，发生交通事故，供应商自行承担全部经济责任和法律责任。</w:t>
            </w:r>
          </w:p>
        </w:tc>
      </w:tr>
      <w:tr w14:paraId="0A3B51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jc w:val="center"/>
        </w:trPr>
        <w:tc>
          <w:tcPr>
            <w:tcW w:w="1031" w:type="dxa"/>
            <w:tcBorders>
              <w:top w:val="single" w:color="auto" w:sz="4" w:space="0"/>
              <w:left w:val="single" w:color="auto" w:sz="4" w:space="0"/>
              <w:bottom w:val="single" w:color="auto" w:sz="4" w:space="0"/>
              <w:right w:val="single" w:color="auto" w:sz="4" w:space="0"/>
            </w:tcBorders>
            <w:noWrap w:val="0"/>
            <w:vAlign w:val="center"/>
          </w:tcPr>
          <w:p w14:paraId="477F17B5">
            <w:pPr>
              <w:spacing w:line="276" w:lineRule="auto"/>
              <w:jc w:val="center"/>
              <w:rPr>
                <w:rFonts w:hint="eastAsia" w:ascii="宋体" w:hAnsi="宋体" w:eastAsia="宋体" w:cs="宋体"/>
                <w:b/>
                <w:bCs/>
                <w:color w:val="000000"/>
                <w:sz w:val="24"/>
                <w:szCs w:val="24"/>
              </w:rPr>
            </w:pPr>
            <w:r>
              <w:rPr>
                <w:rFonts w:hint="eastAsia" w:ascii="宋体" w:hAnsi="宋体" w:eastAsia="宋体" w:cs="宋体"/>
                <w:sz w:val="24"/>
              </w:rPr>
              <w:t>4</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7CD7CE34">
            <w:pPr>
              <w:spacing w:line="276" w:lineRule="auto"/>
              <w:jc w:val="center"/>
              <w:rPr>
                <w:rFonts w:hint="eastAsia" w:ascii="宋体" w:hAnsi="宋体" w:eastAsia="宋体" w:cs="宋体"/>
                <w:color w:val="000000"/>
                <w:sz w:val="24"/>
                <w:szCs w:val="24"/>
              </w:rPr>
            </w:pPr>
            <w:r>
              <w:rPr>
                <w:rFonts w:hint="eastAsia" w:ascii="宋体" w:hAnsi="宋体" w:eastAsia="宋体" w:cs="宋体"/>
                <w:sz w:val="24"/>
              </w:rPr>
              <w:t>货物验收</w:t>
            </w:r>
          </w:p>
        </w:tc>
        <w:tc>
          <w:tcPr>
            <w:tcW w:w="6019" w:type="dxa"/>
            <w:tcBorders>
              <w:top w:val="single" w:color="auto" w:sz="4" w:space="0"/>
              <w:left w:val="single" w:color="auto" w:sz="4" w:space="0"/>
              <w:bottom w:val="single" w:color="auto" w:sz="4" w:space="0"/>
              <w:right w:val="single" w:color="auto" w:sz="4" w:space="0"/>
            </w:tcBorders>
            <w:noWrap w:val="0"/>
            <w:vAlign w:val="center"/>
          </w:tcPr>
          <w:p w14:paraId="5FECF748">
            <w:pPr>
              <w:spacing w:line="276" w:lineRule="auto"/>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成交供应商</w:t>
            </w:r>
            <w:r>
              <w:rPr>
                <w:rFonts w:hint="eastAsia" w:ascii="宋体" w:hAnsi="宋体" w:eastAsia="宋体" w:cs="宋体"/>
                <w:sz w:val="24"/>
              </w:rPr>
              <w:t>提供的产品及外包装必须符合国家相关法律法规和标准要求，并符合</w:t>
            </w:r>
            <w:r>
              <w:rPr>
                <w:rFonts w:hint="eastAsia" w:ascii="宋体" w:hAnsi="宋体" w:eastAsia="宋体" w:cs="宋体"/>
                <w:sz w:val="24"/>
                <w:lang w:eastAsia="zh-CN"/>
              </w:rPr>
              <w:t>参考竞争性磋商文件</w:t>
            </w:r>
            <w:r>
              <w:rPr>
                <w:rFonts w:hint="eastAsia" w:ascii="宋体" w:hAnsi="宋体" w:eastAsia="宋体" w:cs="宋体"/>
                <w:sz w:val="24"/>
              </w:rPr>
              <w:t>中技术指标要求，以及投标承诺的质量标准。</w:t>
            </w:r>
          </w:p>
          <w:p w14:paraId="28B260BD">
            <w:pPr>
              <w:spacing w:line="276" w:lineRule="auto"/>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成交供应商</w:t>
            </w:r>
            <w:r>
              <w:rPr>
                <w:rFonts w:hint="eastAsia" w:ascii="宋体" w:hAnsi="宋体" w:eastAsia="宋体" w:cs="宋体"/>
                <w:sz w:val="24"/>
              </w:rPr>
              <w:t>实际供应的物资应与投标文件所申报的内容相一致，未经许可不得串、调非申报生产企业的产品或其他品牌的产品，一经发现，采购人需求部门有权拒收。情节严重的视为商业信誉及供货能力不符，按签订的采购（协议）合同中违约的相关规定处理。</w:t>
            </w:r>
          </w:p>
          <w:p w14:paraId="472D3832">
            <w:pPr>
              <w:spacing w:line="276" w:lineRule="auto"/>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成交供应商</w:t>
            </w:r>
            <w:r>
              <w:rPr>
                <w:rFonts w:hint="eastAsia" w:ascii="宋体" w:hAnsi="宋体" w:eastAsia="宋体" w:cs="宋体"/>
                <w:sz w:val="24"/>
              </w:rPr>
              <w:t>应提供的随货资质包括：销货清单（加盖公章）一式三份、产品合格证、该批次产品的出厂检验报告。非同一批次产品的，需提供相应批次的出厂检验报告。</w:t>
            </w:r>
          </w:p>
          <w:p w14:paraId="2E6206D9">
            <w:pPr>
              <w:spacing w:line="276" w:lineRule="auto"/>
              <w:rPr>
                <w:rFonts w:hint="eastAsia" w:ascii="宋体" w:hAnsi="宋体" w:eastAsia="宋体" w:cs="宋体"/>
                <w:color w:val="000000"/>
                <w:sz w:val="24"/>
                <w:szCs w:val="24"/>
              </w:rPr>
            </w:pPr>
            <w:r>
              <w:rPr>
                <w:rFonts w:hint="eastAsia" w:ascii="宋体" w:hAnsi="宋体" w:eastAsia="宋体" w:cs="宋体"/>
                <w:sz w:val="24"/>
              </w:rPr>
              <w:t>（4）验收流程和不合格品处置方式应按照采购人制定的《饮食管理服务中心采购验收标准》执行。</w:t>
            </w:r>
          </w:p>
        </w:tc>
      </w:tr>
      <w:tr w14:paraId="666075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jc w:val="center"/>
        </w:trPr>
        <w:tc>
          <w:tcPr>
            <w:tcW w:w="1031" w:type="dxa"/>
            <w:tcBorders>
              <w:top w:val="single" w:color="auto" w:sz="4" w:space="0"/>
              <w:left w:val="single" w:color="auto" w:sz="4" w:space="0"/>
              <w:bottom w:val="single" w:color="auto" w:sz="4" w:space="0"/>
              <w:right w:val="single" w:color="auto" w:sz="4" w:space="0"/>
            </w:tcBorders>
            <w:noWrap w:val="0"/>
            <w:vAlign w:val="center"/>
          </w:tcPr>
          <w:p w14:paraId="14799CD7">
            <w:pPr>
              <w:spacing w:line="276" w:lineRule="auto"/>
              <w:jc w:val="center"/>
              <w:rPr>
                <w:rFonts w:hint="eastAsia" w:ascii="宋体" w:hAnsi="宋体" w:eastAsia="宋体" w:cs="宋体"/>
                <w:b/>
                <w:bCs/>
                <w:color w:val="000000"/>
                <w:sz w:val="24"/>
                <w:szCs w:val="24"/>
              </w:rPr>
            </w:pPr>
            <w:r>
              <w:rPr>
                <w:rFonts w:hint="eastAsia" w:ascii="宋体" w:hAnsi="宋体" w:eastAsia="宋体" w:cs="宋体"/>
                <w:sz w:val="24"/>
              </w:rPr>
              <w:t>5</w:t>
            </w:r>
          </w:p>
        </w:tc>
        <w:tc>
          <w:tcPr>
            <w:tcW w:w="2235" w:type="dxa"/>
            <w:tcBorders>
              <w:top w:val="single" w:color="auto" w:sz="4" w:space="0"/>
              <w:left w:val="single" w:color="auto" w:sz="4" w:space="0"/>
              <w:bottom w:val="single" w:color="auto" w:sz="4" w:space="0"/>
              <w:right w:val="single" w:color="auto" w:sz="4" w:space="0"/>
            </w:tcBorders>
            <w:noWrap w:val="0"/>
            <w:vAlign w:val="center"/>
          </w:tcPr>
          <w:p w14:paraId="5295697C">
            <w:pPr>
              <w:spacing w:line="276" w:lineRule="auto"/>
              <w:jc w:val="center"/>
              <w:rPr>
                <w:rFonts w:hint="eastAsia" w:ascii="宋体" w:hAnsi="宋体" w:eastAsia="宋体" w:cs="宋体"/>
                <w:color w:val="000000"/>
                <w:sz w:val="24"/>
                <w:szCs w:val="24"/>
              </w:rPr>
            </w:pPr>
            <w:r>
              <w:rPr>
                <w:rFonts w:hint="eastAsia" w:ascii="宋体" w:hAnsi="宋体" w:eastAsia="宋体" w:cs="宋体"/>
                <w:sz w:val="24"/>
              </w:rPr>
              <w:t>结算支付</w:t>
            </w:r>
          </w:p>
        </w:tc>
        <w:tc>
          <w:tcPr>
            <w:tcW w:w="6019" w:type="dxa"/>
            <w:tcBorders>
              <w:top w:val="single" w:color="auto" w:sz="4" w:space="0"/>
              <w:left w:val="single" w:color="auto" w:sz="4" w:space="0"/>
              <w:bottom w:val="single" w:color="auto" w:sz="4" w:space="0"/>
              <w:right w:val="single" w:color="auto" w:sz="4" w:space="0"/>
            </w:tcBorders>
            <w:noWrap w:val="0"/>
            <w:vAlign w:val="center"/>
          </w:tcPr>
          <w:p w14:paraId="004673F6">
            <w:pPr>
              <w:spacing w:line="276" w:lineRule="auto"/>
              <w:rPr>
                <w:rFonts w:hint="eastAsia" w:ascii="宋体" w:hAnsi="宋体" w:eastAsia="宋体" w:cs="宋体"/>
                <w:b/>
                <w:sz w:val="24"/>
              </w:rPr>
            </w:pPr>
            <w:r>
              <w:rPr>
                <w:rFonts w:hint="eastAsia" w:ascii="宋体" w:hAnsi="宋体" w:eastAsia="宋体" w:cs="宋体"/>
                <w:b/>
                <w:sz w:val="24"/>
              </w:rPr>
              <w:t>（1）按本项目规定的采购品种和成交单价据实结算，但总结算金额不超过采购预算金额。</w:t>
            </w:r>
          </w:p>
          <w:p w14:paraId="7FED27B7">
            <w:pPr>
              <w:spacing w:line="276" w:lineRule="auto"/>
              <w:rPr>
                <w:rFonts w:hint="eastAsia" w:ascii="宋体" w:hAnsi="宋体" w:eastAsia="宋体" w:cs="宋体"/>
                <w:sz w:val="24"/>
              </w:rPr>
            </w:pPr>
            <w:r>
              <w:rPr>
                <w:rFonts w:hint="eastAsia" w:ascii="宋体" w:hAnsi="宋体" w:eastAsia="宋体" w:cs="宋体"/>
                <w:sz w:val="24"/>
              </w:rPr>
              <w:t>（2）支票或转账支付，不支付预付款</w:t>
            </w:r>
          </w:p>
          <w:p w14:paraId="67F6F156">
            <w:pPr>
              <w:spacing w:line="276" w:lineRule="auto"/>
              <w:rPr>
                <w:rFonts w:hint="eastAsia" w:ascii="宋体" w:hAnsi="宋体" w:eastAsia="宋体" w:cs="宋体"/>
                <w:sz w:val="24"/>
              </w:rPr>
            </w:pPr>
            <w:r>
              <w:rPr>
                <w:rFonts w:hint="eastAsia" w:ascii="宋体" w:hAnsi="宋体" w:eastAsia="宋体" w:cs="宋体"/>
                <w:sz w:val="24"/>
              </w:rPr>
              <w:t>（3）采购协议生效后，每月25日之前以当月采购人入库凭证，结算当月费用（遇法定节假日和寒暑假顺延，账款最长支付期限不超过60天）</w:t>
            </w:r>
          </w:p>
          <w:p w14:paraId="50DBC826">
            <w:pPr>
              <w:spacing w:line="276" w:lineRule="auto"/>
              <w:rPr>
                <w:rFonts w:hint="eastAsia" w:ascii="宋体" w:hAnsi="宋体" w:eastAsia="宋体" w:cs="宋体"/>
                <w:color w:val="000000"/>
                <w:sz w:val="24"/>
                <w:szCs w:val="24"/>
                <w:lang w:eastAsia="zh-CN"/>
              </w:rPr>
            </w:pPr>
            <w:r>
              <w:rPr>
                <w:rFonts w:hint="eastAsia" w:ascii="宋体" w:hAnsi="宋体" w:eastAsia="宋体" w:cs="宋体"/>
                <w:sz w:val="24"/>
              </w:rPr>
              <w:t>（4）结算凭证：</w:t>
            </w:r>
            <w:r>
              <w:rPr>
                <w:rFonts w:hint="eastAsia" w:ascii="宋体" w:hAnsi="宋体" w:eastAsia="宋体" w:cs="宋体"/>
                <w:sz w:val="24"/>
                <w:lang w:eastAsia="zh-CN"/>
              </w:rPr>
              <w:t>成交供应商</w:t>
            </w:r>
            <w:r>
              <w:rPr>
                <w:rFonts w:hint="eastAsia" w:ascii="宋体" w:hAnsi="宋体" w:eastAsia="宋体" w:cs="宋体"/>
                <w:sz w:val="24"/>
              </w:rPr>
              <w:t>出具销货清单（加盖公章）与正规发票，采购人出具入库单，双方核对无误签字确认后作为结算凭证。</w:t>
            </w:r>
          </w:p>
        </w:tc>
      </w:tr>
    </w:tbl>
    <w:p w14:paraId="2A5E48A4">
      <w:bookmarkStart w:id="6" w:name="_GoBack"/>
      <w:bookmarkEnd w:id="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0B5D98"/>
    <w:rsid w:val="010B5D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spacing w:before="340" w:after="330" w:line="240" w:lineRule="auto"/>
      <w:jc w:val="center"/>
      <w:outlineLvl w:val="0"/>
    </w:pPr>
    <w:rPr>
      <w:b/>
      <w:bCs/>
      <w:kern w:val="44"/>
      <w:sz w:val="32"/>
      <w:szCs w:val="44"/>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qFormat/>
    <w:uiPriority w:val="99"/>
    <w:pPr>
      <w:spacing w:after="120"/>
    </w:pPr>
    <w:rPr>
      <w:kern w:val="0"/>
      <w:sz w:val="20"/>
    </w:rPr>
  </w:style>
  <w:style w:type="table" w:styleId="5">
    <w:name w:val="Table Grid"/>
    <w:basedOn w:val="4"/>
    <w:semiHidden/>
    <w:qFormat/>
    <w:uiPriority w:val="99"/>
    <w:pPr>
      <w:widowControl w:val="0"/>
      <w:spacing w:after="200" w:line="276" w:lineRule="auto"/>
    </w:pPr>
    <w:rPr>
      <w:rFonts w:ascii="Calibri" w:hAnsi="Calibri"/>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2025-02-24T11:22:00Z</dcterms:created>
  <dc:creator>123</dc:creator>
  <cp:lastModifiedBy>123</cp:lastModifiedBy>
  <dcterms:modified xsi:type="dcterms:W3CDTF">2025-02-24T11:23:22Z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C87F186A27D247A58DBD7BCA2659E07F_11</vt:lpwstr>
  </property>
  <property fmtid="{D5CDD505-2E9C-101B-9397-08002B2CF9AE}" pid="4" name="KSOTemplateDocerSaveRecord">
    <vt:lpwstr>eyJoZGlkIjoiMjQyZmU1YWQ2OGQ4YmUxYzRlOGU4MjJmNTRlZTliM2QiLCJ1c2VySWQiOiIzNzI4MDY5MTcifQ==</vt:lpwstr>
  </property>
</Properties>
</file>