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1C4A2E">
      <w:pPr>
        <w:pStyle w:val="2"/>
        <w:spacing w:before="120" w:after="120" w:line="240" w:lineRule="auto"/>
        <w:jc w:val="center"/>
        <w:rPr>
          <w:rFonts w:hint="eastAsia" w:ascii="宋体" w:hAnsi="宋体"/>
          <w:kern w:val="2"/>
          <w:sz w:val="32"/>
        </w:rPr>
      </w:pPr>
      <w:bookmarkStart w:id="0" w:name="_Toc30324812"/>
      <w:r>
        <w:rPr>
          <w:rFonts w:hint="eastAsia" w:ascii="宋体" w:hAnsi="宋体"/>
          <w:kern w:val="2"/>
          <w:sz w:val="32"/>
        </w:rPr>
        <w:t>第四章  采购内容及项目要求</w:t>
      </w:r>
      <w:bookmarkEnd w:id="0"/>
    </w:p>
    <w:p w14:paraId="159E21B7">
      <w:pPr>
        <w:spacing w:line="560" w:lineRule="exact"/>
        <w:ind w:firstLine="118" w:firstLineChars="49"/>
        <w:rPr>
          <w:rFonts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一、项目概况</w:t>
      </w:r>
    </w:p>
    <w:p w14:paraId="7526D0A1">
      <w:pPr>
        <w:widowControl/>
        <w:spacing w:line="460" w:lineRule="exact"/>
        <w:ind w:firstLine="600" w:firstLineChars="250"/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山东大学（青岛）</w:t>
      </w:r>
      <w:r>
        <w:rPr>
          <w:rFonts w:hint="eastAsia" w:ascii="宋体" w:hAnsi="宋体"/>
          <w:sz w:val="24"/>
          <w:lang w:eastAsia="zh-CN"/>
        </w:rPr>
        <w:t>粒子辐照计算模拟平台GPU及CPU存储模块采购项目</w:t>
      </w:r>
      <w:r>
        <w:rPr>
          <w:rFonts w:hint="eastAsia" w:ascii="宋体" w:hAnsi="宋体"/>
          <w:sz w:val="24"/>
        </w:rPr>
        <w:t>。本项目共分为1个包，供应商不得对采购清单内的货物拆分响应。</w:t>
      </w:r>
    </w:p>
    <w:p w14:paraId="19DC2801">
      <w:pPr>
        <w:widowControl/>
        <w:numPr>
          <w:ilvl w:val="0"/>
          <w:numId w:val="1"/>
        </w:numPr>
        <w:spacing w:line="460" w:lineRule="exact"/>
        <w:ind w:firstLine="120" w:firstLineChars="50"/>
        <w:jc w:val="left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技术条款及商务条款响应要求</w:t>
      </w:r>
    </w:p>
    <w:p w14:paraId="42F49ABF">
      <w:pPr>
        <w:widowControl/>
        <w:numPr>
          <w:ilvl w:val="0"/>
          <w:numId w:val="0"/>
        </w:numPr>
        <w:spacing w:line="460" w:lineRule="exact"/>
        <w:jc w:val="center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8"/>
          <w:szCs w:val="28"/>
        </w:rPr>
        <w:t>技术条款响应一览表</w:t>
      </w:r>
    </w:p>
    <w:tbl>
      <w:tblPr>
        <w:tblStyle w:val="4"/>
        <w:tblpPr w:leftFromText="180" w:rightFromText="180" w:vertAnchor="text" w:horzAnchor="page" w:tblpX="1466" w:tblpY="155"/>
        <w:tblW w:w="90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6"/>
        <w:gridCol w:w="1425"/>
        <w:gridCol w:w="5462"/>
        <w:gridCol w:w="734"/>
      </w:tblGrid>
      <w:tr w14:paraId="11B6AD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906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F5E7D"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采购人要求</w:t>
            </w:r>
          </w:p>
        </w:tc>
      </w:tr>
      <w:tr w14:paraId="44878E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29E77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配置序号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CC195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配置名称</w:t>
            </w:r>
          </w:p>
        </w:tc>
        <w:tc>
          <w:tcPr>
            <w:tcW w:w="5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F9D66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详细技术参数要求</w:t>
            </w:r>
          </w:p>
        </w:tc>
        <w:tc>
          <w:tcPr>
            <w:tcW w:w="7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0D886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</w:t>
            </w:r>
          </w:p>
        </w:tc>
      </w:tr>
      <w:tr w14:paraId="429B0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96664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D12EE9"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存储节点</w:t>
            </w:r>
          </w:p>
        </w:tc>
        <w:tc>
          <w:tcPr>
            <w:tcW w:w="5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7D4776"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CPU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2颗，单颗≥20核心，基准主频≥2.0G，加速频率≥3.9GHz，L3缓存≥37MB。</w:t>
            </w:r>
          </w:p>
          <w:p w14:paraId="120DCF28"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内存：≥8条，单条容量≥32G，频率≥4800Mhz。</w:t>
            </w:r>
          </w:p>
          <w:p w14:paraId="58953036"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SSD：容量≥1.92TB，顺序读速≥4400MB/s，顺序写入≥2000MB/S。</w:t>
            </w:r>
          </w:p>
          <w:p w14:paraId="6D525724"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Infiniband：支持EDR协议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。</w:t>
            </w:r>
          </w:p>
          <w:p w14:paraId="311EB4A2"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GPU：8块，每块显存≥24G，单块CUDA核心≥16000，核心频率≥2200MHz，显存频率≥1300MHz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。</w:t>
            </w:r>
          </w:p>
          <w:p w14:paraId="17585E08"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支持≥2个NVMeSSD，支持≥1个PCle5.0x80CP网卡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≥12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×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3.5英寸硬盘托架(支持2.5英寸硬盘)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。</w:t>
            </w:r>
          </w:p>
          <w:p w14:paraId="614E0C5F"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6.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≥4个千兆以太网接口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。</w:t>
            </w:r>
          </w:p>
          <w:p w14:paraId="38B0BDCD"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7.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≥4个2700瓦电源，热插拔N+M冗余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。</w:t>
            </w:r>
          </w:p>
          <w:p w14:paraId="3F7BFB8E"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8.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配置机架导轨、国标16A电源线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。</w:t>
            </w:r>
          </w:p>
          <w:p w14:paraId="6EBE8702"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配置≥4个后置GPU风扇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。</w:t>
            </w:r>
          </w:p>
          <w:p w14:paraId="404A2173"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需协助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采购人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安装操作系统及作业管理软件，将新设备融入原有集群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原有集群：配置了高性能的CPU用于高通量计算模拟，且配备了各种计算模拟软件以及作业调度系统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7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1F22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</w:tr>
    </w:tbl>
    <w:p w14:paraId="45BBC855">
      <w:pPr>
        <w:widowControl/>
        <w:spacing w:line="360" w:lineRule="auto"/>
        <w:ind w:firstLine="480" w:firstLineChars="200"/>
        <w:jc w:val="left"/>
        <w:textAlignment w:val="center"/>
        <w:rPr>
          <w:rFonts w:hint="eastAsia" w:ascii="宋体" w:hAnsi="宋体"/>
          <w:sz w:val="24"/>
        </w:rPr>
      </w:pPr>
    </w:p>
    <w:p w14:paraId="3E658621">
      <w:pPr>
        <w:widowControl/>
        <w:spacing w:line="360" w:lineRule="auto"/>
        <w:ind w:firstLine="480" w:firstLineChars="200"/>
        <w:jc w:val="left"/>
        <w:textAlignment w:val="center"/>
        <w:rPr>
          <w:rFonts w:hint="eastAsia" w:ascii="宋体" w:hAnsi="宋体" w:eastAsia="宋体"/>
          <w:sz w:val="24"/>
          <w:lang w:eastAsia="zh-CN"/>
        </w:rPr>
      </w:pPr>
      <w:r>
        <w:rPr>
          <w:rFonts w:hint="eastAsia" w:ascii="宋体" w:hAnsi="宋体"/>
          <w:sz w:val="24"/>
        </w:rPr>
        <w:t>注</w:t>
      </w:r>
      <w:r>
        <w:rPr>
          <w:rFonts w:hint="eastAsia" w:ascii="宋体" w:hAnsi="宋体"/>
          <w:sz w:val="24"/>
          <w:lang w:eastAsia="zh-CN"/>
        </w:rPr>
        <w:t>：</w:t>
      </w:r>
    </w:p>
    <w:p w14:paraId="65B4CA34">
      <w:pPr>
        <w:widowControl/>
        <w:spacing w:line="360" w:lineRule="auto"/>
        <w:ind w:firstLine="480" w:firstLineChars="200"/>
        <w:jc w:val="left"/>
        <w:textAlignment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</w:t>
      </w:r>
      <w:r>
        <w:rPr>
          <w:rFonts w:hint="eastAsia" w:ascii="宋体" w:hAnsi="宋体"/>
          <w:sz w:val="24"/>
          <w:lang w:val="en-US" w:eastAsia="zh-CN"/>
        </w:rPr>
        <w:t>.</w:t>
      </w:r>
      <w:r>
        <w:rPr>
          <w:rFonts w:hint="eastAsia" w:ascii="宋体" w:hAnsi="宋体"/>
          <w:sz w:val="24"/>
        </w:rPr>
        <w:t>本项目产品功能要求中的所有名词（除国家标准、行业标准已规定的之外），仅代表采购人对功能的需求，不代表该功能的名称被指定。</w:t>
      </w:r>
    </w:p>
    <w:p w14:paraId="4A0934CD">
      <w:pPr>
        <w:widowControl/>
        <w:spacing w:line="360" w:lineRule="auto"/>
        <w:ind w:firstLine="480" w:firstLineChars="200"/>
        <w:jc w:val="left"/>
        <w:textAlignment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2.</w:t>
      </w:r>
      <w:r>
        <w:rPr>
          <w:rFonts w:hint="eastAsia" w:ascii="宋体" w:hAnsi="宋体"/>
          <w:sz w:val="24"/>
        </w:rPr>
        <w:t>参数中如涉及某产品的个性描述，均不作为对报价产品的特定要求，仅作为最低要求。投标人可提供相当于或者优于该产品参数的产品。</w:t>
      </w:r>
    </w:p>
    <w:p w14:paraId="61E92DB8">
      <w:pPr>
        <w:widowControl/>
        <w:spacing w:line="360" w:lineRule="auto"/>
        <w:ind w:firstLine="480" w:firstLineChars="200"/>
        <w:jc w:val="left"/>
        <w:textAlignment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3.</w:t>
      </w:r>
      <w:r>
        <w:rPr>
          <w:rFonts w:hint="eastAsia" w:ascii="宋体" w:hAnsi="宋体"/>
          <w:sz w:val="24"/>
        </w:rPr>
        <w:t>如采购清单中单个产品无法满足，报价清单可增加产品，需列明产品品牌型号和功能；</w:t>
      </w:r>
    </w:p>
    <w:p w14:paraId="79B2A330">
      <w:pPr>
        <w:widowControl/>
        <w:spacing w:line="360" w:lineRule="auto"/>
        <w:ind w:firstLine="480" w:firstLineChars="200"/>
        <w:jc w:val="left"/>
        <w:textAlignment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4</w:t>
      </w:r>
      <w:r>
        <w:rPr>
          <w:rFonts w:hint="eastAsia" w:ascii="宋体" w:hAnsi="宋体"/>
          <w:sz w:val="24"/>
        </w:rPr>
        <w:t>.依据本项目的特点提供实施方案、</w:t>
      </w:r>
      <w:r>
        <w:rPr>
          <w:rFonts w:hint="eastAsia" w:ascii="宋体" w:hAnsi="宋体"/>
          <w:sz w:val="24"/>
          <w:lang w:val="en-US" w:eastAsia="zh-CN"/>
        </w:rPr>
        <w:t>技术方案、</w:t>
      </w:r>
      <w:r>
        <w:rPr>
          <w:rFonts w:hint="eastAsia" w:ascii="宋体" w:hAnsi="宋体"/>
          <w:sz w:val="24"/>
        </w:rPr>
        <w:t>培训方案、</w:t>
      </w:r>
      <w:r>
        <w:rPr>
          <w:rFonts w:hint="eastAsia" w:ascii="宋体" w:hAnsi="宋体" w:eastAsia="宋体" w:cs="宋体"/>
          <w:sz w:val="24"/>
        </w:rPr>
        <w:t>紧急故障处理预案</w:t>
      </w:r>
      <w:r>
        <w:rPr>
          <w:rFonts w:hint="eastAsia" w:ascii="宋体" w:hAnsi="宋体" w:eastAsia="宋体" w:cs="宋体"/>
          <w:sz w:val="24"/>
          <w:lang w:eastAsia="zh-CN"/>
        </w:rPr>
        <w:t>、</w:t>
      </w:r>
      <w:r>
        <w:rPr>
          <w:rFonts w:hint="eastAsia" w:ascii="宋体" w:hAnsi="宋体"/>
          <w:sz w:val="24"/>
        </w:rPr>
        <w:t>售后方案等评分标准中要求的评审内容。</w:t>
      </w:r>
    </w:p>
    <w:p w14:paraId="710CE184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5A7EE1C"/>
    <w:multiLevelType w:val="singleLevel"/>
    <w:tmpl w:val="65A7EE1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0C55ED"/>
    <w:rsid w:val="1C2D0897"/>
    <w:rsid w:val="43A845F4"/>
    <w:rsid w:val="51A52EAA"/>
    <w:rsid w:val="58210BB9"/>
    <w:rsid w:val="7FF5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styleId="6">
    <w:name w:val="page number"/>
    <w:qFormat/>
    <w:uiPriority w:val="99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2024-06-03T05:18:00Z</dcterms:created>
  <dc:creator>86152</dc:creator>
  <cp:lastModifiedBy>凌明嘉</cp:lastModifiedBy>
  <dcterms:modified xsi:type="dcterms:W3CDTF">2025-05-12T02:59:44Z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16C2AB8080C84F22A2000A9EF5CC4337_12</vt:lpwstr>
  </property>
  <property fmtid="{D5CDD505-2E9C-101B-9397-08002B2CF9AE}" pid="4" name="KSOTemplateDocerSaveRecord">
    <vt:lpwstr>eyJoZGlkIjoiMTgyY2Y5Y2UxZjkwY2NiYzg1MTM4ZmQzOTFhYWJhY2IiLCJ1c2VySWQiOiIyNTQ3ODMwNjgifQ==</vt:lpwstr>
  </property>
</Properties>
</file>