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1C3CF6">
      <w:pPr>
        <w:keepNext/>
        <w:keepLines/>
        <w:widowControl w:val="0"/>
        <w:spacing w:before="120" w:after="120" w:line="240" w:lineRule="auto"/>
        <w:jc w:val="center"/>
        <w:outlineLvl w:val="0"/>
        <w:rPr>
          <w:rFonts w:ascii="宋体" w:hAnsi="宋体" w:eastAsia="宋体" w:cs="Times New Roman"/>
          <w:b/>
          <w:bCs/>
          <w:color w:val="auto"/>
          <w:kern w:val="2"/>
          <w:sz w:val="32"/>
          <w:szCs w:val="44"/>
          <w:highlight w:val="none"/>
          <w:lang w:val="en-US" w:eastAsia="zh-CN" w:bidi="ar-SA"/>
        </w:rPr>
      </w:pPr>
      <w:r>
        <w:rPr>
          <w:rFonts w:hint="eastAsia" w:ascii="宋体" w:hAnsi="宋体" w:eastAsia="宋体" w:cs="Times New Roman"/>
          <w:b/>
          <w:bCs/>
          <w:color w:val="auto"/>
          <w:kern w:val="2"/>
          <w:sz w:val="32"/>
          <w:szCs w:val="44"/>
          <w:highlight w:val="none"/>
          <w:lang w:val="en-US" w:eastAsia="zh-CN" w:bidi="ar-SA"/>
        </w:rPr>
        <w:t>采购内容及项目要求</w:t>
      </w:r>
    </w:p>
    <w:p w14:paraId="4F5FA8E6">
      <w:pPr>
        <w:widowControl/>
        <w:spacing w:line="520" w:lineRule="exact"/>
        <w:ind w:firstLine="120" w:firstLineChars="50"/>
        <w:jc w:val="left"/>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一、项目概况</w:t>
      </w:r>
    </w:p>
    <w:p w14:paraId="561CCCC2">
      <w:pPr>
        <w:widowControl/>
        <w:spacing w:line="520" w:lineRule="exact"/>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本项目共分为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1</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个包，供应商不得对包中所投货物和服务分解后进行响应。本项目预算金额为人民币</w:t>
      </w:r>
      <w:r>
        <w:rPr>
          <w:rFonts w:hint="eastAsia" w:ascii="宋体" w:hAnsi="宋体" w:eastAsia="宋体" w:cs="Times New Roman"/>
          <w:color w:val="auto"/>
          <w:sz w:val="24"/>
          <w:highlight w:val="none"/>
          <w:lang w:eastAsia="zh-CN"/>
        </w:rPr>
        <w:t>660万元（</w:t>
      </w:r>
      <w:r>
        <w:rPr>
          <w:rFonts w:hint="eastAsia" w:ascii="宋体" w:hAnsi="宋体" w:eastAsia="宋体" w:cs="Times New Roman"/>
          <w:color w:val="auto"/>
          <w:sz w:val="24"/>
          <w:highlight w:val="none"/>
          <w:lang w:val="en-US" w:eastAsia="zh-CN"/>
        </w:rPr>
        <w:t>含税</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w:t>
      </w:r>
    </w:p>
    <w:p w14:paraId="46B046E0">
      <w:pPr>
        <w:widowControl/>
        <w:spacing w:line="520" w:lineRule="exact"/>
        <w:ind w:firstLine="120" w:firstLineChars="50"/>
        <w:jc w:val="left"/>
        <w:rPr>
          <w:rFonts w:ascii="宋体" w:hAnsi="宋体" w:eastAsia="宋体" w:cs="宋体"/>
          <w:color w:val="auto"/>
          <w:kern w:val="0"/>
          <w:sz w:val="24"/>
          <w:highlight w:val="none"/>
        </w:rPr>
      </w:pPr>
      <w:r>
        <w:rPr>
          <w:rFonts w:hint="eastAsia" w:ascii="宋体" w:hAnsi="宋体" w:eastAsia="宋体" w:cs="Times New Roman"/>
          <w:b/>
          <w:bCs/>
          <w:color w:val="auto"/>
          <w:sz w:val="24"/>
          <w:highlight w:val="none"/>
        </w:rPr>
        <w:t>二、技术条款及商务条款响应要求</w:t>
      </w:r>
    </w:p>
    <w:p w14:paraId="2C762AD3">
      <w:pPr>
        <w:adjustRightInd w:val="0"/>
        <w:snapToGrid w:val="0"/>
        <w:spacing w:line="360" w:lineRule="auto"/>
        <w:jc w:val="center"/>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山东大学仪器设备采购技术条款响应一览表</w:t>
      </w:r>
    </w:p>
    <w:tbl>
      <w:tblPr>
        <w:tblStyle w:val="12"/>
        <w:tblpPr w:leftFromText="180" w:rightFromText="180" w:vertAnchor="text" w:horzAnchor="page" w:tblpX="972" w:tblpY="299"/>
        <w:tblW w:w="145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7"/>
        <w:gridCol w:w="1587"/>
        <w:gridCol w:w="6926"/>
        <w:gridCol w:w="843"/>
        <w:gridCol w:w="896"/>
        <w:gridCol w:w="1385"/>
        <w:gridCol w:w="1330"/>
        <w:gridCol w:w="783"/>
      </w:tblGrid>
      <w:tr w14:paraId="06BD5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0173" w:type="dxa"/>
            <w:gridSpan w:val="4"/>
            <w:tcBorders>
              <w:top w:val="single" w:color="auto" w:sz="4" w:space="0"/>
              <w:left w:val="single" w:color="auto" w:sz="4" w:space="0"/>
              <w:bottom w:val="single" w:color="auto" w:sz="4" w:space="0"/>
              <w:right w:val="single" w:color="auto" w:sz="4" w:space="0"/>
            </w:tcBorders>
            <w:noWrap w:val="0"/>
            <w:vAlign w:val="center"/>
          </w:tcPr>
          <w:p w14:paraId="3B446541">
            <w:pPr>
              <w:keepNext w:val="0"/>
              <w:keepLines w:val="0"/>
              <w:pageBreakBefore w:val="0"/>
              <w:kinsoku/>
              <w:wordWrap/>
              <w:overflowPunct/>
              <w:topLinePunct w:val="0"/>
              <w:autoSpaceDE w:val="0"/>
              <w:autoSpaceDN w:val="0"/>
              <w:bidi w:val="0"/>
              <w:adjustRightInd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采购人要求（用户填写）</w:t>
            </w:r>
          </w:p>
        </w:tc>
        <w:tc>
          <w:tcPr>
            <w:tcW w:w="4394" w:type="dxa"/>
            <w:gridSpan w:val="4"/>
            <w:tcBorders>
              <w:top w:val="single" w:color="auto" w:sz="4" w:space="0"/>
              <w:bottom w:val="single" w:color="auto" w:sz="4" w:space="0"/>
            </w:tcBorders>
            <w:noWrap w:val="0"/>
            <w:vAlign w:val="center"/>
          </w:tcPr>
          <w:p w14:paraId="17F00A54">
            <w:pPr>
              <w:keepNext w:val="0"/>
              <w:keepLines w:val="0"/>
              <w:pageBreakBefore w:val="0"/>
              <w:widowControl/>
              <w:kinsoku/>
              <w:wordWrap/>
              <w:overflowPunct/>
              <w:topLinePunct w:val="0"/>
              <w:bidi w:val="0"/>
              <w:snapToGrid/>
              <w:spacing w:line="440" w:lineRule="exact"/>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投标人（供应商）响应（投标人/供应商填写）</w:t>
            </w:r>
          </w:p>
        </w:tc>
      </w:tr>
      <w:tr w14:paraId="3E84E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362FBB9">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配置序号</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611CE28">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配置名称</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598C8025">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详细技术参数要求</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05B10B9E">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数量</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60F2C861">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数量</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3B698437">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应答技术规格指标</w:t>
            </w:r>
          </w:p>
        </w:tc>
        <w:tc>
          <w:tcPr>
            <w:tcW w:w="1330" w:type="dxa"/>
            <w:tcBorders>
              <w:top w:val="single" w:color="auto" w:sz="4" w:space="0"/>
              <w:left w:val="single" w:color="auto" w:sz="4" w:space="0"/>
              <w:bottom w:val="single" w:color="auto" w:sz="4" w:space="0"/>
              <w:right w:val="single" w:color="auto" w:sz="4" w:space="0"/>
            </w:tcBorders>
            <w:noWrap w:val="0"/>
            <w:vAlign w:val="center"/>
          </w:tcPr>
          <w:p w14:paraId="5F33EFD0">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技术指标偏离情况</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2EF83F5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备注</w:t>
            </w:r>
          </w:p>
        </w:tc>
      </w:tr>
      <w:tr w14:paraId="60EEA3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7C7759B">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C4CF16A">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设备总体要求</w:t>
            </w:r>
          </w:p>
        </w:tc>
        <w:tc>
          <w:tcPr>
            <w:tcW w:w="6926" w:type="dxa"/>
            <w:tcBorders>
              <w:top w:val="single" w:color="auto" w:sz="4" w:space="0"/>
              <w:left w:val="single" w:color="auto" w:sz="4" w:space="0"/>
              <w:bottom w:val="single" w:color="auto" w:sz="4" w:space="0"/>
              <w:right w:val="single" w:color="auto" w:sz="4" w:space="0"/>
            </w:tcBorders>
            <w:noWrap w:val="0"/>
            <w:vAlign w:val="top"/>
          </w:tcPr>
          <w:p w14:paraId="407F24BC">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▲1.1设备集成结构光 SIM 超分辨成像 + 转盘共聚焦成像两大核心模块，共用同一显微镜倒置主机，一台设备同时实现两类成像。</w:t>
            </w:r>
          </w:p>
          <w:p w14:paraId="4685DFB4">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▲1.2整机质保：设备验收合格后，整机（含激光器）原厂质保不少于 3 年，软件提供版本升级。</w:t>
            </w:r>
          </w:p>
          <w:p w14:paraId="06C881CA">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1.3系统具备硬件时序同步控制单元，可实现激光、扫描部件、相机硬件级时序同步，消除成像伪影。</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4224422E">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6E41FAB1">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15004C8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0837C584">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766DA30D">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5D94E0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C821FC6">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055DE4F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全电动倒置荧光显微镜</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5019266E">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2.1全自动荧光显微镜，倒置型机身，复消色差荧光光路，具备硬件主动锁焦系统，毫秒级实时跟踪样品焦面。</w:t>
            </w:r>
          </w:p>
          <w:p w14:paraId="6B8B6F97">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2.2全电动显微镜，XYZ 轴控制、物镜转盘、滤块转盘、观察方式都可电动控制。</w:t>
            </w:r>
          </w:p>
          <w:p w14:paraId="5E0CE57A">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2.3电动Z轴调焦，Z轴移动精度≤10 nm，硬件主动锁焦，兼容玻璃底、塑料底培养皿，毫秒级实时焦面追踪，长时程成像抗漂移。</w:t>
            </w:r>
          </w:p>
          <w:p w14:paraId="43B5F367">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2.4电动编码 XY 载物台，最小移动步距≤0.1 μm，重复定位精度≤±0.5 μm。</w:t>
            </w:r>
          </w:p>
          <w:p w14:paraId="41EA75A7">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2.5电动≥6孔位物镜转盘，物镜配置，至少包含以下物镜，且参数满足：10×/NA≥0.4，WD≥3.1mm；20×/NA≥0.8，WD≥0.6mm；40×/NA≥0.95，WD≥0.18mm；60×/NA≥1.42，WD≥0.15mm；100×/NA≥1.49，WD≥0.1mm。</w:t>
            </w:r>
          </w:p>
          <w:p w14:paraId="21546E63">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2.6 LED 荧光光源，寿命≥20000 小时，波长覆盖紫外、蓝、绿、红。</w:t>
            </w:r>
          </w:p>
          <w:p w14:paraId="49437D39">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2.7荧光滤块≥4 个：涵盖 DAPI、FITC、CY3、CY5 四通道窄带通滤色镜组。</w:t>
            </w:r>
          </w:p>
          <w:p w14:paraId="61EB2F8C">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2.8具备 2 个C-mount相机输出端口，可同时安装 2 台科研级 sCMOS 探测器。</w:t>
            </w:r>
          </w:p>
          <w:p w14:paraId="2F6564C4">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2.9透射照明 LED 光源寿命≥20000 小时；荧光预观察 LED 光源寿命≥20000小时。</w:t>
            </w:r>
          </w:p>
          <w:p w14:paraId="43746A32">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2.10具备明场/DIC 照明成像模式，配置全套 DIC 棱镜组件，全部物镜可实现DIC差分干涉成像。</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5579CC8B">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18FA787">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6380A532">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53AE7F44">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6264B837">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35034C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4C5FC86">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4E0FC7BB">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结构光超分辨模块</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24FB02F8">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3.1激光器：不少于四根高功率半导体或固体激光器，至少至少满足以下4种激发波段：405nm、470nm-488nm、555nm-561nm、638nm-640nm；激光功率均达到200 mW，激光功率可软件连续调节。</w:t>
            </w:r>
          </w:p>
          <w:p w14:paraId="087EF553">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PingFang SC" w:hAnsi="PingFang SC" w:eastAsia="PingFang SC" w:cs="PingFang SC"/>
                <w:b/>
                <w:color w:val="auto"/>
                <w:sz w:val="24"/>
                <w:highlight w:val="none"/>
              </w:rPr>
              <w:t>★</w:t>
            </w:r>
            <w:r>
              <w:rPr>
                <w:rFonts w:hint="eastAsia" w:ascii="宋体" w:hAnsi="宋体" w:eastAsia="宋体" w:cs="宋体"/>
                <w:b w:val="0"/>
                <w:bCs/>
                <w:color w:val="auto"/>
                <w:sz w:val="21"/>
                <w:szCs w:val="21"/>
                <w:highlight w:val="none"/>
                <w:lang w:val="en-US" w:eastAsia="zh-CN"/>
              </w:rPr>
              <w:t>3.2配置高速空间光调制器，生成结构光条纹，成像模式不少于以下四种：宽场，2D-SIM，3D-SIM，TIRF-SIM；2D-SIM/TIRF-SIM 模式下XY光学分辨率≤90 nm，计算分辨率≤60 nm；3D模式下Z轴光学分辨率≤300 nm，计算分辨率≤200 nm。</w:t>
            </w:r>
          </w:p>
          <w:p w14:paraId="53DBB1B8">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▲3.3 SIM采集视野：≥ 90μm × 90μm @100×物镜</w:t>
            </w:r>
            <w:r>
              <w:rPr>
                <w:rFonts w:hint="eastAsia" w:ascii="Times New Roman" w:hAnsi="Times New Roman" w:eastAsia="宋体" w:cs="Times New Roman"/>
                <w:color w:val="auto"/>
                <w:sz w:val="24"/>
                <w:szCs w:val="24"/>
                <w:highlight w:val="none"/>
                <w:lang w:val="en-US" w:eastAsia="zh-CN"/>
              </w:rPr>
              <w:t>，同时成像通道数</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w:t>
            </w:r>
          </w:p>
          <w:p w14:paraId="73EFA800">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3.4 科研级sCMOS相机，峰值量子效率≥95%，像素数量≥2048×2048 pixels，像素尺寸≤6.5 μm</w:t>
            </w:r>
            <w:r>
              <w:rPr>
                <w:rFonts w:hint="eastAsia" w:ascii="Times New Roman" w:hAnsi="Times New Roman" w:eastAsia="宋体" w:cs="Times New Roman"/>
                <w:color w:val="auto"/>
                <w:sz w:val="24"/>
                <w:szCs w:val="24"/>
                <w:highlight w:val="none"/>
                <w:lang w:val="en-US" w:eastAsia="zh-CN"/>
              </w:rPr>
              <w:t>，成像速度</w:t>
            </w:r>
            <w:r>
              <w:rPr>
                <w:rFonts w:hint="default" w:ascii="Times New Roman" w:hAnsi="Times New Roman" w:eastAsia="宋体" w:cs="Times New Roman"/>
                <w:color w:val="auto"/>
                <w:sz w:val="24"/>
                <w:szCs w:val="24"/>
                <w:highlight w:val="none"/>
                <w:lang w:val="en-US" w:eastAsia="zh-CN"/>
              </w:rPr>
              <w:t>≥</w:t>
            </w:r>
            <w:r>
              <w:rPr>
                <w:rFonts w:hint="eastAsia" w:ascii="宋体" w:hAnsi="宋体" w:eastAsia="宋体" w:cs="宋体"/>
                <w:i w:val="0"/>
                <w:iCs w:val="0"/>
                <w:caps w:val="0"/>
                <w:color w:val="auto"/>
                <w:spacing w:val="0"/>
                <w:kern w:val="0"/>
                <w:sz w:val="24"/>
                <w:szCs w:val="24"/>
                <w:highlight w:val="none"/>
                <w:u w:val="none"/>
                <w:lang w:val="en-US" w:eastAsia="zh-CN" w:bidi="ar"/>
              </w:rPr>
              <w:t>200</w:t>
            </w:r>
            <w:r>
              <w:rPr>
                <w:rFonts w:ascii="宋体" w:hAnsi="宋体" w:eastAsia="宋体" w:cs="宋体"/>
                <w:i w:val="0"/>
                <w:iCs w:val="0"/>
                <w:caps w:val="0"/>
                <w:color w:val="auto"/>
                <w:spacing w:val="0"/>
                <w:kern w:val="0"/>
                <w:sz w:val="24"/>
                <w:szCs w:val="24"/>
                <w:highlight w:val="none"/>
                <w:u w:val="none"/>
                <w:lang w:val="en-US" w:eastAsia="zh-CN" w:bidi="ar"/>
              </w:rPr>
              <w:t>幅/秒@1024×3072像素</w:t>
            </w:r>
            <w:r>
              <w:rPr>
                <w:rFonts w:hint="eastAsia" w:ascii="宋体" w:hAnsi="宋体" w:eastAsia="宋体" w:cs="宋体"/>
                <w:i w:val="0"/>
                <w:iCs w:val="0"/>
                <w:caps w:val="0"/>
                <w:color w:val="auto"/>
                <w:spacing w:val="0"/>
                <w:kern w:val="0"/>
                <w:sz w:val="24"/>
                <w:szCs w:val="24"/>
                <w:highlight w:val="none"/>
                <w:u w:val="none"/>
                <w:lang w:val="en-US" w:eastAsia="zh-CN" w:bidi="ar"/>
              </w:rPr>
              <w:t>@</w:t>
            </w:r>
            <w:r>
              <w:rPr>
                <w:rFonts w:ascii="宋体" w:hAnsi="宋体" w:eastAsia="宋体" w:cs="宋体"/>
                <w:i w:val="0"/>
                <w:iCs w:val="0"/>
                <w:caps w:val="0"/>
                <w:color w:val="auto"/>
                <w:spacing w:val="0"/>
                <w:kern w:val="0"/>
                <w:sz w:val="24"/>
                <w:szCs w:val="24"/>
                <w:highlight w:val="none"/>
                <w:u w:val="none"/>
                <w:lang w:val="en-US" w:eastAsia="zh-CN" w:bidi="ar"/>
              </w:rPr>
              <w:t>16bit</w:t>
            </w:r>
            <w:r>
              <w:rPr>
                <w:rFonts w:hint="eastAsia" w:ascii="宋体" w:hAnsi="宋体" w:eastAsia="宋体" w:cs="宋体"/>
                <w:b w:val="0"/>
                <w:bCs/>
                <w:color w:val="auto"/>
                <w:sz w:val="21"/>
                <w:szCs w:val="21"/>
                <w:highlight w:val="none"/>
                <w:lang w:val="en-US" w:eastAsia="zh-CN"/>
              </w:rPr>
              <w:t>。</w:t>
            </w:r>
          </w:p>
          <w:p w14:paraId="39A31908">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3.5 图像拍摄软件可进行时间序列成像、3D层扫成像、多点位成像、大视野拼接成像、</w:t>
            </w:r>
            <w:r>
              <w:rPr>
                <w:rFonts w:hint="eastAsia" w:ascii="宋体" w:hAnsi="宋体" w:eastAsia="宋体" w:cs="宋体"/>
                <w:bCs/>
                <w:color w:val="auto"/>
                <w:sz w:val="21"/>
                <w:szCs w:val="21"/>
                <w:highlight w:val="none"/>
                <w:lang w:val="en-US" w:eastAsia="zh-CN"/>
              </w:rPr>
              <w:t>光学层切成像</w:t>
            </w:r>
            <w:r>
              <w:rPr>
                <w:rFonts w:hint="eastAsia" w:ascii="宋体" w:hAnsi="宋体" w:eastAsia="宋体" w:cs="宋体"/>
                <w:b w:val="0"/>
                <w:bCs/>
                <w:color w:val="auto"/>
                <w:sz w:val="21"/>
                <w:szCs w:val="21"/>
                <w:highlight w:val="none"/>
                <w:lang w:val="en-US" w:eastAsia="zh-CN"/>
              </w:rPr>
              <w:t>。</w:t>
            </w:r>
          </w:p>
          <w:p w14:paraId="13525839">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3.6 提供软件可对结构光照明成像数据进行重构运算，包括：2D-SIM，3D-SIM，TIRF-SIM等模式。</w:t>
            </w:r>
          </w:p>
          <w:p w14:paraId="5834937F">
            <w:pPr>
              <w:keepNext w:val="0"/>
              <w:keepLines w:val="0"/>
              <w:pageBreakBefore w:val="0"/>
              <w:kinsoku/>
              <w:wordWrap/>
              <w:overflowPunct/>
              <w:topLinePunct w:val="0"/>
              <w:bidi w:val="0"/>
              <w:snapToGrid/>
              <w:spacing w:line="440" w:lineRule="exact"/>
              <w:jc w:val="left"/>
              <w:textAlignment w:val="auto"/>
              <w:rPr>
                <w:rFonts w:hint="eastAsia" w:ascii="Times New Roman" w:hAnsi="Times New Roman" w:eastAsia="宋体" w:cs="Times New Roman"/>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▲3.7</w:t>
            </w:r>
            <w:r>
              <w:rPr>
                <w:rFonts w:hint="eastAsia" w:ascii="Times New Roman" w:hAnsi="Times New Roman" w:eastAsia="宋体" w:cs="Times New Roman"/>
                <w:color w:val="auto"/>
                <w:sz w:val="21"/>
                <w:szCs w:val="21"/>
                <w:highlight w:val="none"/>
                <w:lang w:val="en-US" w:eastAsia="zh-CN"/>
              </w:rPr>
              <w:t>具备单分子定位模块：X、Y轴分辨率≤30nm，Z轴分辨率≤60nm。</w:t>
            </w:r>
          </w:p>
          <w:p w14:paraId="5F6E8FF7">
            <w:pPr>
              <w:keepNext w:val="0"/>
              <w:keepLines w:val="0"/>
              <w:pageBreakBefore w:val="0"/>
              <w:kinsoku/>
              <w:wordWrap/>
              <w:overflowPunct/>
              <w:topLinePunct w:val="0"/>
              <w:bidi w:val="0"/>
              <w:snapToGrid/>
              <w:spacing w:line="440" w:lineRule="exact"/>
              <w:jc w:val="left"/>
              <w:textAlignment w:val="auto"/>
              <w:rPr>
                <w:rFonts w:hint="default" w:ascii="Times New Roman" w:hAnsi="Times New Roman" w:eastAsia="宋体" w:cs="Times New Roman"/>
                <w:color w:val="auto"/>
                <w:szCs w:val="21"/>
                <w:highlight w:val="none"/>
                <w:lang w:val="en-US" w:eastAsia="zh-CN"/>
              </w:rPr>
            </w:pPr>
            <w:r>
              <w:rPr>
                <w:rFonts w:hint="eastAsia" w:ascii="宋体" w:hAnsi="宋体" w:eastAsia="宋体" w:cs="宋体"/>
                <w:b w:val="0"/>
                <w:bCs/>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3.8具备单分子追踪模块：可实现大于等于75fps的快速蛋白颗粒追踪及运动轨迹分析。</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5A6C9C8F">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C01183D">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59382C0F">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188F66FB">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26C04D46">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71F271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C54C4A7">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5FE33B9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转盘共聚焦模块</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0C13E3B1">
            <w:pPr>
              <w:keepNext w:val="0"/>
              <w:keepLines w:val="0"/>
              <w:pageBreakBefore w:val="0"/>
              <w:kinsoku/>
              <w:wordWrap/>
              <w:overflowPunct/>
              <w:topLinePunct w:val="0"/>
              <w:bidi w:val="0"/>
              <w:snapToGrid/>
              <w:spacing w:line="440" w:lineRule="exact"/>
              <w:jc w:val="left"/>
              <w:textAlignment w:val="auto"/>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▲4.1激光器：不少于五根高功率半导体或固体激光器，</w:t>
            </w:r>
            <w:r>
              <w:rPr>
                <w:rFonts w:hint="eastAsia" w:ascii="宋体" w:hAnsi="宋体" w:eastAsia="宋体" w:cs="宋体"/>
                <w:b w:val="0"/>
                <w:bCs/>
                <w:color w:val="auto"/>
                <w:sz w:val="21"/>
                <w:szCs w:val="21"/>
                <w:highlight w:val="none"/>
                <w:lang w:val="en-US" w:eastAsia="zh-CN"/>
              </w:rPr>
              <w:t>至少</w:t>
            </w:r>
            <w:r>
              <w:rPr>
                <w:rFonts w:hint="default" w:ascii="宋体" w:hAnsi="宋体" w:eastAsia="宋体" w:cs="宋体"/>
                <w:b w:val="0"/>
                <w:bCs/>
                <w:color w:val="auto"/>
                <w:sz w:val="21"/>
                <w:szCs w:val="21"/>
                <w:highlight w:val="none"/>
                <w:lang w:val="en-US" w:eastAsia="zh-CN"/>
              </w:rPr>
              <w:t>包含以下4种激发波段：405nm≥</w:t>
            </w:r>
            <w:r>
              <w:rPr>
                <w:rFonts w:hint="eastAsia" w:ascii="宋体" w:hAnsi="宋体" w:eastAsia="宋体" w:cs="宋体"/>
                <w:b w:val="0"/>
                <w:bCs/>
                <w:color w:val="auto"/>
                <w:sz w:val="21"/>
                <w:szCs w:val="21"/>
                <w:highlight w:val="none"/>
                <w:lang w:val="en-US" w:eastAsia="zh-CN"/>
              </w:rPr>
              <w:t>5</w:t>
            </w:r>
            <w:r>
              <w:rPr>
                <w:rFonts w:hint="default" w:ascii="宋体" w:hAnsi="宋体" w:eastAsia="宋体" w:cs="宋体"/>
                <w:b w:val="0"/>
                <w:bCs/>
                <w:color w:val="auto"/>
                <w:sz w:val="21"/>
                <w:szCs w:val="21"/>
                <w:highlight w:val="none"/>
                <w:lang w:val="en-US" w:eastAsia="zh-CN"/>
              </w:rPr>
              <w:t>0 mW</w:t>
            </w:r>
            <w:r>
              <w:rPr>
                <w:rFonts w:hint="eastAsia" w:ascii="宋体" w:hAnsi="宋体" w:eastAsia="宋体" w:cs="宋体"/>
                <w:b w:val="0"/>
                <w:bCs/>
                <w:color w:val="auto"/>
                <w:sz w:val="21"/>
                <w:szCs w:val="21"/>
                <w:highlight w:val="none"/>
                <w:lang w:val="en-US" w:eastAsia="zh-CN"/>
              </w:rPr>
              <w:t>；</w:t>
            </w:r>
            <w:r>
              <w:rPr>
                <w:rFonts w:hint="default" w:ascii="宋体" w:hAnsi="宋体" w:eastAsia="宋体" w:cs="宋体"/>
                <w:b w:val="0"/>
                <w:bCs/>
                <w:color w:val="auto"/>
                <w:sz w:val="21"/>
                <w:szCs w:val="21"/>
                <w:highlight w:val="none"/>
                <w:lang w:val="en-US" w:eastAsia="zh-CN"/>
              </w:rPr>
              <w:t>470nm-488nm、555nm-561nm、638nm-640nm激光功率均≥100 mW。</w:t>
            </w:r>
          </w:p>
          <w:p w14:paraId="31DF3D62">
            <w:pPr>
              <w:keepNext w:val="0"/>
              <w:keepLines w:val="0"/>
              <w:pageBreakBefore w:val="0"/>
              <w:kinsoku/>
              <w:wordWrap/>
              <w:overflowPunct/>
              <w:topLinePunct w:val="0"/>
              <w:bidi w:val="0"/>
              <w:snapToGrid/>
              <w:spacing w:line="440" w:lineRule="exact"/>
              <w:jc w:val="left"/>
              <w:textAlignment w:val="auto"/>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4.2科研级sCMOS相机，峰值量子效率≥95%，像素数量≥2048×2048 pixels，像素尺寸≤6.5 μm。</w:t>
            </w:r>
          </w:p>
          <w:p w14:paraId="74BA39FF">
            <w:pPr>
              <w:keepNext w:val="0"/>
              <w:keepLines w:val="0"/>
              <w:pageBreakBefore w:val="0"/>
              <w:kinsoku/>
              <w:wordWrap/>
              <w:overflowPunct/>
              <w:topLinePunct w:val="0"/>
              <w:bidi w:val="0"/>
              <w:snapToGrid/>
              <w:spacing w:line="440" w:lineRule="exact"/>
              <w:jc w:val="left"/>
              <w:textAlignment w:val="auto"/>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4.3增强型高速转盘，针孔直径≤50 μm；针孔形状：圆形。</w:t>
            </w:r>
          </w:p>
          <w:p w14:paraId="682B2C4B">
            <w:pPr>
              <w:keepNext w:val="0"/>
              <w:keepLines w:val="0"/>
              <w:pageBreakBefore w:val="0"/>
              <w:kinsoku/>
              <w:wordWrap/>
              <w:overflowPunct/>
              <w:topLinePunct w:val="0"/>
              <w:bidi w:val="0"/>
              <w:snapToGrid/>
              <w:spacing w:line="440" w:lineRule="exact"/>
              <w:jc w:val="left"/>
              <w:textAlignment w:val="auto"/>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4.4转盘共聚焦模式下最高扫描</w:t>
            </w:r>
            <w:r>
              <w:rPr>
                <w:rFonts w:hint="eastAsia" w:ascii="宋体" w:hAnsi="宋体" w:eastAsia="宋体" w:cs="宋体"/>
                <w:b w:val="0"/>
                <w:bCs/>
                <w:color w:val="auto"/>
                <w:sz w:val="21"/>
                <w:szCs w:val="21"/>
                <w:highlight w:val="none"/>
                <w:lang w:val="en-US" w:eastAsia="zh-CN"/>
              </w:rPr>
              <w:t>速度</w:t>
            </w:r>
            <w:r>
              <w:rPr>
                <w:rFonts w:hint="default" w:ascii="宋体" w:hAnsi="宋体" w:eastAsia="宋体" w:cs="宋体"/>
                <w:b w:val="0"/>
                <w:bCs/>
                <w:color w:val="auto"/>
                <w:sz w:val="21"/>
                <w:szCs w:val="21"/>
                <w:highlight w:val="none"/>
                <w:lang w:val="en-US" w:eastAsia="zh-CN"/>
              </w:rPr>
              <w:t>≥110fps@2048×2048pixels</w:t>
            </w:r>
            <w:r>
              <w:rPr>
                <w:rFonts w:hint="eastAsia" w:ascii="宋体" w:hAnsi="宋体" w:eastAsia="宋体" w:cs="宋体"/>
                <w:b w:val="0"/>
                <w:bCs/>
                <w:color w:val="auto"/>
                <w:sz w:val="21"/>
                <w:szCs w:val="21"/>
                <w:highlight w:val="none"/>
                <w:lang w:val="en-US" w:eastAsia="zh-CN"/>
              </w:rPr>
              <w:t xml:space="preserve"> @16bit</w:t>
            </w:r>
            <w:r>
              <w:rPr>
                <w:rFonts w:hint="default" w:ascii="宋体" w:hAnsi="宋体" w:eastAsia="宋体" w:cs="宋体"/>
                <w:b w:val="0"/>
                <w:bCs/>
                <w:color w:val="auto"/>
                <w:sz w:val="21"/>
                <w:szCs w:val="21"/>
                <w:highlight w:val="none"/>
                <w:lang w:val="en-US" w:eastAsia="zh-CN"/>
              </w:rPr>
              <w:t>，消除扫描条纹伪影；可通过硬件或软件方式适配不同信噪比、分辨率实验需求。</w:t>
            </w:r>
          </w:p>
          <w:p w14:paraId="05914ED2">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4.5成像分辨率：X-Y 光学分辨率≤230 nm @ 60×1.42 NA，X-Y 计算分辨率≤140 nm @ 60×1.42 NA。</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77108438">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7092D87F">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49F1B0F7">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47A40560">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4CE366D9">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4CD37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2100AEA">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76B5E16F">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活细胞培养系统</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0E0EF06B">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5.1具备带有独立控温、控湿、控制 CO2 浓度功能的活细胞培养装置。能对培养室各部分进行独立的温度调控，温度控制范围：高于环境温度 3℃-45℃，精度≤0.1℃。</w:t>
            </w:r>
          </w:p>
          <w:p w14:paraId="5D3A283D">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5.2湿度控制范围50%~95%，湿度波动≤1%，CO2浓度控制范围0%~18%，浓度波动≤0.1%。</w:t>
            </w:r>
          </w:p>
          <w:p w14:paraId="2578061C">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5.3兼容常见规格尺寸的多孔培养板、培养皿、载玻片。</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1263359B">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891F314">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0627B33">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7F8FF948">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67100095">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6043F6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2314B1BB">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7BA90521">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拍摄</w:t>
            </w:r>
            <w:r>
              <w:rPr>
                <w:rFonts w:hint="eastAsia" w:ascii="宋体" w:hAnsi="宋体" w:eastAsia="宋体" w:cs="宋体"/>
                <w:b w:val="0"/>
                <w:bCs/>
                <w:color w:val="auto"/>
                <w:sz w:val="21"/>
                <w:szCs w:val="21"/>
                <w:highlight w:val="none"/>
                <w:lang w:val="en-US" w:eastAsia="zh-CN"/>
              </w:rPr>
              <w:t>功能</w:t>
            </w:r>
            <w:r>
              <w:rPr>
                <w:rFonts w:hint="eastAsia" w:ascii="宋体" w:hAnsi="宋体" w:eastAsia="宋体" w:cs="宋体"/>
                <w:b w:val="0"/>
                <w:bCs/>
                <w:color w:val="auto"/>
                <w:sz w:val="21"/>
                <w:szCs w:val="21"/>
                <w:highlight w:val="none"/>
                <w:lang w:eastAsia="zh-CN"/>
              </w:rPr>
              <w:t>与离线重构</w:t>
            </w:r>
            <w:r>
              <w:rPr>
                <w:rFonts w:hint="eastAsia" w:ascii="宋体" w:hAnsi="宋体" w:eastAsia="宋体" w:cs="宋体"/>
                <w:b w:val="0"/>
                <w:bCs/>
                <w:color w:val="auto"/>
                <w:sz w:val="21"/>
                <w:szCs w:val="21"/>
                <w:highlight w:val="none"/>
                <w:lang w:val="en-US" w:eastAsia="zh-CN"/>
              </w:rPr>
              <w:t>功能</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6471B73F">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6.1提供拍摄软件可以完成SIM和转盘共聚焦部分的拍摄，且具有大图预览功能，根据预览拍摄的图像，可以精确定位要拍摄的区域。</w:t>
            </w:r>
          </w:p>
          <w:p w14:paraId="2EE483CF">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6.2拍摄软件具有灵活控制界面，可进行时间序列成像、3D层扫成像、多点成像、大视野拼接成像以及上述功能的任意组合；拍摄通道自由配置，满足多种拍摄需求。</w:t>
            </w:r>
          </w:p>
          <w:p w14:paraId="0F5F7490">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6.3软件具备 GPU 加速 2D-SIM 超分辨重建能力；在 1024×1024 像素下，完整超分辨重建输出帧率≥20fps。</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03120E49">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0665BD4">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4BCFD249">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2C179B93">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315E7BC1">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64B900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0068BE7">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2234161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通用型图像处理</w:t>
            </w:r>
            <w:r>
              <w:rPr>
                <w:rFonts w:hint="eastAsia" w:ascii="宋体" w:hAnsi="宋体" w:eastAsia="宋体" w:cs="宋体"/>
                <w:b w:val="0"/>
                <w:bCs/>
                <w:color w:val="auto"/>
                <w:sz w:val="21"/>
                <w:szCs w:val="21"/>
                <w:highlight w:val="none"/>
                <w:lang w:val="en-US" w:eastAsia="zh-CN"/>
              </w:rPr>
              <w:t>模块</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049B7150">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7.1支持结构光超分辨显微镜采集图像的2D多色超分辨重建、3D多色超分辨重建。</w:t>
            </w:r>
          </w:p>
          <w:p w14:paraId="7CDC3EC6">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7.2软件集成不少于2种解卷积类算法，可实现图像分辨率提升、抑制离焦背景噪声。</w:t>
            </w:r>
          </w:p>
          <w:p w14:paraId="2C2DE51E">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7.3具备深度学习图像去噪算法，实现图像信噪比提升。</w:t>
            </w:r>
          </w:p>
          <w:p w14:paraId="55C33B71">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7.4具备图像测量分析功能，支持长度、面积、荧光强度、共定位分析，测量结果可导出表格文件。</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2A86221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46CC80F9">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BC85D71">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22BC2B9C">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19A96F06">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1A85DF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15A16FC">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33E5AF34">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工作站配置</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2A798F88">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8.1高性能工作站2套，包括成像控制工作站1套，数据处理工作站1套；</w:t>
            </w:r>
          </w:p>
          <w:p w14:paraId="2A064E7C">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8.2 CPU内核数量≥12，总线程数≥24，处理器基本频率≥3.2 GHz。</w:t>
            </w:r>
          </w:p>
          <w:p w14:paraId="1D91932C">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8.3显卡：超高性能显卡，显存容量≥24GB。</w:t>
            </w:r>
          </w:p>
          <w:p w14:paraId="296368D6">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8.4数据存储盘：16 TB 7.2K RPM SATA 机械硬盘。</w:t>
            </w:r>
          </w:p>
          <w:p w14:paraId="45A2E48D">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8.5显示器：32英寸平板4K显示器，分辨率3840x2160，支持分屏。</w:t>
            </w:r>
          </w:p>
          <w:p w14:paraId="57787EDB">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8.6快速读写硬盘不低于2T，接口支持NVME。</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5A26287E">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492208A4">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571A9190">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6275A755">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3B53E9CB">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r w14:paraId="6D137F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E1BC3DF">
            <w:pPr>
              <w:keepNext w:val="0"/>
              <w:keepLines w:val="0"/>
              <w:pageBreakBefore w:val="0"/>
              <w:kinsoku/>
              <w:wordWrap/>
              <w:overflowPunct/>
              <w:topLinePunct w:val="0"/>
              <w:bidi w:val="0"/>
              <w:snapToGrid/>
              <w:spacing w:line="44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CB85361">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防震台和其他配套设施</w:t>
            </w:r>
          </w:p>
        </w:tc>
        <w:tc>
          <w:tcPr>
            <w:tcW w:w="6926" w:type="dxa"/>
            <w:tcBorders>
              <w:top w:val="single" w:color="auto" w:sz="4" w:space="0"/>
              <w:left w:val="single" w:color="auto" w:sz="4" w:space="0"/>
              <w:bottom w:val="single" w:color="auto" w:sz="4" w:space="0"/>
              <w:right w:val="single" w:color="auto" w:sz="4" w:space="0"/>
            </w:tcBorders>
            <w:noWrap w:val="0"/>
            <w:vAlign w:val="center"/>
          </w:tcPr>
          <w:p w14:paraId="0198781A">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9.1配备气浮式光学防震平台，台面尺寸≥1.2m×1.5m，气浮台所需供气组件包含在本设备供货范围内。</w:t>
            </w:r>
          </w:p>
          <w:p w14:paraId="27C9A8D2">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9.2配有稳压电源 1 套。</w:t>
            </w:r>
          </w:p>
          <w:p w14:paraId="113328FC">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9.3配有不间断电源UPS一套，持续供电时间≥30 分钟。</w:t>
            </w:r>
          </w:p>
          <w:p w14:paraId="5309CCA8">
            <w:pPr>
              <w:keepNext w:val="0"/>
              <w:keepLines w:val="0"/>
              <w:pageBreakBefore w:val="0"/>
              <w:kinsoku/>
              <w:wordWrap/>
              <w:overflowPunct/>
              <w:topLinePunct w:val="0"/>
              <w:bidi w:val="0"/>
              <w:snapToGrid/>
              <w:spacing w:line="440" w:lineRule="exact"/>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9.4配备电脑桌椅。</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2239954D">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2F3FF99">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7A15A71D">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3FCB1D4A">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0466AD53">
            <w:pPr>
              <w:keepNext w:val="0"/>
              <w:keepLines w:val="0"/>
              <w:pageBreakBefore w:val="0"/>
              <w:kinsoku/>
              <w:wordWrap/>
              <w:overflowPunct/>
              <w:topLinePunct w:val="0"/>
              <w:bidi w:val="0"/>
              <w:snapToGrid/>
              <w:spacing w:line="440" w:lineRule="exact"/>
              <w:jc w:val="center"/>
              <w:textAlignment w:val="auto"/>
              <w:rPr>
                <w:rFonts w:hint="eastAsia" w:ascii="宋体" w:hAnsi="宋体" w:eastAsia="宋体" w:cs="宋体"/>
                <w:b w:val="0"/>
                <w:bCs/>
                <w:color w:val="auto"/>
                <w:sz w:val="21"/>
                <w:szCs w:val="21"/>
                <w:highlight w:val="none"/>
              </w:rPr>
            </w:pPr>
          </w:p>
        </w:tc>
      </w:tr>
    </w:tbl>
    <w:p w14:paraId="205533BB">
      <w:pPr>
        <w:pStyle w:val="6"/>
        <w:spacing w:after="0" w:line="560" w:lineRule="exact"/>
        <w:rPr>
          <w:rFonts w:hint="default" w:eastAsia="宋体"/>
          <w:b/>
          <w:bCs/>
          <w:color w:val="auto"/>
          <w:highlight w:val="none"/>
          <w:lang w:val="en-US" w:eastAsia="zh-CN"/>
        </w:rPr>
        <w:sectPr>
          <w:headerReference r:id="rId3" w:type="default"/>
          <w:footerReference r:id="rId4" w:type="default"/>
          <w:pgSz w:w="16838" w:h="11906" w:orient="landscape"/>
          <w:pgMar w:top="1797" w:right="1440" w:bottom="1797" w:left="1440" w:header="851" w:footer="992" w:gutter="0"/>
          <w:cols w:space="720" w:num="1"/>
          <w:docGrid w:linePitch="312" w:charSpace="0"/>
        </w:sectPr>
      </w:pPr>
      <w:r>
        <w:rPr>
          <w:rFonts w:hint="eastAsia" w:ascii="Times New Roman" w:hAnsi="Times New Roman" w:eastAsia="宋体" w:cs="Times New Roman"/>
          <w:b/>
          <w:bCs/>
          <w:color w:val="auto"/>
          <w:highlight w:val="none"/>
        </w:rPr>
        <w:t>注：（</w:t>
      </w:r>
      <w:r>
        <w:rPr>
          <w:rFonts w:hint="eastAsia" w:ascii="Times New Roman" w:hAnsi="Times New Roman" w:eastAsia="宋体" w:cs="Times New Roman"/>
          <w:b/>
          <w:bCs/>
          <w:color w:val="auto"/>
          <w:highlight w:val="none"/>
          <w:lang w:val="en-US" w:eastAsia="zh-CN"/>
        </w:rPr>
        <w:t>1</w:t>
      </w:r>
      <w:r>
        <w:rPr>
          <w:rFonts w:hint="eastAsia" w:ascii="Times New Roman" w:hAnsi="Times New Roman" w:eastAsia="宋体" w:cs="Times New Roman"/>
          <w:b/>
          <w:bCs/>
          <w:color w:val="auto"/>
          <w:highlight w:val="none"/>
        </w:rPr>
        <w:t>）供应商根据所投</w:t>
      </w:r>
      <w:r>
        <w:rPr>
          <w:rFonts w:hint="eastAsia" w:ascii="Times New Roman" w:hAnsi="Times New Roman" w:eastAsia="宋体" w:cs="Times New Roman"/>
          <w:b/>
          <w:bCs/>
          <w:color w:val="auto"/>
          <w:highlight w:val="none"/>
          <w:lang w:val="en-US" w:eastAsia="zh-CN"/>
        </w:rPr>
        <w:t>系统</w:t>
      </w:r>
      <w:r>
        <w:rPr>
          <w:rFonts w:hint="eastAsia" w:ascii="Times New Roman" w:hAnsi="Times New Roman" w:eastAsia="宋体" w:cs="Times New Roman"/>
          <w:b/>
          <w:bCs/>
          <w:color w:val="auto"/>
          <w:highlight w:val="none"/>
        </w:rPr>
        <w:t>编制</w:t>
      </w:r>
      <w:r>
        <w:rPr>
          <w:rFonts w:hint="eastAsia" w:ascii="Times New Roman" w:hAnsi="Times New Roman" w:eastAsia="宋体" w:cs="Times New Roman"/>
          <w:b/>
          <w:bCs/>
          <w:color w:val="auto"/>
          <w:highlight w:val="none"/>
          <w:lang w:val="en-US" w:eastAsia="zh-CN"/>
        </w:rPr>
        <w:t>安装调试</w:t>
      </w:r>
      <w:r>
        <w:rPr>
          <w:rFonts w:hint="eastAsia" w:ascii="Times New Roman" w:hAnsi="Times New Roman" w:eastAsia="宋体" w:cs="Times New Roman"/>
          <w:b/>
          <w:bCs/>
          <w:color w:val="auto"/>
          <w:highlight w:val="none"/>
        </w:rPr>
        <w:t>方案、</w:t>
      </w:r>
      <w:r>
        <w:rPr>
          <w:rFonts w:hint="eastAsia" w:ascii="Times New Roman" w:hAnsi="Times New Roman" w:eastAsia="宋体" w:cs="Times New Roman"/>
          <w:b/>
          <w:bCs/>
          <w:color w:val="auto"/>
          <w:highlight w:val="none"/>
          <w:lang w:val="en-US" w:eastAsia="zh-CN"/>
        </w:rPr>
        <w:t>重点、难点及解决方案</w:t>
      </w:r>
      <w:r>
        <w:rPr>
          <w:rFonts w:hint="eastAsia" w:ascii="Times New Roman" w:hAnsi="Times New Roman" w:eastAsia="宋体" w:cs="Times New Roman"/>
          <w:b/>
          <w:bCs/>
          <w:color w:val="auto"/>
          <w:highlight w:val="none"/>
          <w:lang w:eastAsia="zh-CN"/>
        </w:rPr>
        <w:t>、</w:t>
      </w:r>
      <w:r>
        <w:rPr>
          <w:rFonts w:hint="eastAsia" w:ascii="Times New Roman" w:hAnsi="Times New Roman" w:eastAsia="宋体" w:cs="Times New Roman"/>
          <w:b/>
          <w:bCs/>
          <w:color w:val="auto"/>
          <w:highlight w:val="none"/>
        </w:rPr>
        <w:t>培训方案、售后服务等内容。（</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）本项目产品功能要求中的所有名词（除国家标准、行业标准已规定的之外），仅代表采购人对功能的需求，不代表该功能的名称被指定。（</w:t>
      </w:r>
      <w:r>
        <w:rPr>
          <w:rFonts w:hint="eastAsia" w:ascii="Times New Roman" w:hAnsi="Times New Roman" w:eastAsia="宋体" w:cs="Times New Roman"/>
          <w:b/>
          <w:bCs/>
          <w:color w:val="auto"/>
          <w:highlight w:val="none"/>
          <w:lang w:val="en-US" w:eastAsia="zh-CN"/>
        </w:rPr>
        <w:t>3</w:t>
      </w:r>
      <w:r>
        <w:rPr>
          <w:rFonts w:hint="eastAsia" w:ascii="Times New Roman" w:hAnsi="Times New Roman" w:eastAsia="宋体" w:cs="Times New Roman"/>
          <w:b/>
          <w:bCs/>
          <w:color w:val="auto"/>
          <w:highlight w:val="none"/>
        </w:rPr>
        <w:t>）</w:t>
      </w:r>
      <w:r>
        <w:rPr>
          <w:rFonts w:hint="eastAsia" w:ascii="Times New Roman" w:hAnsi="Times New Roman" w:eastAsia="宋体" w:cs="Times New Roman"/>
          <w:b/>
          <w:bCs/>
          <w:color w:val="auto"/>
          <w:highlight w:val="none"/>
          <w:lang w:val="en-US" w:eastAsia="zh-CN"/>
        </w:rPr>
        <w:t>采购软件</w:t>
      </w:r>
      <w:r>
        <w:rPr>
          <w:rFonts w:hint="eastAsia" w:ascii="Times New Roman" w:hAnsi="Times New Roman" w:eastAsia="宋体" w:cs="Times New Roman"/>
          <w:b/>
          <w:bCs/>
          <w:color w:val="auto"/>
          <w:highlight w:val="none"/>
        </w:rPr>
        <w:t>的各功能模块划分，仅代表系统架构和系统实现的一种合理组合，投标人可提供覆盖本项目技术需求的其他架构软件或模块组合后的产品进行报价，并逐条列明参数响应情况。</w:t>
      </w:r>
      <w:r>
        <w:rPr>
          <w:rFonts w:hint="eastAsia" w:ascii="Times New Roman" w:hAnsi="Times New Roman" w:eastAsia="宋体" w:cs="Times New Roman"/>
          <w:b/>
          <w:bCs/>
          <w:color w:val="auto"/>
          <w:highlight w:val="none"/>
          <w:lang w:eastAsia="zh-CN"/>
        </w:rPr>
        <w:t>（</w:t>
      </w:r>
      <w:r>
        <w:rPr>
          <w:rFonts w:hint="eastAsia" w:ascii="Times New Roman" w:hAnsi="Times New Roman" w:eastAsia="宋体" w:cs="Times New Roman"/>
          <w:b/>
          <w:bCs/>
          <w:color w:val="auto"/>
          <w:highlight w:val="none"/>
          <w:lang w:val="en-US" w:eastAsia="zh-CN"/>
        </w:rPr>
        <w:t>4</w:t>
      </w:r>
      <w:r>
        <w:rPr>
          <w:rFonts w:hint="eastAsia" w:ascii="Times New Roman" w:hAnsi="Times New Roman" w:eastAsia="宋体" w:cs="Times New Roman"/>
          <w:b/>
          <w:bCs/>
          <w:color w:val="auto"/>
          <w:highlight w:val="none"/>
          <w:lang w:eastAsia="zh-CN"/>
        </w:rPr>
        <w:t>）</w:t>
      </w:r>
      <w:r>
        <w:rPr>
          <w:rFonts w:hint="eastAsia" w:ascii="Times New Roman" w:hAnsi="Times New Roman" w:eastAsia="宋体" w:cs="Times New Roman"/>
          <w:b/>
          <w:bCs/>
          <w:color w:val="auto"/>
          <w:highlight w:val="none"/>
        </w:rPr>
        <w:t>招标文件中涉及的所有标准、规范、规定如有更新或未详尽载明，均以最新颁布的标准、规范、规定为准。</w:t>
      </w:r>
    </w:p>
    <w:p w14:paraId="5CF5C8D9">
      <w:pPr>
        <w:spacing w:line="360" w:lineRule="auto"/>
        <w:jc w:val="center"/>
        <w:rPr>
          <w:rFonts w:hint="eastAsia" w:ascii="Times New Roman" w:hAnsi="Times New Roman" w:eastAsia="宋体" w:cs="Times New Roman"/>
          <w:b/>
          <w:bCs/>
          <w:color w:val="auto"/>
          <w:sz w:val="32"/>
          <w:szCs w:val="40"/>
          <w:highlight w:val="none"/>
        </w:rPr>
      </w:pPr>
      <w:r>
        <w:rPr>
          <w:rFonts w:hint="eastAsia" w:ascii="Times New Roman" w:hAnsi="Times New Roman" w:eastAsia="宋体" w:cs="Times New Roman"/>
          <w:b/>
          <w:bCs/>
          <w:color w:val="auto"/>
          <w:sz w:val="32"/>
          <w:szCs w:val="40"/>
          <w:highlight w:val="none"/>
        </w:rPr>
        <w:t>山东大学仪器设备采购商务条款响应一览表</w:t>
      </w:r>
    </w:p>
    <w:tbl>
      <w:tblPr>
        <w:tblStyle w:val="12"/>
        <w:tblpPr w:leftFromText="180" w:rightFromText="180" w:vertAnchor="text" w:horzAnchor="page" w:tblpX="1577" w:tblpY="646"/>
        <w:tblOverlap w:val="never"/>
        <w:tblW w:w="900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20"/>
        <w:gridCol w:w="1225"/>
        <w:gridCol w:w="4476"/>
        <w:gridCol w:w="2583"/>
      </w:tblGrid>
      <w:tr w14:paraId="2DA9AD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A0B67D1">
            <w:pPr>
              <w:spacing w:line="4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项目序号</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CDB61DB">
            <w:pPr>
              <w:spacing w:line="4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62BC0287">
            <w:pPr>
              <w:spacing w:line="4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采购人要求</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1AED427E">
            <w:pPr>
              <w:spacing w:line="4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投标人(供应商)响应</w:t>
            </w:r>
          </w:p>
        </w:tc>
      </w:tr>
      <w:tr w14:paraId="15523A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A55E236">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60E15A3F">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成交价</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671D0635">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人民币（国产设备）</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2C47EFEB">
            <w:pPr>
              <w:spacing w:line="440" w:lineRule="exact"/>
              <w:jc w:val="center"/>
              <w:rPr>
                <w:rFonts w:hint="eastAsia" w:ascii="宋体" w:hAnsi="宋体" w:eastAsia="宋体" w:cs="宋体"/>
                <w:color w:val="auto"/>
                <w:szCs w:val="21"/>
                <w:highlight w:val="none"/>
              </w:rPr>
            </w:pPr>
          </w:p>
        </w:tc>
      </w:tr>
      <w:tr w14:paraId="4166E6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C42BFF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14201CE0">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交货时间</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511E9F68">
            <w:pP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合同签订后</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个月</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1764AD6F">
            <w:pPr>
              <w:spacing w:line="440" w:lineRule="exact"/>
              <w:jc w:val="center"/>
              <w:rPr>
                <w:rFonts w:hint="eastAsia" w:ascii="宋体" w:hAnsi="宋体" w:eastAsia="宋体" w:cs="宋体"/>
                <w:color w:val="auto"/>
                <w:szCs w:val="21"/>
                <w:highlight w:val="none"/>
              </w:rPr>
            </w:pPr>
          </w:p>
        </w:tc>
      </w:tr>
      <w:tr w14:paraId="019CBA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3F06FD2">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1670DB05">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1233189E">
            <w:pP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合同签订且收到中标人开具的见索即付银行保函(合同额80%、有效期6个月)后付款80%;项目验收合格后付款20%</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22E70936">
            <w:pPr>
              <w:spacing w:line="440" w:lineRule="exact"/>
              <w:jc w:val="center"/>
              <w:rPr>
                <w:rFonts w:hint="eastAsia" w:ascii="宋体" w:hAnsi="宋体" w:eastAsia="宋体" w:cs="宋体"/>
                <w:color w:val="auto"/>
                <w:szCs w:val="21"/>
                <w:highlight w:val="none"/>
              </w:rPr>
            </w:pPr>
          </w:p>
        </w:tc>
      </w:tr>
      <w:tr w14:paraId="21E93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C32832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785BEBA6">
            <w:pPr>
              <w:tabs>
                <w:tab w:val="left" w:pos="420"/>
              </w:tabs>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安装验收</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2AE89672">
            <w:pPr>
              <w:tabs>
                <w:tab w:val="left" w:pos="4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A．设备验收由专家组和中标人联合在山东大学进行，验收条件按照合同规定执行。验收合格后填写山东大学大型仪器设备验收报告，该验收报告作为支付中标人货款的依据。</w:t>
            </w:r>
          </w:p>
          <w:p w14:paraId="7B5B328A">
            <w:pPr>
              <w:tabs>
                <w:tab w:val="left" w:pos="4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B．对安装有特殊要求的设备，中标人应在合同签订后10个工作日内以书面形式向用户提出安装场地环境要求，用户负责如电源、地线、温度和湿度设备、静电和防尘设备等安装场地的准备。</w:t>
            </w:r>
          </w:p>
          <w:p w14:paraId="79FADA89">
            <w:pPr>
              <w:tabs>
                <w:tab w:val="left" w:pos="4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C．中标人应提供各种文档资料和中文电子版说明书以及调试仪器所需要的工具。</w:t>
            </w:r>
          </w:p>
          <w:p w14:paraId="35741C28">
            <w:pPr>
              <w:tabs>
                <w:tab w:val="left" w:pos="4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D．中标人派专门人员将仪器安装并调试好，达到说明书技术指标的要求。</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23BFBD8A">
            <w:pPr>
              <w:spacing w:line="440" w:lineRule="exact"/>
              <w:rPr>
                <w:rFonts w:hint="eastAsia" w:ascii="宋体" w:hAnsi="宋体" w:eastAsia="宋体" w:cs="宋体"/>
                <w:color w:val="auto"/>
                <w:szCs w:val="21"/>
                <w:highlight w:val="none"/>
              </w:rPr>
            </w:pPr>
          </w:p>
        </w:tc>
      </w:tr>
      <w:tr w14:paraId="1EC77E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BB5BC5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74603F08">
            <w:pPr>
              <w:tabs>
                <w:tab w:val="left" w:pos="420"/>
              </w:tabs>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培训</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3DF64785">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A．中标人应对用户人员进行技术培训。使其能掌握有关设备的使用、维护和管理等工作要求。</w:t>
            </w:r>
          </w:p>
          <w:p w14:paraId="4CF5C34D">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B．及时提供相关领域新技术与新信息，终身免费提供相关实验室技术咨询（该项费用包含在报价中）。</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0AE0E588">
            <w:pPr>
              <w:spacing w:line="440" w:lineRule="exact"/>
              <w:rPr>
                <w:rFonts w:hint="eastAsia" w:ascii="宋体" w:hAnsi="宋体" w:eastAsia="宋体" w:cs="宋体"/>
                <w:color w:val="auto"/>
                <w:szCs w:val="21"/>
                <w:highlight w:val="none"/>
              </w:rPr>
            </w:pPr>
          </w:p>
        </w:tc>
      </w:tr>
      <w:tr w14:paraId="784975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871687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137D39E9">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47FC62A7">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A．质保期：</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w:t>
            </w:r>
          </w:p>
          <w:p w14:paraId="70AD9A6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B．中标人应在验收合格之日起到保修期满前一个月内，进行一次现场全面检查，并写出正式报告。如发现问题应负责解决。</w:t>
            </w:r>
          </w:p>
          <w:p w14:paraId="19E86F23">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C．中标人需提供负责售后服务的部门或单位的名称和联系方式。维修响应一般情况下4—8小时，终身维修。一般问题应在1周内解决，重大问题或其它无法迅速解决的问题应在1月内解决或提出明确解决方案，否则中标人应赔偿相应损失。</w:t>
            </w:r>
          </w:p>
          <w:p w14:paraId="54B4D555">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D．中标人应定期回访用户。</w:t>
            </w:r>
          </w:p>
          <w:p w14:paraId="76EC6923">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E．投标人必须列明保修期后的各项收费标准，需购买的附件和零配件的价格应按主机合同的折扣率给予优惠。</w:t>
            </w:r>
          </w:p>
          <w:p w14:paraId="3E777799">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F．仪器中的软件享受终身升级（该项费用包含在报价中）；</w:t>
            </w:r>
          </w:p>
          <w:p w14:paraId="300502E7">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G.投标人（供应商）承诺中标（成交）后5年内提供一次中标（成交）设备全流程搬迁服务，包含设备拆卸、防护包装、专业化运输、安装调试、搬迁前后的性能参数检测等，并保证搬迁后设备性能符合要求。（该项费用包含在报价中）。</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3F311864">
            <w:pPr>
              <w:spacing w:line="440" w:lineRule="exact"/>
              <w:rPr>
                <w:rFonts w:hint="eastAsia" w:ascii="宋体" w:hAnsi="宋体" w:eastAsia="宋体" w:cs="宋体"/>
                <w:color w:val="auto"/>
                <w:szCs w:val="21"/>
                <w:highlight w:val="none"/>
              </w:rPr>
            </w:pPr>
          </w:p>
        </w:tc>
      </w:tr>
    </w:tbl>
    <w:p w14:paraId="36150C2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PingFang SC">
    <w:altName w:val="宋体"/>
    <w:panose1 w:val="020B0400000000000000"/>
    <w:charset w:val="86"/>
    <w:family w:val="auto"/>
    <w:pitch w:val="default"/>
    <w:sig w:usb0="00000000" w:usb1="00000000" w:usb2="00000017"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E0908">
    <w:pPr>
      <w:pStyle w:val="8"/>
      <w:framePr w:wrap="around" w:vAnchor="text" w:hAnchor="margin" w:xAlign="center" w:y="1"/>
      <w:rPr>
        <w:rStyle w:val="14"/>
        <w:rFonts w:ascii="Times New Roman" w:hAnsi="Times New Roman" w:eastAsia="宋体" w:cs="Times New Roman"/>
      </w:rPr>
    </w:pPr>
    <w:r>
      <w:rPr>
        <w:rFonts w:ascii="Times New Roman" w:hAnsi="Times New Roman" w:eastAsia="宋体" w:cs="Times New Roman"/>
      </w:rPr>
      <w:fldChar w:fldCharType="begin"/>
    </w:r>
    <w:r>
      <w:rPr>
        <w:rStyle w:val="14"/>
        <w:rFonts w:ascii="Times New Roman" w:hAnsi="Times New Roman" w:eastAsia="宋体"/>
        <w:kern w:val="2"/>
        <w:sz w:val="21"/>
        <w:szCs w:val="24"/>
      </w:rPr>
      <w:instrText xml:space="preserve">PAGE  </w:instrText>
    </w:r>
    <w:r>
      <w:rPr>
        <w:rFonts w:ascii="Times New Roman" w:hAnsi="Times New Roman" w:eastAsia="宋体" w:cs="Times New Roman"/>
      </w:rPr>
      <w:fldChar w:fldCharType="separate"/>
    </w:r>
    <w:r>
      <w:rPr>
        <w:rStyle w:val="14"/>
        <w:rFonts w:ascii="Times New Roman" w:hAnsi="Times New Roman" w:eastAsia="宋体"/>
        <w:kern w:val="2"/>
        <w:sz w:val="21"/>
        <w:szCs w:val="24"/>
      </w:rPr>
      <w:t>44</w:t>
    </w:r>
    <w:r>
      <w:rPr>
        <w:rFonts w:ascii="Times New Roman" w:hAnsi="Times New Roman" w:eastAsia="宋体" w:cs="Times New Roman"/>
      </w:rPr>
      <w:fldChar w:fldCharType="end"/>
    </w:r>
  </w:p>
  <w:p w14:paraId="05112856">
    <w:pPr>
      <w:spacing w:line="200" w:lineRule="exact"/>
      <w:rPr>
        <w:rFonts w:ascii="Times New Roman" w:hAnsi="Times New Roman" w:eastAsia="宋体" w:cs="Times New Roman"/>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85D75">
    <w:pPr>
      <w:ind w:left="-8" w:right="-1" w:firstLine="8"/>
      <w:jc w:val="left"/>
      <w:rPr>
        <w:rFonts w:ascii="仿宋" w:hAnsi="仿宋" w:eastAsia="仿宋" w:cs="Times New Roman"/>
        <w:b/>
        <w:szCs w:val="21"/>
      </w:rPr>
    </w:pPr>
    <w:r>
      <w:rPr>
        <w:rFonts w:ascii="Times New Roman" w:hAnsi="Times New Roman" w:eastAsia="宋体" w:cs="Times New Roman"/>
      </w:rPr>
      <w:drawing>
        <wp:inline distT="0" distB="0" distL="114300" distR="114300">
          <wp:extent cx="137795" cy="103505"/>
          <wp:effectExtent l="0" t="0" r="190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37795" cy="103505"/>
                  </a:xfrm>
                  <a:prstGeom prst="rect">
                    <a:avLst/>
                  </a:prstGeom>
                  <a:noFill/>
                  <a:ln>
                    <a:noFill/>
                  </a:ln>
                </pic:spPr>
              </pic:pic>
            </a:graphicData>
          </a:graphic>
        </wp:inline>
      </w:drawing>
    </w:r>
    <w:r>
      <w:rPr>
        <w:rFonts w:hint="eastAsia" w:ascii="Times New Roman" w:hAnsi="Times New Roman" w:eastAsia="宋体" w:cs="Times New Roman"/>
      </w:rPr>
      <w:t xml:space="preserve">鲁成招标                                                                 </w:t>
    </w:r>
    <w:r>
      <w:rPr>
        <w:rFonts w:hint="eastAsia" w:ascii="Times New Roman" w:hAnsi="Times New Roman" w:eastAsia="宋体" w:cs="Times New Roman"/>
        <w:lang w:val="en-US" w:eastAsia="zh-CN"/>
      </w:rPr>
      <w:t xml:space="preserve"> </w:t>
    </w:r>
    <w:r>
      <w:rPr>
        <w:rFonts w:hint="eastAsia" w:ascii="宋体" w:hAnsi="宋体" w:eastAsia="宋体" w:cs="宋体"/>
        <w:kern w:val="0"/>
        <w:szCs w:val="21"/>
      </w:rPr>
      <w:t>山东大学</w:t>
    </w:r>
    <w:r>
      <w:rPr>
        <w:rFonts w:hint="eastAsia" w:ascii="宋体" w:hAnsi="宋体" w:eastAsia="宋体" w:cs="宋体"/>
        <w:kern w:val="0"/>
        <w:szCs w:val="21"/>
        <w:lang w:eastAsia="zh-CN"/>
      </w:rPr>
      <w:t>转盘结构光多模态超分辨显微镜采购</w:t>
    </w:r>
    <w:r>
      <w:rPr>
        <w:rFonts w:hint="eastAsia" w:ascii="宋体" w:hAnsi="宋体" w:eastAsia="宋体" w:cs="宋体"/>
        <w:kern w:val="0"/>
        <w:szCs w:val="21"/>
      </w:rPr>
      <w:t>电子招标文件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4F09F4"/>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1A82547"/>
    <w:rsid w:val="734F09F4"/>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7"/>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6"/>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8"/>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7">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8">
    <w:name w:val="footer"/>
    <w:unhideWhenUsed/>
    <w:qFormat/>
    <w:uiPriority w:val="0"/>
    <w:pPr>
      <w:widowControl w:val="0"/>
      <w:tabs>
        <w:tab w:val="center" w:pos="4153"/>
        <w:tab w:val="right" w:pos="8306"/>
      </w:tabs>
      <w:snapToGrid w:val="0"/>
      <w:jc w:val="left"/>
    </w:pPr>
    <w:rPr>
      <w:rFonts w:ascii="Times New Roman" w:hAnsi="Times New Roman" w:eastAsia="宋体" w:cs="Times New Roman"/>
      <w:kern w:val="0"/>
      <w:sz w:val="18"/>
      <w:szCs w:val="18"/>
      <w:lang w:val="en-US" w:eastAsia="zh-CN" w:bidi="ar-SA"/>
    </w:rPr>
  </w:style>
  <w:style w:type="paragraph" w:styleId="9">
    <w:name w:val="toc 1"/>
    <w:basedOn w:val="10"/>
    <w:next w:val="1"/>
    <w:qFormat/>
    <w:uiPriority w:val="0"/>
    <w:pPr>
      <w:tabs>
        <w:tab w:val="right" w:leader="dot" w:pos="9359"/>
      </w:tabs>
    </w:pPr>
    <w:rPr>
      <w:rFonts w:ascii="Calibri" w:hAnsi="Calibri" w:eastAsia="宋体"/>
      <w:sz w:val="30"/>
      <w:szCs w:val="20"/>
    </w:rPr>
  </w:style>
  <w:style w:type="paragraph" w:styleId="10">
    <w:name w:val="toc 2"/>
    <w:basedOn w:val="7"/>
    <w:next w:val="1"/>
    <w:qFormat/>
    <w:uiPriority w:val="0"/>
    <w:rPr>
      <w:rFonts w:ascii="Calibri" w:hAnsi="Calibri" w:eastAsia="宋体"/>
      <w:sz w:val="28"/>
      <w:szCs w:val="20"/>
    </w:rPr>
  </w:style>
  <w:style w:type="paragraph" w:styleId="11">
    <w:name w:val="toc 4"/>
    <w:basedOn w:val="7"/>
    <w:next w:val="1"/>
    <w:uiPriority w:val="0"/>
    <w:rPr>
      <w:sz w:val="21"/>
    </w:rPr>
  </w:style>
  <w:style w:type="character" w:styleId="14">
    <w:name w:val="page number"/>
    <w:qFormat/>
    <w:uiPriority w:val="99"/>
    <w:rPr>
      <w:rFonts w:cs="Times New Roman"/>
    </w:rPr>
  </w:style>
  <w:style w:type="character" w:customStyle="1" w:styleId="15">
    <w:name w:val="标题 1 Char"/>
    <w:link w:val="2"/>
    <w:qFormat/>
    <w:uiPriority w:val="0"/>
    <w:rPr>
      <w:rFonts w:ascii="Times New Roman" w:hAnsi="Times New Roman" w:eastAsia="宋体" w:cs="Times New Roman"/>
      <w:b/>
      <w:bCs/>
      <w:kern w:val="44"/>
      <w:sz w:val="44"/>
      <w:szCs w:val="44"/>
    </w:rPr>
  </w:style>
  <w:style w:type="character" w:customStyle="1" w:styleId="16">
    <w:name w:val="标题 3 Char"/>
    <w:link w:val="4"/>
    <w:qFormat/>
    <w:uiPriority w:val="0"/>
    <w:rPr>
      <w:rFonts w:ascii="Times New Roman" w:hAnsi="Times New Roman" w:eastAsia="宋体" w:cs="Times New Roman"/>
      <w:b/>
      <w:bCs/>
      <w:sz w:val="24"/>
      <w:szCs w:val="32"/>
    </w:rPr>
  </w:style>
  <w:style w:type="character" w:customStyle="1" w:styleId="17">
    <w:name w:val="标题 2 Char"/>
    <w:link w:val="3"/>
    <w:qFormat/>
    <w:uiPriority w:val="0"/>
    <w:rPr>
      <w:rFonts w:ascii="Cambria" w:hAnsi="Cambria" w:eastAsia="宋体" w:cs="Times New Roman"/>
      <w:b/>
      <w:bCs/>
      <w:sz w:val="24"/>
      <w:szCs w:val="32"/>
    </w:rPr>
  </w:style>
  <w:style w:type="character" w:customStyle="1" w:styleId="18">
    <w:name w:val="标题 5 Char"/>
    <w:link w:val="5"/>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2026-09-11T08:29:00Z</dcterms:created>
  <dc:creator>刘</dc:creator>
  <cp:lastModifiedBy>刘</cp:lastModifiedBy>
  <dcterms:modified xsi:type="dcterms:W3CDTF">2026-09-11T08:29:46Z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4A6571D2DAFD406B8F122170B6B57473_11</vt:lpwstr>
  </property>
  <property fmtid="{D5CDD505-2E9C-101B-9397-08002B2CF9AE}" pid="4" name="KSOTemplateDocerSaveRecord">
    <vt:lpwstr>eyJoZGlkIjoiOTc3M2Y5NzIzMDFlZjAyY2Q4Njk5ODkyYjFjNzBiNTQiLCJ1c2VySWQiOiI0Mjc3NzIzNjAifQ==</vt:lpwstr>
  </property>
</Properties>
</file>