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3F5C9">
      <w:pPr>
        <w:keepNext/>
        <w:keepLines/>
        <w:spacing w:after="0" w:line="360" w:lineRule="auto"/>
        <w:jc w:val="center"/>
        <w:outlineLvl w:val="1"/>
        <w:rPr>
          <w:rFonts w:hint="eastAsia" w:ascii="宋体" w:hAnsi="宋体" w:eastAsia="宋体" w:cs="Times New Roman"/>
          <w:b/>
          <w:bCs/>
          <w:color w:val="000000"/>
          <w:kern w:val="44"/>
          <w:sz w:val="32"/>
          <w:szCs w:val="44"/>
          <w:highlight w:val="none"/>
          <w14:ligatures w14:val="none"/>
        </w:rPr>
      </w:pPr>
      <w:bookmarkStart w:id="0" w:name="_Toc11255"/>
      <w:bookmarkStart w:id="1" w:name="_Toc49851080"/>
      <w:bookmarkStart w:id="2" w:name="_Toc49851042"/>
      <w:bookmarkStart w:id="3" w:name="_Toc23663"/>
      <w:r>
        <w:rPr>
          <w:rFonts w:hint="eastAsia" w:ascii="宋体" w:hAnsi="宋体" w:eastAsia="宋体" w:cs="Times New Roman"/>
          <w:b/>
          <w:bCs/>
          <w:color w:val="000000"/>
          <w:kern w:val="44"/>
          <w:sz w:val="32"/>
          <w:szCs w:val="44"/>
          <w:highlight w:val="none"/>
          <w14:ligatures w14:val="none"/>
        </w:rPr>
        <w:t>采购内容及项目要求</w:t>
      </w:r>
      <w:bookmarkEnd w:id="0"/>
      <w:bookmarkEnd w:id="1"/>
      <w:bookmarkEnd w:id="2"/>
      <w:bookmarkEnd w:id="3"/>
    </w:p>
    <w:p w14:paraId="2B53DC23">
      <w:pPr>
        <w:keepNext/>
        <w:keepLines/>
        <w:snapToGrid w:val="0"/>
        <w:spacing w:after="0" w:line="360" w:lineRule="auto"/>
        <w:jc w:val="both"/>
        <w:outlineLvl w:val="2"/>
        <w:rPr>
          <w:rFonts w:hint="eastAsia" w:ascii="宋体" w:hAnsi="宋体" w:eastAsia="宋体" w:cs="仿宋"/>
          <w:b/>
          <w:bCs/>
          <w:color w:val="000000"/>
          <w:kern w:val="0"/>
          <w:sz w:val="28"/>
          <w:szCs w:val="28"/>
          <w:highlight w:val="none"/>
          <w14:ligatures w14:val="none"/>
        </w:rPr>
      </w:pPr>
      <w:bookmarkStart w:id="4" w:name="_Toc57210936"/>
      <w:bookmarkStart w:id="5" w:name="_Toc13228"/>
      <w:bookmarkStart w:id="6" w:name="_Toc132291445"/>
      <w:bookmarkStart w:id="7" w:name="_Toc118817908"/>
      <w:bookmarkStart w:id="8" w:name="_Toc31718"/>
      <w:r>
        <w:rPr>
          <w:rFonts w:hint="eastAsia" w:ascii="宋体" w:hAnsi="宋体" w:eastAsia="宋体" w:cs="仿宋"/>
          <w:b/>
          <w:bCs/>
          <w:color w:val="000000"/>
          <w:kern w:val="0"/>
          <w:sz w:val="28"/>
          <w:szCs w:val="28"/>
          <w:highlight w:val="none"/>
          <w14:ligatures w14:val="none"/>
        </w:rPr>
        <w:t>一、项目概况</w:t>
      </w:r>
      <w:bookmarkEnd w:id="4"/>
      <w:bookmarkEnd w:id="5"/>
      <w:bookmarkEnd w:id="6"/>
      <w:bookmarkEnd w:id="7"/>
      <w:bookmarkEnd w:id="8"/>
    </w:p>
    <w:p w14:paraId="488F50E1">
      <w:pPr>
        <w:spacing w:after="0" w:line="360" w:lineRule="auto"/>
        <w:ind w:firstLine="482" w:firstLineChars="200"/>
        <w:jc w:val="both"/>
        <w:rPr>
          <w:rFonts w:hint="eastAsia" w:ascii="宋体" w:hAnsi="宋体" w:eastAsia="宋体" w:cs="仿宋"/>
          <w:b/>
          <w:bCs/>
          <w:color w:val="000000"/>
          <w:kern w:val="0"/>
          <w:sz w:val="24"/>
          <w:szCs w:val="24"/>
          <w:highlight w:val="none"/>
          <w:lang w:val="en-US" w:eastAsia="zh-CN"/>
          <w14:ligatures w14:val="none"/>
        </w:rPr>
      </w:pPr>
      <w:r>
        <w:rPr>
          <w:rFonts w:hint="eastAsia" w:ascii="宋体" w:hAnsi="宋体" w:eastAsia="宋体" w:cs="仿宋"/>
          <w:b/>
          <w:bCs/>
          <w:color w:val="000000"/>
          <w:kern w:val="0"/>
          <w:sz w:val="24"/>
          <w:szCs w:val="24"/>
          <w:highlight w:val="none"/>
          <w:lang w:val="en-US" w:eastAsia="zh-CN"/>
          <w14:ligatures w14:val="none"/>
        </w:rPr>
        <w:t>1、服务内容</w:t>
      </w:r>
    </w:p>
    <w:p w14:paraId="44A07448">
      <w:pPr>
        <w:spacing w:after="0" w:line="360" w:lineRule="auto"/>
        <w:ind w:firstLine="480" w:firstLineChars="200"/>
        <w:jc w:val="both"/>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14:ligatures w14:val="none"/>
        </w:rPr>
        <w:t>本项目计划采购</w:t>
      </w:r>
      <w:r>
        <w:rPr>
          <w:rFonts w:hint="eastAsia" w:ascii="宋体" w:hAnsi="宋体" w:eastAsia="宋体" w:cs="仿宋"/>
          <w:color w:val="000000"/>
          <w:kern w:val="0"/>
          <w:sz w:val="24"/>
          <w:szCs w:val="24"/>
          <w:highlight w:val="none"/>
          <w:lang w:val="en-US" w:eastAsia="zh-CN"/>
          <w14:ligatures w14:val="none"/>
        </w:rPr>
        <w:t>10</w:t>
      </w:r>
      <w:r>
        <w:rPr>
          <w:rFonts w:hint="eastAsia" w:ascii="宋体" w:hAnsi="宋体" w:eastAsia="宋体" w:cs="仿宋"/>
          <w:color w:val="000000"/>
          <w:kern w:val="0"/>
          <w:sz w:val="24"/>
          <w:szCs w:val="24"/>
          <w:highlight w:val="none"/>
          <w14:ligatures w14:val="none"/>
        </w:rPr>
        <w:t>Gbps专线带宽，用于各校区校园网络出口带宽延续及扩容</w:t>
      </w:r>
      <w:r>
        <w:rPr>
          <w:rFonts w:hint="eastAsia" w:ascii="宋体" w:hAnsi="宋体" w:eastAsia="宋体" w:cs="仿宋"/>
          <w:color w:val="000000"/>
          <w:kern w:val="0"/>
          <w:sz w:val="24"/>
          <w:szCs w:val="24"/>
          <w:highlight w:val="none"/>
          <w:lang w:eastAsia="zh-CN"/>
          <w14:ligatures w14:val="none"/>
        </w:rPr>
        <w:t>；计划采购</w:t>
      </w:r>
      <w:r>
        <w:rPr>
          <w:rFonts w:hint="eastAsia" w:ascii="宋体" w:hAnsi="宋体" w:eastAsia="宋体" w:cs="仿宋"/>
          <w:color w:val="000000"/>
          <w:kern w:val="0"/>
          <w:sz w:val="24"/>
          <w:szCs w:val="24"/>
          <w:highlight w:val="none"/>
          <w:lang w:val="en-US" w:eastAsia="zh-CN"/>
          <w14:ligatures w14:val="none"/>
        </w:rPr>
        <w:t>5Gbps专线带宽，用于保障校园云服务，提升学校各项网络业务的保障能力</w:t>
      </w:r>
      <w:r>
        <w:rPr>
          <w:rFonts w:hint="eastAsia" w:ascii="宋体" w:hAnsi="宋体" w:eastAsia="宋体" w:cs="仿宋"/>
          <w:color w:val="000000"/>
          <w:kern w:val="0"/>
          <w:sz w:val="24"/>
          <w:szCs w:val="24"/>
          <w:highlight w:val="none"/>
          <w14:ligatures w14:val="none"/>
        </w:rPr>
        <w:t>。</w:t>
      </w:r>
    </w:p>
    <w:p w14:paraId="601CBD46">
      <w:pPr>
        <w:spacing w:after="0" w:line="360" w:lineRule="auto"/>
        <w:ind w:firstLine="480" w:firstLineChars="200"/>
        <w:jc w:val="both"/>
        <w:rPr>
          <w:rFonts w:hint="eastAsia" w:ascii="宋体" w:hAnsi="宋体" w:eastAsia="宋体" w:cs="仿宋"/>
          <w:color w:val="000000"/>
          <w:kern w:val="0"/>
          <w:sz w:val="24"/>
          <w:szCs w:val="24"/>
          <w:highlight w:val="none"/>
          <w:lang w:eastAsia="zh-CN"/>
          <w14:ligatures w14:val="none"/>
        </w:rPr>
      </w:pPr>
      <w:r>
        <w:rPr>
          <w:rFonts w:hint="eastAsia" w:ascii="宋体" w:hAnsi="宋体" w:eastAsia="宋体" w:cs="仿宋"/>
          <w:color w:val="000000"/>
          <w:kern w:val="0"/>
          <w:sz w:val="24"/>
          <w:szCs w:val="24"/>
          <w:highlight w:val="none"/>
          <w14:ligatures w14:val="none"/>
        </w:rPr>
        <w:t>本项目</w:t>
      </w:r>
      <w:r>
        <w:rPr>
          <w:rFonts w:hint="eastAsia" w:ascii="宋体" w:hAnsi="宋体" w:eastAsia="宋体" w:cs="仿宋"/>
          <w:color w:val="000000"/>
          <w:kern w:val="0"/>
          <w:sz w:val="24"/>
          <w:szCs w:val="24"/>
          <w:highlight w:val="none"/>
          <w:lang w:eastAsia="zh-CN"/>
          <w14:ligatures w14:val="none"/>
        </w:rPr>
        <w:t>总预算</w:t>
      </w:r>
      <w:r>
        <w:rPr>
          <w:rFonts w:hint="eastAsia" w:ascii="宋体" w:hAnsi="宋体" w:eastAsia="宋体" w:cs="仿宋"/>
          <w:color w:val="000000"/>
          <w:kern w:val="0"/>
          <w:sz w:val="24"/>
          <w:szCs w:val="24"/>
          <w:highlight w:val="none"/>
          <w:lang w:val="en-US" w:eastAsia="zh-CN"/>
          <w14:ligatures w14:val="none"/>
        </w:rPr>
        <w:t>90万元/年，</w:t>
      </w:r>
      <w:r>
        <w:rPr>
          <w:rFonts w:hint="eastAsia" w:ascii="宋体" w:hAnsi="宋体" w:eastAsia="宋体" w:cs="仿宋"/>
          <w:color w:val="000000"/>
          <w:kern w:val="0"/>
          <w:sz w:val="24"/>
          <w:szCs w:val="24"/>
          <w:highlight w:val="none"/>
          <w14:ligatures w14:val="none"/>
        </w:rPr>
        <w:t>分为</w:t>
      </w:r>
      <w:r>
        <w:rPr>
          <w:rFonts w:hint="eastAsia" w:ascii="宋体" w:hAnsi="宋体" w:eastAsia="宋体" w:cs="仿宋"/>
          <w:color w:val="000000"/>
          <w:kern w:val="0"/>
          <w:sz w:val="24"/>
          <w:szCs w:val="24"/>
          <w:highlight w:val="none"/>
          <w:lang w:val="en-US" w:eastAsia="zh-CN"/>
          <w14:ligatures w14:val="none"/>
        </w:rPr>
        <w:t>两</w:t>
      </w:r>
      <w:r>
        <w:rPr>
          <w:rFonts w:hint="eastAsia" w:ascii="宋体" w:hAnsi="宋体" w:eastAsia="宋体" w:cs="仿宋"/>
          <w:color w:val="000000"/>
          <w:kern w:val="0"/>
          <w:sz w:val="24"/>
          <w:szCs w:val="24"/>
          <w:highlight w:val="none"/>
          <w14:ligatures w14:val="none"/>
        </w:rPr>
        <w:t>个包</w:t>
      </w:r>
      <w:r>
        <w:rPr>
          <w:rFonts w:hint="eastAsia" w:ascii="宋体" w:hAnsi="宋体" w:eastAsia="宋体" w:cs="仿宋"/>
          <w:color w:val="000000"/>
          <w:kern w:val="0"/>
          <w:sz w:val="24"/>
          <w:szCs w:val="24"/>
          <w:highlight w:val="none"/>
          <w:lang w:eastAsia="zh-CN"/>
          <w14:ligatures w14:val="none"/>
        </w:rPr>
        <w:t>：</w:t>
      </w:r>
      <w:r>
        <w:rPr>
          <w:rFonts w:hint="eastAsia" w:ascii="宋体" w:hAnsi="宋体" w:eastAsia="宋体" w:cs="仿宋"/>
          <w:b/>
          <w:bCs/>
          <w:color w:val="000000"/>
          <w:kern w:val="0"/>
          <w:sz w:val="24"/>
          <w:szCs w:val="24"/>
          <w:highlight w:val="none"/>
          <w:lang w:val="en-US" w:eastAsia="zh-CN"/>
          <w14:ligatures w14:val="none"/>
        </w:rPr>
        <w:t>校园网出口带宽</w:t>
      </w:r>
      <w:r>
        <w:rPr>
          <w:rFonts w:hint="eastAsia" w:ascii="宋体" w:hAnsi="宋体" w:eastAsia="宋体" w:cs="仿宋"/>
          <w:color w:val="000000"/>
          <w:kern w:val="0"/>
          <w:sz w:val="24"/>
          <w:szCs w:val="24"/>
          <w:highlight w:val="none"/>
          <w:lang w:eastAsia="zh-CN"/>
          <w14:ligatures w14:val="none"/>
        </w:rPr>
        <w:t>（</w:t>
      </w:r>
      <w:r>
        <w:rPr>
          <w:rFonts w:hint="eastAsia" w:ascii="宋体" w:hAnsi="宋体" w:eastAsia="宋体" w:cs="仿宋"/>
          <w:color w:val="000000"/>
          <w:kern w:val="0"/>
          <w:sz w:val="24"/>
          <w:szCs w:val="24"/>
          <w:highlight w:val="none"/>
          <w:lang w:val="en-US" w:eastAsia="zh-CN"/>
          <w14:ligatures w14:val="none"/>
        </w:rPr>
        <w:t>55</w:t>
      </w:r>
      <w:r>
        <w:rPr>
          <w:rFonts w:hint="eastAsia" w:ascii="宋体" w:hAnsi="宋体" w:eastAsia="宋体" w:cs="仿宋"/>
          <w:color w:val="000000"/>
          <w:kern w:val="0"/>
          <w:sz w:val="24"/>
          <w:szCs w:val="24"/>
          <w:highlight w:val="none"/>
          <w:lang w:eastAsia="zh-CN"/>
          <w14:ligatures w14:val="none"/>
        </w:rPr>
        <w:t>万元/年）、</w:t>
      </w:r>
      <w:r>
        <w:rPr>
          <w:rFonts w:hint="eastAsia" w:ascii="宋体" w:hAnsi="宋体" w:eastAsia="宋体" w:cs="仿宋"/>
          <w:b/>
          <w:bCs/>
          <w:color w:val="000000"/>
          <w:kern w:val="0"/>
          <w:sz w:val="24"/>
          <w:szCs w:val="24"/>
          <w:highlight w:val="none"/>
          <w:lang w:val="en-US" w:eastAsia="zh-CN"/>
          <w14:ligatures w14:val="none"/>
        </w:rPr>
        <w:t>三地统一调度带宽</w:t>
      </w:r>
      <w:r>
        <w:rPr>
          <w:rFonts w:hint="eastAsia" w:ascii="宋体" w:hAnsi="宋体" w:eastAsia="宋体" w:cs="仿宋"/>
          <w:color w:val="000000"/>
          <w:kern w:val="0"/>
          <w:sz w:val="24"/>
          <w:szCs w:val="24"/>
          <w:highlight w:val="none"/>
          <w:lang w:val="en-US" w:eastAsia="zh-CN"/>
          <w14:ligatures w14:val="none"/>
        </w:rPr>
        <w:t>（35万元/年）。</w:t>
      </w:r>
      <w:r>
        <w:rPr>
          <w:rFonts w:hint="eastAsia" w:ascii="宋体" w:hAnsi="宋体" w:eastAsia="宋体" w:cs="仿宋"/>
          <w:color w:val="000000"/>
          <w:kern w:val="0"/>
          <w:sz w:val="24"/>
          <w:szCs w:val="24"/>
          <w:highlight w:val="none"/>
          <w:lang w:eastAsia="zh-CN"/>
          <w14:ligatures w14:val="none"/>
        </w:rPr>
        <w:t>两个包投标人兼投兼中。</w:t>
      </w:r>
    </w:p>
    <w:p w14:paraId="231D4EA6">
      <w:pPr>
        <w:spacing w:after="0" w:line="360" w:lineRule="auto"/>
        <w:ind w:firstLine="480" w:firstLineChars="200"/>
        <w:jc w:val="both"/>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14:ligatures w14:val="none"/>
        </w:rPr>
        <w:t>项目服务期三年，采购人在年度预算能保障的前提下，对中标人服务质量进行考核，并根据考核结果自主决定是否与中标人续签下一年合同。</w:t>
      </w:r>
    </w:p>
    <w:p w14:paraId="033BC528">
      <w:pPr>
        <w:spacing w:after="0" w:line="360" w:lineRule="auto"/>
        <w:ind w:firstLine="480" w:firstLineChars="200"/>
        <w:jc w:val="both"/>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14:ligatures w14:val="none"/>
        </w:rPr>
        <w:t>投标人不得对</w:t>
      </w:r>
      <w:r>
        <w:rPr>
          <w:rFonts w:hint="eastAsia" w:ascii="宋体" w:hAnsi="宋体" w:eastAsia="宋体" w:cs="仿宋"/>
          <w:color w:val="000000"/>
          <w:kern w:val="0"/>
          <w:sz w:val="24"/>
          <w:szCs w:val="24"/>
          <w:highlight w:val="none"/>
          <w:lang w:eastAsia="zh-CN"/>
          <w14:ligatures w14:val="none"/>
        </w:rPr>
        <w:t>各</w:t>
      </w:r>
      <w:r>
        <w:rPr>
          <w:rFonts w:hint="eastAsia" w:ascii="宋体" w:hAnsi="宋体" w:eastAsia="宋体" w:cs="仿宋"/>
          <w:color w:val="000000"/>
          <w:kern w:val="0"/>
          <w:sz w:val="24"/>
          <w:szCs w:val="24"/>
          <w:highlight w:val="none"/>
          <w14:ligatures w14:val="none"/>
        </w:rPr>
        <w:t>包中所投货物和服务分解后进行响应。</w:t>
      </w:r>
    </w:p>
    <w:p w14:paraId="08E0A2A4">
      <w:pPr>
        <w:spacing w:after="0" w:line="360" w:lineRule="auto"/>
        <w:ind w:firstLine="482" w:firstLineChars="200"/>
        <w:jc w:val="both"/>
        <w:outlineLvl w:val="2"/>
        <w:rPr>
          <w:rFonts w:hint="eastAsia" w:ascii="宋体" w:hAnsi="宋体" w:eastAsia="宋体" w:cs="仿宋"/>
          <w:b/>
          <w:bCs/>
          <w:color w:val="000000"/>
          <w:kern w:val="0"/>
          <w:sz w:val="24"/>
          <w:szCs w:val="24"/>
          <w:highlight w:val="none"/>
          <w14:ligatures w14:val="none"/>
        </w:rPr>
      </w:pPr>
      <w:bookmarkStart w:id="9" w:name="_Toc6125"/>
      <w:bookmarkStart w:id="10" w:name="_Toc19195"/>
      <w:r>
        <w:rPr>
          <w:rFonts w:hint="eastAsia" w:ascii="宋体" w:hAnsi="宋体" w:eastAsia="宋体" w:cs="仿宋"/>
          <w:b/>
          <w:bCs/>
          <w:color w:val="000000"/>
          <w:kern w:val="0"/>
          <w:sz w:val="24"/>
          <w:szCs w:val="24"/>
          <w:highlight w:val="none"/>
          <w:lang w:val="en-US" w:eastAsia="zh-CN"/>
          <w14:ligatures w14:val="none"/>
        </w:rPr>
        <w:t>2、</w:t>
      </w:r>
      <w:r>
        <w:rPr>
          <w:rFonts w:hint="eastAsia" w:ascii="宋体" w:hAnsi="宋体" w:eastAsia="宋体" w:cs="仿宋"/>
          <w:b/>
          <w:bCs/>
          <w:color w:val="000000"/>
          <w:kern w:val="0"/>
          <w:sz w:val="24"/>
          <w:szCs w:val="24"/>
          <w:highlight w:val="none"/>
          <w14:ligatures w14:val="none"/>
        </w:rPr>
        <w:t>服务采购清单</w:t>
      </w:r>
    </w:p>
    <w:p w14:paraId="104EFF34">
      <w:pPr>
        <w:spacing w:after="0" w:line="360" w:lineRule="auto"/>
        <w:ind w:firstLine="482" w:firstLineChars="200"/>
        <w:jc w:val="both"/>
        <w:outlineLvl w:val="2"/>
        <w:rPr>
          <w:rFonts w:hint="default" w:ascii="宋体" w:hAnsi="宋体" w:eastAsia="宋体" w:cs="仿宋"/>
          <w:b/>
          <w:bCs/>
          <w:color w:val="000000"/>
          <w:kern w:val="0"/>
          <w:sz w:val="24"/>
          <w:szCs w:val="24"/>
          <w:highlight w:val="none"/>
          <w:lang w:val="en-US" w:eastAsia="zh-CN"/>
          <w14:ligatures w14:val="none"/>
        </w:rPr>
      </w:pPr>
      <w:r>
        <w:rPr>
          <w:rFonts w:hint="eastAsia" w:ascii="宋体" w:hAnsi="宋体" w:eastAsia="宋体" w:cs="仿宋"/>
          <w:b/>
          <w:bCs/>
          <w:color w:val="000000"/>
          <w:kern w:val="0"/>
          <w:sz w:val="24"/>
          <w:szCs w:val="24"/>
          <w:highlight w:val="none"/>
          <w:lang w:val="en-US" w:eastAsia="zh-CN"/>
          <w14:ligatures w14:val="none"/>
        </w:rPr>
        <w:t>A包：校园网出口带宽</w:t>
      </w:r>
    </w:p>
    <w:bookmarkEnd w:id="9"/>
    <w:bookmarkEnd w:id="10"/>
    <w:p w14:paraId="749E5954">
      <w:pPr>
        <w:spacing w:after="0" w:line="360" w:lineRule="auto"/>
        <w:ind w:firstLine="480" w:firstLineChars="200"/>
        <w:jc w:val="both"/>
        <w:rPr>
          <w:rFonts w:hint="eastAsia" w:ascii="宋体" w:hAnsi="宋体" w:eastAsia="宋体" w:cs="仿宋"/>
          <w:color w:val="000000"/>
          <w:kern w:val="0"/>
          <w:sz w:val="24"/>
          <w:szCs w:val="24"/>
          <w:highlight w:val="none"/>
          <w:lang w:eastAsia="zh-CN"/>
          <w14:ligatures w14:val="none"/>
        </w:rPr>
      </w:pPr>
      <w:r>
        <w:rPr>
          <w:rFonts w:hint="eastAsia" w:ascii="宋体" w:hAnsi="宋体" w:eastAsia="宋体" w:cs="仿宋"/>
          <w:color w:val="000000"/>
          <w:kern w:val="0"/>
          <w:sz w:val="24"/>
          <w:szCs w:val="24"/>
          <w:highlight w:val="none"/>
          <w:lang w:eastAsia="zh-CN"/>
          <w14:ligatures w14:val="none"/>
        </w:rPr>
        <w:t>预算：</w:t>
      </w:r>
      <w:r>
        <w:rPr>
          <w:rFonts w:hint="eastAsia" w:ascii="宋体" w:hAnsi="宋体" w:eastAsia="宋体" w:cs="仿宋"/>
          <w:color w:val="000000"/>
          <w:kern w:val="0"/>
          <w:sz w:val="24"/>
          <w:szCs w:val="24"/>
          <w:highlight w:val="none"/>
          <w:lang w:val="en-US" w:eastAsia="zh-CN"/>
          <w14:ligatures w14:val="none"/>
        </w:rPr>
        <w:t>项目服务期三年，</w:t>
      </w:r>
      <w:r>
        <w:rPr>
          <w:rFonts w:hint="default" w:ascii="宋体" w:hAnsi="宋体" w:eastAsia="宋体" w:cs="仿宋"/>
          <w:color w:val="000000"/>
          <w:kern w:val="0"/>
          <w:sz w:val="24"/>
          <w:szCs w:val="24"/>
          <w:highlight w:val="none"/>
          <w:lang w:val="en-US" w:eastAsia="zh-CN"/>
          <w14:ligatures w14:val="none"/>
        </w:rPr>
        <w:t>55</w:t>
      </w:r>
      <w:r>
        <w:rPr>
          <w:rFonts w:hint="eastAsia" w:ascii="宋体" w:hAnsi="宋体" w:eastAsia="宋体" w:cs="仿宋"/>
          <w:color w:val="000000"/>
          <w:kern w:val="0"/>
          <w:sz w:val="24"/>
          <w:szCs w:val="24"/>
          <w:highlight w:val="none"/>
          <w:lang w:eastAsia="zh-CN"/>
          <w14:ligatures w14:val="none"/>
        </w:rPr>
        <w:t>万元/年。</w:t>
      </w:r>
    </w:p>
    <w:tbl>
      <w:tblPr>
        <w:tblStyle w:val="11"/>
        <w:tblW w:w="0" w:type="auto"/>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4"/>
        <w:gridCol w:w="4072"/>
        <w:gridCol w:w="818"/>
        <w:gridCol w:w="1097"/>
      </w:tblGrid>
      <w:tr w14:paraId="2D643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343" w:type="dxa"/>
            <w:vAlign w:val="center"/>
          </w:tcPr>
          <w:p w14:paraId="1FF2B7D9">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val="en-US" w:eastAsia="zh-CN"/>
                <w14:ligatures w14:val="none"/>
              </w:rPr>
            </w:pPr>
            <w:r>
              <w:rPr>
                <w:rFonts w:hint="eastAsia" w:ascii="宋体" w:hAnsi="宋体" w:eastAsia="宋体" w:cs="仿宋"/>
                <w:color w:val="000000"/>
                <w:kern w:val="0"/>
                <w:sz w:val="24"/>
                <w:szCs w:val="24"/>
                <w:highlight w:val="none"/>
                <w:lang w:val="en-US" w:eastAsia="zh-CN"/>
                <w14:ligatures w14:val="none"/>
              </w:rPr>
              <w:t>项目名称</w:t>
            </w:r>
          </w:p>
        </w:tc>
        <w:tc>
          <w:tcPr>
            <w:tcW w:w="4191" w:type="dxa"/>
            <w:vAlign w:val="center"/>
          </w:tcPr>
          <w:p w14:paraId="360826FB">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val="en-US" w:eastAsia="zh-CN"/>
                <w14:ligatures w14:val="none"/>
              </w:rPr>
            </w:pPr>
            <w:r>
              <w:rPr>
                <w:rFonts w:hint="eastAsia" w:ascii="宋体" w:hAnsi="宋体" w:eastAsia="宋体" w:cs="仿宋"/>
                <w:color w:val="000000"/>
                <w:kern w:val="0"/>
                <w:sz w:val="24"/>
                <w:szCs w:val="24"/>
                <w:highlight w:val="none"/>
                <w:lang w:val="en-US" w:eastAsia="zh-CN"/>
                <w14:ligatures w14:val="none"/>
              </w:rPr>
              <w:t>技术参数</w:t>
            </w:r>
          </w:p>
        </w:tc>
        <w:tc>
          <w:tcPr>
            <w:tcW w:w="832" w:type="dxa"/>
            <w:vAlign w:val="center"/>
          </w:tcPr>
          <w:p w14:paraId="7B3D3273">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val="en-US" w:eastAsia="zh-CN"/>
                <w14:ligatures w14:val="none"/>
              </w:rPr>
            </w:pPr>
            <w:r>
              <w:rPr>
                <w:rFonts w:hint="eastAsia" w:ascii="宋体" w:hAnsi="宋体" w:eastAsia="宋体" w:cs="仿宋"/>
                <w:color w:val="000000"/>
                <w:kern w:val="0"/>
                <w:sz w:val="24"/>
                <w:szCs w:val="24"/>
                <w:highlight w:val="none"/>
                <w:lang w:val="en-US" w:eastAsia="zh-CN"/>
                <w14:ligatures w14:val="none"/>
              </w:rPr>
              <w:t>单位</w:t>
            </w:r>
          </w:p>
        </w:tc>
        <w:tc>
          <w:tcPr>
            <w:tcW w:w="1121" w:type="dxa"/>
            <w:vAlign w:val="center"/>
          </w:tcPr>
          <w:p w14:paraId="10E9299B">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val="en-US" w:eastAsia="zh-CN"/>
                <w14:ligatures w14:val="none"/>
              </w:rPr>
            </w:pPr>
            <w:r>
              <w:rPr>
                <w:rFonts w:hint="eastAsia" w:ascii="宋体" w:hAnsi="宋体" w:eastAsia="宋体" w:cs="仿宋"/>
                <w:color w:val="000000"/>
                <w:kern w:val="0"/>
                <w:sz w:val="24"/>
                <w:szCs w:val="24"/>
                <w:highlight w:val="none"/>
                <w:lang w:val="en-US" w:eastAsia="zh-CN"/>
                <w14:ligatures w14:val="none"/>
              </w:rPr>
              <w:t>数量</w:t>
            </w:r>
          </w:p>
        </w:tc>
      </w:tr>
      <w:tr w14:paraId="7476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2343" w:type="dxa"/>
            <w:vAlign w:val="center"/>
          </w:tcPr>
          <w:p w14:paraId="476F4A3D">
            <w:pPr>
              <w:keepNext w:val="0"/>
              <w:keepLines w:val="0"/>
              <w:pageBreakBefore w:val="0"/>
              <w:widowControl w:val="0"/>
              <w:kinsoku/>
              <w:wordWrap/>
              <w:overflowPunct/>
              <w:topLinePunct w:val="0"/>
              <w:autoSpaceDE/>
              <w:autoSpaceDN/>
              <w:bidi w:val="0"/>
              <w:adjustRightInd/>
              <w:snapToGrid w:val="0"/>
              <w:spacing w:after="0" w:line="360" w:lineRule="auto"/>
              <w:ind w:firstLine="0" w:firstLineChars="0"/>
              <w:jc w:val="left"/>
              <w:textAlignment w:val="auto"/>
              <w:rPr>
                <w:rFonts w:hint="eastAsia" w:ascii="宋体" w:hAnsi="宋体" w:eastAsia="宋体" w:cs="仿宋"/>
                <w:color w:val="000000"/>
                <w:kern w:val="0"/>
                <w:sz w:val="24"/>
                <w:szCs w:val="24"/>
                <w:highlight w:val="none"/>
                <w:lang w:eastAsia="zh-CN"/>
                <w14:ligatures w14:val="none"/>
              </w:rPr>
            </w:pPr>
            <w:r>
              <w:rPr>
                <w:rFonts w:hint="eastAsia" w:ascii="宋体" w:hAnsi="宋体" w:eastAsia="宋体" w:cs="仿宋"/>
                <w:color w:val="000000"/>
                <w:kern w:val="0"/>
                <w:sz w:val="24"/>
                <w:szCs w:val="24"/>
                <w:highlight w:val="none"/>
                <w:lang w:eastAsia="zh-CN"/>
                <w14:ligatures w14:val="none"/>
              </w:rPr>
              <w:t>校园网出口带宽</w:t>
            </w:r>
          </w:p>
        </w:tc>
        <w:tc>
          <w:tcPr>
            <w:tcW w:w="4191" w:type="dxa"/>
            <w:vAlign w:val="center"/>
          </w:tcPr>
          <w:p w14:paraId="7BAC85B4">
            <w:pPr>
              <w:keepNext w:val="0"/>
              <w:keepLines w:val="0"/>
              <w:pageBreakBefore w:val="0"/>
              <w:widowControl w:val="0"/>
              <w:kinsoku/>
              <w:wordWrap/>
              <w:overflowPunct/>
              <w:topLinePunct w:val="0"/>
              <w:autoSpaceDE/>
              <w:autoSpaceDN/>
              <w:bidi w:val="0"/>
              <w:adjustRightInd/>
              <w:snapToGrid w:val="0"/>
              <w:spacing w:after="0" w:line="360" w:lineRule="auto"/>
              <w:ind w:firstLine="0" w:firstLineChars="0"/>
              <w:jc w:val="left"/>
              <w:textAlignment w:val="auto"/>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lang w:val="en-US" w:eastAsia="zh-CN"/>
                <w14:ligatures w14:val="none"/>
              </w:rPr>
              <w:t>≥10G</w:t>
            </w:r>
            <w:r>
              <w:rPr>
                <w:rFonts w:hint="eastAsia" w:ascii="宋体" w:hAnsi="宋体" w:eastAsia="宋体" w:cs="仿宋"/>
                <w:color w:val="000000"/>
                <w:kern w:val="0"/>
                <w:sz w:val="24"/>
                <w:szCs w:val="24"/>
                <w:highlight w:val="none"/>
                <w:lang w:val="en-US"/>
                <w14:ligatures w14:val="none"/>
              </w:rPr>
              <w:t>bps</w:t>
            </w:r>
            <w:r>
              <w:rPr>
                <w:rFonts w:hint="eastAsia" w:ascii="宋体" w:hAnsi="宋体" w:eastAsia="宋体" w:cs="仿宋"/>
                <w:color w:val="000000"/>
                <w:kern w:val="0"/>
                <w:sz w:val="24"/>
                <w:szCs w:val="24"/>
                <w:highlight w:val="none"/>
                <w14:ligatures w14:val="none"/>
              </w:rPr>
              <w:t>互联网专线带宽。</w:t>
            </w:r>
          </w:p>
        </w:tc>
        <w:tc>
          <w:tcPr>
            <w:tcW w:w="832" w:type="dxa"/>
            <w:vAlign w:val="center"/>
          </w:tcPr>
          <w:p w14:paraId="5A876AAF">
            <w:pPr>
              <w:keepNext w:val="0"/>
              <w:keepLines w:val="0"/>
              <w:pageBreakBefore w:val="0"/>
              <w:widowControl w:val="0"/>
              <w:kinsoku/>
              <w:wordWrap/>
              <w:overflowPunct/>
              <w:topLinePunct w:val="0"/>
              <w:autoSpaceDE/>
              <w:autoSpaceDN/>
              <w:bidi w:val="0"/>
              <w:adjustRightInd/>
              <w:snapToGrid w:val="0"/>
              <w:spacing w:after="0" w:line="360" w:lineRule="auto"/>
              <w:ind w:firstLine="0" w:firstLineChars="0"/>
              <w:jc w:val="center"/>
              <w:textAlignment w:val="auto"/>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14:ligatures w14:val="none"/>
              </w:rPr>
              <w:t>宗</w:t>
            </w:r>
          </w:p>
        </w:tc>
        <w:tc>
          <w:tcPr>
            <w:tcW w:w="1121" w:type="dxa"/>
            <w:vAlign w:val="center"/>
          </w:tcPr>
          <w:p w14:paraId="6B78E38F">
            <w:pPr>
              <w:keepNext w:val="0"/>
              <w:keepLines w:val="0"/>
              <w:pageBreakBefore w:val="0"/>
              <w:widowControl w:val="0"/>
              <w:kinsoku/>
              <w:wordWrap/>
              <w:overflowPunct/>
              <w:topLinePunct w:val="0"/>
              <w:autoSpaceDE/>
              <w:autoSpaceDN/>
              <w:bidi w:val="0"/>
              <w:adjustRightInd/>
              <w:snapToGrid w:val="0"/>
              <w:spacing w:after="0" w:line="360" w:lineRule="auto"/>
              <w:ind w:firstLine="0" w:firstLineChars="0"/>
              <w:jc w:val="center"/>
              <w:textAlignment w:val="auto"/>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14:ligatures w14:val="none"/>
              </w:rPr>
              <w:t>1</w:t>
            </w:r>
          </w:p>
        </w:tc>
      </w:tr>
    </w:tbl>
    <w:p w14:paraId="39871C84">
      <w:pPr>
        <w:spacing w:after="0" w:line="360" w:lineRule="auto"/>
        <w:ind w:firstLine="482" w:firstLineChars="200"/>
        <w:jc w:val="both"/>
        <w:rPr>
          <w:rFonts w:hint="eastAsia" w:ascii="宋体" w:hAnsi="宋体" w:eastAsia="宋体" w:cs="仿宋"/>
          <w:b/>
          <w:bCs/>
          <w:color w:val="000000"/>
          <w:kern w:val="0"/>
          <w:sz w:val="24"/>
          <w:szCs w:val="24"/>
          <w:highlight w:val="none"/>
          <w:lang w:eastAsia="zh-CN"/>
          <w14:ligatures w14:val="none"/>
        </w:rPr>
      </w:pPr>
      <w:r>
        <w:rPr>
          <w:rFonts w:hint="eastAsia" w:ascii="宋体" w:hAnsi="宋体" w:eastAsia="宋体" w:cs="仿宋"/>
          <w:b/>
          <w:bCs/>
          <w:color w:val="000000"/>
          <w:kern w:val="0"/>
          <w:sz w:val="24"/>
          <w:szCs w:val="24"/>
          <w:highlight w:val="none"/>
          <w:lang w:val="en-US" w:eastAsia="zh-CN"/>
          <w14:ligatures w14:val="none"/>
        </w:rPr>
        <w:t>B</w:t>
      </w:r>
      <w:r>
        <w:rPr>
          <w:rFonts w:hint="eastAsia" w:ascii="宋体" w:hAnsi="宋体" w:eastAsia="宋体" w:cs="仿宋"/>
          <w:b/>
          <w:bCs/>
          <w:color w:val="000000"/>
          <w:kern w:val="0"/>
          <w:sz w:val="24"/>
          <w:szCs w:val="24"/>
          <w:highlight w:val="none"/>
          <w:lang w:eastAsia="zh-CN"/>
          <w14:ligatures w14:val="none"/>
        </w:rPr>
        <w:t>包：三地统一调度带宽</w:t>
      </w:r>
    </w:p>
    <w:p w14:paraId="4D7DFF24">
      <w:pPr>
        <w:spacing w:after="0" w:line="360" w:lineRule="auto"/>
        <w:ind w:firstLine="480" w:firstLineChars="200"/>
        <w:jc w:val="both"/>
        <w:rPr>
          <w:rFonts w:hint="eastAsia" w:ascii="宋体" w:hAnsi="宋体" w:eastAsia="宋体" w:cs="仿宋"/>
          <w:color w:val="000000"/>
          <w:kern w:val="0"/>
          <w:sz w:val="24"/>
          <w:szCs w:val="24"/>
          <w:highlight w:val="none"/>
          <w:lang w:eastAsia="zh-CN"/>
          <w14:ligatures w14:val="none"/>
        </w:rPr>
      </w:pPr>
      <w:r>
        <w:rPr>
          <w:rFonts w:hint="eastAsia" w:ascii="宋体" w:hAnsi="宋体" w:eastAsia="宋体" w:cs="仿宋"/>
          <w:color w:val="000000"/>
          <w:kern w:val="0"/>
          <w:sz w:val="24"/>
          <w:szCs w:val="24"/>
          <w:highlight w:val="none"/>
          <w:lang w:eastAsia="zh-CN"/>
          <w14:ligatures w14:val="none"/>
        </w:rPr>
        <w:t>预算：</w:t>
      </w:r>
      <w:r>
        <w:rPr>
          <w:rFonts w:hint="eastAsia" w:ascii="宋体" w:hAnsi="宋体" w:eastAsia="宋体" w:cs="仿宋"/>
          <w:color w:val="000000"/>
          <w:kern w:val="0"/>
          <w:sz w:val="24"/>
          <w:szCs w:val="24"/>
          <w:highlight w:val="none"/>
          <w:lang w:val="en-US" w:eastAsia="zh-CN"/>
          <w14:ligatures w14:val="none"/>
        </w:rPr>
        <w:t>项目服务期三年，3</w:t>
      </w:r>
      <w:r>
        <w:rPr>
          <w:rFonts w:hint="default" w:ascii="宋体" w:hAnsi="宋体" w:eastAsia="宋体" w:cs="仿宋"/>
          <w:color w:val="000000"/>
          <w:kern w:val="0"/>
          <w:sz w:val="24"/>
          <w:szCs w:val="24"/>
          <w:highlight w:val="none"/>
          <w:lang w:val="en-US" w:eastAsia="zh-CN"/>
          <w14:ligatures w14:val="none"/>
        </w:rPr>
        <w:t>5</w:t>
      </w:r>
      <w:r>
        <w:rPr>
          <w:rFonts w:hint="eastAsia" w:ascii="宋体" w:hAnsi="宋体" w:eastAsia="宋体" w:cs="仿宋"/>
          <w:color w:val="000000"/>
          <w:kern w:val="0"/>
          <w:sz w:val="24"/>
          <w:szCs w:val="24"/>
          <w:highlight w:val="none"/>
          <w:lang w:eastAsia="zh-CN"/>
          <w14:ligatures w14:val="none"/>
        </w:rPr>
        <w:t>万元/年。</w:t>
      </w:r>
    </w:p>
    <w:tbl>
      <w:tblPr>
        <w:tblStyle w:val="11"/>
        <w:tblW w:w="0" w:type="auto"/>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5"/>
        <w:gridCol w:w="4070"/>
        <w:gridCol w:w="819"/>
        <w:gridCol w:w="1097"/>
      </w:tblGrid>
      <w:tr w14:paraId="50E3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343" w:type="dxa"/>
            <w:vAlign w:val="center"/>
          </w:tcPr>
          <w:p w14:paraId="4F160C23">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val="en-US" w:eastAsia="zh-CN"/>
                <w14:ligatures w14:val="none"/>
              </w:rPr>
            </w:pPr>
            <w:r>
              <w:rPr>
                <w:rFonts w:hint="eastAsia" w:ascii="宋体" w:hAnsi="宋体" w:eastAsia="宋体" w:cs="仿宋"/>
                <w:color w:val="000000"/>
                <w:kern w:val="0"/>
                <w:sz w:val="24"/>
                <w:szCs w:val="24"/>
                <w:highlight w:val="none"/>
                <w:lang w:val="en-US" w:eastAsia="zh-CN"/>
                <w14:ligatures w14:val="none"/>
              </w:rPr>
              <w:t>项目名称</w:t>
            </w:r>
          </w:p>
        </w:tc>
        <w:tc>
          <w:tcPr>
            <w:tcW w:w="4191" w:type="dxa"/>
            <w:vAlign w:val="center"/>
          </w:tcPr>
          <w:p w14:paraId="2F0EFE55">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eastAsia="zh-CN"/>
                <w14:ligatures w14:val="none"/>
              </w:rPr>
            </w:pPr>
            <w:r>
              <w:rPr>
                <w:rFonts w:hint="eastAsia" w:ascii="宋体" w:hAnsi="宋体" w:eastAsia="宋体" w:cs="仿宋"/>
                <w:color w:val="000000"/>
                <w:kern w:val="0"/>
                <w:sz w:val="24"/>
                <w:szCs w:val="24"/>
                <w:highlight w:val="none"/>
                <w:lang w:eastAsia="zh-CN"/>
                <w14:ligatures w14:val="none"/>
              </w:rPr>
              <w:t>技术参数</w:t>
            </w:r>
          </w:p>
        </w:tc>
        <w:tc>
          <w:tcPr>
            <w:tcW w:w="832" w:type="dxa"/>
            <w:vAlign w:val="center"/>
          </w:tcPr>
          <w:p w14:paraId="6D8B69A3">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eastAsia="zh-CN"/>
                <w14:ligatures w14:val="none"/>
              </w:rPr>
            </w:pPr>
            <w:r>
              <w:rPr>
                <w:rFonts w:hint="eastAsia" w:ascii="宋体" w:hAnsi="宋体" w:eastAsia="宋体" w:cs="仿宋"/>
                <w:color w:val="000000"/>
                <w:kern w:val="0"/>
                <w:sz w:val="24"/>
                <w:szCs w:val="24"/>
                <w:highlight w:val="none"/>
                <w:lang w:eastAsia="zh-CN"/>
                <w14:ligatures w14:val="none"/>
              </w:rPr>
              <w:t>单位</w:t>
            </w:r>
          </w:p>
        </w:tc>
        <w:tc>
          <w:tcPr>
            <w:tcW w:w="1121" w:type="dxa"/>
            <w:vAlign w:val="center"/>
          </w:tcPr>
          <w:p w14:paraId="57988405">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lang w:eastAsia="zh-CN"/>
                <w14:ligatures w14:val="none"/>
              </w:rPr>
            </w:pPr>
            <w:r>
              <w:rPr>
                <w:rFonts w:hint="eastAsia" w:ascii="宋体" w:hAnsi="宋体" w:eastAsia="宋体" w:cs="仿宋"/>
                <w:color w:val="000000"/>
                <w:kern w:val="0"/>
                <w:sz w:val="24"/>
                <w:szCs w:val="24"/>
                <w:highlight w:val="none"/>
                <w:lang w:eastAsia="zh-CN"/>
                <w14:ligatures w14:val="none"/>
              </w:rPr>
              <w:t>数量</w:t>
            </w:r>
          </w:p>
        </w:tc>
      </w:tr>
      <w:tr w14:paraId="20D9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2343" w:type="dxa"/>
            <w:vAlign w:val="center"/>
          </w:tcPr>
          <w:p w14:paraId="21842AB6">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left"/>
              <w:textAlignment w:val="auto"/>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lang w:val="en-US" w:eastAsia="zh-CN"/>
                <w14:ligatures w14:val="none"/>
              </w:rPr>
              <w:t>三地统一调度带宽</w:t>
            </w:r>
          </w:p>
        </w:tc>
        <w:tc>
          <w:tcPr>
            <w:tcW w:w="4191" w:type="dxa"/>
            <w:vAlign w:val="center"/>
          </w:tcPr>
          <w:p w14:paraId="6DDC741E">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lang w:val="en-US" w:eastAsia="zh-CN"/>
                <w14:ligatures w14:val="none"/>
              </w:rPr>
              <w:t>≥5G</w:t>
            </w:r>
            <w:r>
              <w:rPr>
                <w:rFonts w:hint="eastAsia" w:ascii="宋体" w:hAnsi="宋体" w:eastAsia="宋体" w:cs="仿宋"/>
                <w:color w:val="000000"/>
                <w:kern w:val="0"/>
                <w:sz w:val="24"/>
                <w:szCs w:val="24"/>
                <w:highlight w:val="none"/>
                <w:lang w:val="en-US"/>
                <w14:ligatures w14:val="none"/>
              </w:rPr>
              <w:t>bps</w:t>
            </w:r>
            <w:r>
              <w:rPr>
                <w:rFonts w:hint="eastAsia" w:ascii="宋体" w:hAnsi="宋体" w:eastAsia="宋体" w:cs="仿宋"/>
                <w:color w:val="000000"/>
                <w:kern w:val="0"/>
                <w:sz w:val="24"/>
                <w:szCs w:val="24"/>
                <w:highlight w:val="none"/>
                <w14:ligatures w14:val="none"/>
              </w:rPr>
              <w:t>互联网专线带宽。</w:t>
            </w:r>
          </w:p>
        </w:tc>
        <w:tc>
          <w:tcPr>
            <w:tcW w:w="832" w:type="dxa"/>
            <w:vAlign w:val="center"/>
          </w:tcPr>
          <w:p w14:paraId="6E061C61">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14:ligatures w14:val="none"/>
              </w:rPr>
              <w:t>宗</w:t>
            </w:r>
          </w:p>
        </w:tc>
        <w:tc>
          <w:tcPr>
            <w:tcW w:w="1121" w:type="dxa"/>
            <w:vAlign w:val="center"/>
          </w:tcPr>
          <w:p w14:paraId="06770126">
            <w:pPr>
              <w:keepNext w:val="0"/>
              <w:keepLines w:val="0"/>
              <w:pageBreakBefore w:val="0"/>
              <w:widowControl w:val="0"/>
              <w:kinsoku/>
              <w:wordWrap/>
              <w:overflowPunct/>
              <w:topLinePunct w:val="0"/>
              <w:autoSpaceDE/>
              <w:autoSpaceDN/>
              <w:bidi w:val="0"/>
              <w:adjustRightInd/>
              <w:snapToGrid w:val="0"/>
              <w:spacing w:after="0" w:line="240" w:lineRule="auto"/>
              <w:ind w:firstLine="0" w:firstLineChars="0"/>
              <w:jc w:val="center"/>
              <w:textAlignment w:val="auto"/>
              <w:rPr>
                <w:rFonts w:hint="eastAsia" w:ascii="宋体" w:hAnsi="宋体" w:eastAsia="宋体" w:cs="仿宋"/>
                <w:color w:val="000000"/>
                <w:kern w:val="0"/>
                <w:sz w:val="24"/>
                <w:szCs w:val="24"/>
                <w:highlight w:val="none"/>
                <w14:ligatures w14:val="none"/>
              </w:rPr>
            </w:pPr>
            <w:r>
              <w:rPr>
                <w:rFonts w:hint="eastAsia" w:ascii="宋体" w:hAnsi="宋体" w:eastAsia="宋体" w:cs="仿宋"/>
                <w:color w:val="000000"/>
                <w:kern w:val="0"/>
                <w:sz w:val="24"/>
                <w:szCs w:val="24"/>
                <w:highlight w:val="none"/>
                <w14:ligatures w14:val="none"/>
              </w:rPr>
              <w:t>1</w:t>
            </w:r>
          </w:p>
        </w:tc>
      </w:tr>
    </w:tbl>
    <w:p w14:paraId="11B51841">
      <w:pPr>
        <w:rPr>
          <w:rFonts w:hint="eastAsia" w:ascii="宋体" w:hAnsi="宋体" w:eastAsia="宋体" w:cs="仿宋"/>
          <w:b/>
          <w:bCs/>
          <w:color w:val="000000"/>
          <w:kern w:val="0"/>
          <w:sz w:val="28"/>
          <w:szCs w:val="28"/>
          <w:highlight w:val="none"/>
          <w14:ligatures w14:val="none"/>
        </w:rPr>
      </w:pPr>
      <w:bookmarkStart w:id="11" w:name="_Toc118817909"/>
      <w:bookmarkStart w:id="12" w:name="_Toc132291446"/>
      <w:bookmarkStart w:id="13" w:name="_Toc57210937"/>
    </w:p>
    <w:p w14:paraId="3ABA28D2">
      <w:pPr>
        <w:rPr>
          <w:rFonts w:hint="eastAsia" w:ascii="宋体" w:hAnsi="宋体" w:eastAsia="宋体" w:cs="仿宋"/>
          <w:b/>
          <w:bCs/>
          <w:color w:val="000000"/>
          <w:kern w:val="0"/>
          <w:sz w:val="28"/>
          <w:szCs w:val="28"/>
          <w:highlight w:val="none"/>
          <w14:ligatures w14:val="none"/>
        </w:rPr>
      </w:pPr>
      <w:r>
        <w:rPr>
          <w:rFonts w:hint="eastAsia" w:ascii="宋体" w:hAnsi="宋体" w:eastAsia="宋体" w:cs="仿宋"/>
          <w:b/>
          <w:bCs/>
          <w:color w:val="000000"/>
          <w:kern w:val="0"/>
          <w:sz w:val="28"/>
          <w:szCs w:val="28"/>
          <w:highlight w:val="none"/>
          <w14:ligatures w14:val="none"/>
        </w:rPr>
        <w:br w:type="page"/>
      </w:r>
    </w:p>
    <w:p w14:paraId="6C3149E1">
      <w:pPr>
        <w:keepNext/>
        <w:keepLines/>
        <w:snapToGrid w:val="0"/>
        <w:spacing w:after="0" w:line="360" w:lineRule="auto"/>
        <w:jc w:val="both"/>
        <w:outlineLvl w:val="2"/>
        <w:rPr>
          <w:rFonts w:hint="eastAsia" w:ascii="宋体" w:hAnsi="宋体" w:eastAsia="宋体" w:cs="仿宋"/>
          <w:b/>
          <w:bCs/>
          <w:color w:val="000000"/>
          <w:kern w:val="0"/>
          <w:sz w:val="28"/>
          <w:szCs w:val="28"/>
          <w:highlight w:val="none"/>
          <w14:ligatures w14:val="none"/>
        </w:rPr>
      </w:pPr>
      <w:bookmarkStart w:id="14" w:name="_Toc29863"/>
      <w:bookmarkStart w:id="15" w:name="_Toc24583"/>
      <w:r>
        <w:rPr>
          <w:rFonts w:hint="eastAsia" w:ascii="宋体" w:hAnsi="宋体" w:eastAsia="宋体" w:cs="仿宋"/>
          <w:b/>
          <w:bCs/>
          <w:color w:val="000000"/>
          <w:kern w:val="0"/>
          <w:sz w:val="28"/>
          <w:szCs w:val="28"/>
          <w:highlight w:val="none"/>
          <w14:ligatures w14:val="none"/>
        </w:rPr>
        <w:t>二、技术条款及商务条款要求</w:t>
      </w:r>
      <w:bookmarkEnd w:id="11"/>
      <w:bookmarkEnd w:id="12"/>
      <w:bookmarkEnd w:id="13"/>
      <w:bookmarkEnd w:id="14"/>
      <w:bookmarkEnd w:id="15"/>
    </w:p>
    <w:p w14:paraId="78F0FD7F">
      <w:pPr>
        <w:keepNext/>
        <w:keepLines/>
        <w:snapToGrid w:val="0"/>
        <w:spacing w:after="0" w:line="360" w:lineRule="auto"/>
        <w:jc w:val="both"/>
        <w:outlineLvl w:val="3"/>
        <w:rPr>
          <w:rFonts w:hint="eastAsia" w:ascii="宋体" w:hAnsi="宋体" w:eastAsia="宋体" w:cs="仿宋"/>
          <w:b/>
          <w:bCs/>
          <w:color w:val="000000"/>
          <w:kern w:val="0"/>
          <w:sz w:val="28"/>
          <w:szCs w:val="28"/>
          <w:highlight w:val="none"/>
          <w14:ligatures w14:val="none"/>
        </w:rPr>
      </w:pPr>
      <w:bookmarkStart w:id="16" w:name="_Toc25105"/>
      <w:bookmarkStart w:id="17" w:name="_Toc31290"/>
      <w:bookmarkStart w:id="18" w:name="_Toc132291447"/>
      <w:r>
        <w:rPr>
          <w:rFonts w:hint="eastAsia" w:ascii="宋体" w:hAnsi="宋体" w:eastAsia="宋体" w:cs="仿宋"/>
          <w:b/>
          <w:bCs/>
          <w:color w:val="000000"/>
          <w:kern w:val="0"/>
          <w:sz w:val="28"/>
          <w:szCs w:val="28"/>
          <w:highlight w:val="none"/>
          <w:lang w:val="en-US" w:eastAsia="zh-CN"/>
          <w14:ligatures w14:val="none"/>
        </w:rPr>
        <w:t>1、</w:t>
      </w:r>
      <w:r>
        <w:rPr>
          <w:rFonts w:hint="eastAsia" w:ascii="宋体" w:hAnsi="宋体" w:eastAsia="宋体" w:cs="仿宋"/>
          <w:b/>
          <w:bCs/>
          <w:color w:val="000000"/>
          <w:kern w:val="0"/>
          <w:sz w:val="28"/>
          <w:szCs w:val="28"/>
          <w:highlight w:val="none"/>
          <w14:ligatures w14:val="none"/>
        </w:rPr>
        <w:t>技术条款</w:t>
      </w:r>
      <w:bookmarkEnd w:id="16"/>
      <w:bookmarkEnd w:id="17"/>
      <w:bookmarkEnd w:id="18"/>
    </w:p>
    <w:p w14:paraId="6ED7475C">
      <w:pPr>
        <w:keepNext/>
        <w:keepLines/>
        <w:snapToGrid w:val="0"/>
        <w:spacing w:after="0" w:line="360" w:lineRule="auto"/>
        <w:jc w:val="both"/>
        <w:outlineLvl w:val="4"/>
        <w:rPr>
          <w:rFonts w:hint="eastAsia" w:ascii="宋体" w:hAnsi="宋体" w:eastAsia="宋体" w:cs="仿宋"/>
          <w:b/>
          <w:bCs/>
          <w:color w:val="000000"/>
          <w:kern w:val="0"/>
          <w:sz w:val="28"/>
          <w:szCs w:val="28"/>
          <w:highlight w:val="none"/>
          <w:lang w:eastAsia="zh-CN"/>
          <w14:ligatures w14:val="none"/>
        </w:rPr>
      </w:pPr>
      <w:bookmarkStart w:id="19" w:name="_Toc27285"/>
      <w:r>
        <w:rPr>
          <w:rFonts w:hint="eastAsia" w:ascii="宋体" w:hAnsi="宋体" w:eastAsia="宋体" w:cs="仿宋"/>
          <w:b/>
          <w:bCs/>
          <w:color w:val="000000"/>
          <w:kern w:val="0"/>
          <w:sz w:val="28"/>
          <w:szCs w:val="28"/>
          <w:highlight w:val="none"/>
          <w:lang w:val="en-US" w:eastAsia="zh-CN"/>
          <w14:ligatures w14:val="none"/>
        </w:rPr>
        <w:t>A包</w:t>
      </w:r>
      <w:r>
        <w:rPr>
          <w:rFonts w:hint="eastAsia" w:ascii="宋体" w:hAnsi="宋体" w:eastAsia="宋体" w:cs="仿宋"/>
          <w:b/>
          <w:bCs/>
          <w:color w:val="000000"/>
          <w:kern w:val="0"/>
          <w:sz w:val="28"/>
          <w:szCs w:val="28"/>
          <w:highlight w:val="none"/>
          <w:lang w:eastAsia="zh-CN"/>
          <w14:ligatures w14:val="none"/>
        </w:rPr>
        <w:t>：</w:t>
      </w:r>
      <w:bookmarkEnd w:id="19"/>
      <w:r>
        <w:rPr>
          <w:rFonts w:hint="eastAsia" w:ascii="宋体" w:hAnsi="宋体" w:eastAsia="宋体" w:cs="仿宋"/>
          <w:b/>
          <w:bCs/>
          <w:color w:val="000000"/>
          <w:kern w:val="0"/>
          <w:sz w:val="28"/>
          <w:szCs w:val="28"/>
          <w:highlight w:val="none"/>
          <w:lang w:eastAsia="zh-CN"/>
          <w14:ligatures w14:val="none"/>
        </w:rPr>
        <w:t>校园网出口带宽</w:t>
      </w:r>
    </w:p>
    <w:tbl>
      <w:tblPr>
        <w:tblStyle w:val="17"/>
        <w:tblW w:w="505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07"/>
        <w:gridCol w:w="1705"/>
        <w:gridCol w:w="5805"/>
      </w:tblGrid>
      <w:tr w14:paraId="63F54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000" w:type="pct"/>
            <w:gridSpan w:val="3"/>
            <w:vAlign w:val="center"/>
          </w:tcPr>
          <w:p w14:paraId="2842E9C4">
            <w:pPr>
              <w:autoSpaceDE w:val="0"/>
              <w:autoSpaceDN w:val="0"/>
              <w:spacing w:after="0" w:line="360" w:lineRule="auto"/>
              <w:jc w:val="center"/>
              <w:rPr>
                <w:rFonts w:hint="eastAsia" w:ascii="宋体" w:hAnsi="宋体" w:eastAsia="宋体" w:cs="宋体"/>
                <w:b/>
                <w:bCs/>
                <w:kern w:val="0"/>
                <w:sz w:val="24"/>
                <w:szCs w:val="24"/>
                <w:highlight w:val="none"/>
                <w:lang w:eastAsia="zh-CN"/>
                <w14:ligatures w14:val="none"/>
              </w:rPr>
            </w:pPr>
            <w:bookmarkStart w:id="20" w:name="_Hlk196209670"/>
            <w:r>
              <w:rPr>
                <w:rFonts w:ascii="宋体" w:hAnsi="宋体" w:eastAsia="宋体" w:cs="宋体"/>
                <w:b/>
                <w:bCs/>
                <w:spacing w:val="-2"/>
                <w:kern w:val="0"/>
                <w:sz w:val="24"/>
                <w:szCs w:val="24"/>
                <w:highlight w:val="none"/>
                <w:lang w:eastAsia="zh-CN"/>
                <w14:ligatures w14:val="none"/>
              </w:rPr>
              <w:t>采购人要求（用户填写</w:t>
            </w:r>
            <w:r>
              <w:rPr>
                <w:rFonts w:ascii="宋体" w:hAnsi="宋体" w:eastAsia="宋体" w:cs="宋体"/>
                <w:b/>
                <w:bCs/>
                <w:spacing w:val="-10"/>
                <w:kern w:val="0"/>
                <w:sz w:val="24"/>
                <w:szCs w:val="24"/>
                <w:highlight w:val="none"/>
                <w:lang w:eastAsia="zh-CN"/>
                <w14:ligatures w14:val="none"/>
              </w:rPr>
              <w:t>）</w:t>
            </w:r>
          </w:p>
        </w:tc>
      </w:tr>
      <w:tr w14:paraId="6E033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1BE71A92">
            <w:pPr>
              <w:autoSpaceDE w:val="0"/>
              <w:autoSpaceDN w:val="0"/>
              <w:spacing w:after="0" w:line="360" w:lineRule="auto"/>
              <w:jc w:val="center"/>
              <w:rPr>
                <w:rFonts w:hint="eastAsia" w:ascii="宋体" w:hAnsi="宋体" w:eastAsia="宋体" w:cs="宋体"/>
                <w:b/>
                <w:bCs/>
                <w:kern w:val="0"/>
                <w:sz w:val="24"/>
                <w:szCs w:val="24"/>
                <w:highlight w:val="none"/>
                <w:lang w:eastAsia="en-US"/>
                <w14:ligatures w14:val="none"/>
              </w:rPr>
            </w:pPr>
            <w:r>
              <w:rPr>
                <w:rFonts w:ascii="宋体" w:hAnsi="宋体" w:eastAsia="宋体" w:cs="宋体"/>
                <w:b/>
                <w:bCs/>
                <w:spacing w:val="-6"/>
                <w:kern w:val="0"/>
                <w:sz w:val="24"/>
                <w:szCs w:val="24"/>
                <w:highlight w:val="none"/>
                <w:lang w:eastAsia="en-US"/>
                <w14:ligatures w14:val="none"/>
              </w:rPr>
              <w:t>序号</w:t>
            </w:r>
          </w:p>
        </w:tc>
        <w:tc>
          <w:tcPr>
            <w:tcW w:w="1013" w:type="pct"/>
            <w:vAlign w:val="center"/>
          </w:tcPr>
          <w:p w14:paraId="4721EC19">
            <w:pPr>
              <w:autoSpaceDE w:val="0"/>
              <w:autoSpaceDN w:val="0"/>
              <w:spacing w:after="0" w:line="360" w:lineRule="auto"/>
              <w:jc w:val="center"/>
              <w:rPr>
                <w:rFonts w:hint="eastAsia" w:ascii="宋体" w:hAnsi="宋体" w:eastAsia="宋体" w:cs="宋体"/>
                <w:b/>
                <w:bCs/>
                <w:kern w:val="0"/>
                <w:sz w:val="24"/>
                <w:szCs w:val="24"/>
                <w:highlight w:val="none"/>
                <w:lang w:eastAsia="en-US"/>
                <w14:ligatures w14:val="none"/>
              </w:rPr>
            </w:pPr>
            <w:r>
              <w:rPr>
                <w:rFonts w:ascii="宋体" w:hAnsi="宋体" w:eastAsia="宋体" w:cs="宋体"/>
                <w:b/>
                <w:bCs/>
                <w:spacing w:val="-5"/>
                <w:kern w:val="0"/>
                <w:sz w:val="24"/>
                <w:szCs w:val="24"/>
                <w:highlight w:val="none"/>
                <w:lang w:eastAsia="en-US"/>
                <w14:ligatures w14:val="none"/>
              </w:rPr>
              <w:t>指标项</w:t>
            </w:r>
          </w:p>
        </w:tc>
        <w:tc>
          <w:tcPr>
            <w:tcW w:w="3447" w:type="pct"/>
            <w:vAlign w:val="center"/>
          </w:tcPr>
          <w:p w14:paraId="0A1712F7">
            <w:pPr>
              <w:autoSpaceDE w:val="0"/>
              <w:autoSpaceDN w:val="0"/>
              <w:spacing w:after="0" w:line="360" w:lineRule="auto"/>
              <w:jc w:val="center"/>
              <w:rPr>
                <w:rFonts w:hint="eastAsia" w:ascii="宋体" w:hAnsi="宋体" w:eastAsia="宋体" w:cs="宋体"/>
                <w:b/>
                <w:bCs/>
                <w:kern w:val="0"/>
                <w:sz w:val="24"/>
                <w:szCs w:val="24"/>
                <w:highlight w:val="none"/>
                <w:lang w:eastAsia="en-US"/>
                <w14:ligatures w14:val="none"/>
              </w:rPr>
            </w:pPr>
            <w:r>
              <w:rPr>
                <w:rFonts w:hint="eastAsia" w:ascii="宋体" w:hAnsi="宋体" w:eastAsia="宋体" w:cs="宋体"/>
                <w:b/>
                <w:bCs/>
                <w:spacing w:val="-4"/>
                <w:kern w:val="0"/>
                <w:sz w:val="24"/>
                <w:szCs w:val="24"/>
                <w:highlight w:val="none"/>
                <w:lang w:eastAsia="zh-CN"/>
                <w14:ligatures w14:val="none"/>
              </w:rPr>
              <w:t>技术</w:t>
            </w:r>
            <w:r>
              <w:rPr>
                <w:rFonts w:ascii="宋体" w:hAnsi="宋体" w:eastAsia="宋体" w:cs="宋体"/>
                <w:b/>
                <w:bCs/>
                <w:spacing w:val="-4"/>
                <w:kern w:val="0"/>
                <w:sz w:val="24"/>
                <w:szCs w:val="24"/>
                <w:highlight w:val="none"/>
                <w:lang w:eastAsia="en-US"/>
                <w14:ligatures w14:val="none"/>
              </w:rPr>
              <w:t>指标要求</w:t>
            </w:r>
          </w:p>
        </w:tc>
      </w:tr>
      <w:tr w14:paraId="78C9B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5CED7C8B">
            <w:pPr>
              <w:autoSpaceDE w:val="0"/>
              <w:autoSpaceDN w:val="0"/>
              <w:spacing w:after="0" w:line="360" w:lineRule="auto"/>
              <w:jc w:val="center"/>
              <w:rPr>
                <w:rFonts w:hint="eastAsia" w:ascii="宋体" w:hAnsi="宋体" w:eastAsia="宋体" w:cs="宋体"/>
                <w:kern w:val="0"/>
                <w:sz w:val="24"/>
                <w:szCs w:val="24"/>
                <w:highlight w:val="none"/>
                <w:lang w:eastAsia="en-US"/>
                <w14:ligatures w14:val="none"/>
              </w:rPr>
            </w:pPr>
            <w:r>
              <w:rPr>
                <w:rFonts w:ascii="宋体" w:hAnsi="宋体" w:eastAsia="宋体" w:cs="宋体"/>
                <w:spacing w:val="-10"/>
                <w:kern w:val="0"/>
                <w:sz w:val="24"/>
                <w:szCs w:val="24"/>
                <w:highlight w:val="none"/>
                <w:lang w:eastAsia="en-US"/>
                <w14:ligatures w14:val="none"/>
              </w:rPr>
              <w:t>1</w:t>
            </w:r>
          </w:p>
        </w:tc>
        <w:tc>
          <w:tcPr>
            <w:tcW w:w="4460" w:type="pct"/>
            <w:gridSpan w:val="2"/>
            <w:vAlign w:val="center"/>
          </w:tcPr>
          <w:p w14:paraId="599015AC">
            <w:pPr>
              <w:autoSpaceDE w:val="0"/>
              <w:autoSpaceDN w:val="0"/>
              <w:spacing w:after="0" w:line="360" w:lineRule="auto"/>
              <w:jc w:val="both"/>
              <w:rPr>
                <w:rFonts w:hint="eastAsia" w:ascii="宋体" w:hAnsi="宋体" w:eastAsia="宋体" w:cs="宋体"/>
                <w:kern w:val="0"/>
                <w:sz w:val="24"/>
                <w:szCs w:val="24"/>
                <w:highlight w:val="none"/>
                <w:lang w:eastAsia="zh-CN"/>
                <w14:ligatures w14:val="none"/>
              </w:rPr>
            </w:pPr>
            <w:r>
              <w:rPr>
                <w:rFonts w:hint="eastAsia" w:ascii="宋体" w:hAnsi="宋体" w:eastAsia="宋体" w:cs="宋体"/>
                <w:spacing w:val="-4"/>
                <w:kern w:val="0"/>
                <w:sz w:val="24"/>
                <w:szCs w:val="24"/>
                <w:highlight w:val="none"/>
                <w:lang w:eastAsia="zh-CN"/>
                <w14:ligatures w14:val="none"/>
              </w:rPr>
              <w:t>校园网出口带宽</w:t>
            </w:r>
          </w:p>
        </w:tc>
      </w:tr>
      <w:tr w14:paraId="2FCDA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16C6F4C3">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5"/>
                <w:kern w:val="0"/>
                <w:sz w:val="24"/>
                <w:szCs w:val="24"/>
                <w:highlight w:val="none"/>
                <w:lang w:eastAsia="en-US"/>
                <w14:ligatures w14:val="none"/>
              </w:rPr>
              <w:t>1.1</w:t>
            </w:r>
          </w:p>
        </w:tc>
        <w:tc>
          <w:tcPr>
            <w:tcW w:w="1013" w:type="pct"/>
            <w:shd w:val="clear" w:color="auto" w:fill="auto"/>
            <w:vAlign w:val="center"/>
          </w:tcPr>
          <w:p w14:paraId="78BC8E30">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4"/>
                <w:kern w:val="0"/>
                <w:sz w:val="24"/>
                <w:szCs w:val="24"/>
                <w:highlight w:val="none"/>
                <w:lang w:eastAsia="en-US"/>
                <w14:ligatures w14:val="none"/>
              </w:rPr>
              <w:t>★带宽需求</w:t>
            </w:r>
          </w:p>
        </w:tc>
        <w:tc>
          <w:tcPr>
            <w:tcW w:w="3447" w:type="pct"/>
            <w:shd w:val="clear" w:color="auto" w:fill="auto"/>
            <w:vAlign w:val="center"/>
          </w:tcPr>
          <w:p w14:paraId="0F358290">
            <w:pPr>
              <w:autoSpaceDE w:val="0"/>
              <w:autoSpaceDN w:val="0"/>
              <w:spacing w:after="0" w:line="360" w:lineRule="auto"/>
              <w:jc w:val="both"/>
              <w:rPr>
                <w:rFonts w:hint="eastAsia" w:ascii="宋体" w:hAnsi="宋体" w:eastAsia="宋体" w:cs="宋体"/>
                <w:kern w:val="0"/>
                <w:sz w:val="24"/>
                <w:szCs w:val="24"/>
                <w:highlight w:val="none"/>
                <w:lang w:val="en-US" w:eastAsia="zh-CN" w:bidi="ar-SA"/>
                <w14:ligatures w14:val="none"/>
              </w:rPr>
            </w:pPr>
            <w:r>
              <w:rPr>
                <w:rFonts w:ascii="宋体" w:hAnsi="宋体" w:eastAsia="宋体" w:cs="宋体"/>
                <w:spacing w:val="-1"/>
                <w:kern w:val="0"/>
                <w:sz w:val="24"/>
                <w:szCs w:val="24"/>
                <w:highlight w:val="none"/>
                <w:lang w:eastAsia="zh-CN"/>
                <w14:ligatures w14:val="none"/>
              </w:rPr>
              <w:t>投标人提供的互联网专线应上下行带宽对等，上下行带宽均为</w:t>
            </w:r>
            <w:r>
              <w:rPr>
                <w:rFonts w:hint="eastAsia" w:ascii="宋体" w:hAnsi="宋体" w:eastAsia="宋体" w:cs="宋体"/>
                <w:spacing w:val="-1"/>
                <w:kern w:val="0"/>
                <w:sz w:val="24"/>
                <w:szCs w:val="24"/>
                <w:highlight w:val="none"/>
                <w:lang w:val="en-US" w:eastAsia="zh-CN"/>
                <w14:ligatures w14:val="none"/>
              </w:rPr>
              <w:t>10</w:t>
            </w:r>
            <w:r>
              <w:rPr>
                <w:rFonts w:ascii="宋体" w:hAnsi="宋体" w:eastAsia="宋体" w:cs="宋体"/>
                <w:kern w:val="0"/>
                <w:sz w:val="24"/>
                <w:szCs w:val="24"/>
                <w:highlight w:val="none"/>
                <w:lang w:eastAsia="zh-CN"/>
                <w14:ligatures w14:val="none"/>
              </w:rPr>
              <w:t>Gbps；专线应为光纤</w:t>
            </w:r>
            <w:r>
              <w:rPr>
                <w:rFonts w:ascii="宋体" w:hAnsi="宋体" w:eastAsia="宋体" w:cs="宋体"/>
                <w:spacing w:val="-2"/>
                <w:kern w:val="0"/>
                <w:sz w:val="24"/>
                <w:szCs w:val="24"/>
                <w:highlight w:val="none"/>
                <w:lang w:eastAsia="zh-CN"/>
                <w14:ligatures w14:val="none"/>
              </w:rPr>
              <w:t>独享，并且为真实的光纤接入，确保互联网线路不复用；投标人提供的互联网带宽在投</w:t>
            </w:r>
            <w:r>
              <w:rPr>
                <w:rFonts w:ascii="宋体" w:hAnsi="宋体" w:eastAsia="宋体" w:cs="宋体"/>
                <w:spacing w:val="-5"/>
                <w:kern w:val="0"/>
                <w:sz w:val="24"/>
                <w:szCs w:val="24"/>
                <w:highlight w:val="none"/>
                <w:lang w:eastAsia="zh-CN"/>
                <w14:ligatures w14:val="none"/>
              </w:rPr>
              <w:t>标人接入机房至采购人机房段为独享带宽方式；投标人需提供到采购人接入设备前所需</w:t>
            </w:r>
            <w:r>
              <w:rPr>
                <w:rFonts w:ascii="宋体" w:hAnsi="宋体" w:eastAsia="宋体" w:cs="宋体"/>
                <w:spacing w:val="-2"/>
                <w:kern w:val="0"/>
                <w:sz w:val="24"/>
                <w:szCs w:val="24"/>
                <w:highlight w:val="none"/>
                <w:lang w:eastAsia="zh-CN"/>
                <w14:ligatures w14:val="none"/>
              </w:rPr>
              <w:t>的设备、光模块、尾纤等设备及配件。</w:t>
            </w:r>
          </w:p>
        </w:tc>
      </w:tr>
      <w:tr w14:paraId="09038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42CAB6AE">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5"/>
                <w:kern w:val="0"/>
                <w:sz w:val="24"/>
                <w:szCs w:val="24"/>
                <w:highlight w:val="none"/>
                <w:lang w:eastAsia="en-US"/>
                <w14:ligatures w14:val="none"/>
              </w:rPr>
              <w:t>1.2</w:t>
            </w:r>
          </w:p>
        </w:tc>
        <w:tc>
          <w:tcPr>
            <w:tcW w:w="1013" w:type="pct"/>
            <w:shd w:val="clear" w:color="auto" w:fill="auto"/>
            <w:vAlign w:val="center"/>
          </w:tcPr>
          <w:p w14:paraId="7986BD9B">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4"/>
                <w:kern w:val="0"/>
                <w:sz w:val="24"/>
                <w:szCs w:val="24"/>
                <w:highlight w:val="none"/>
                <w:lang w:eastAsia="en-US"/>
                <w14:ligatures w14:val="none"/>
              </w:rPr>
              <w:t>线路保护要求</w:t>
            </w:r>
          </w:p>
        </w:tc>
        <w:tc>
          <w:tcPr>
            <w:tcW w:w="3447" w:type="pct"/>
            <w:shd w:val="clear" w:color="auto" w:fill="auto"/>
            <w:vAlign w:val="center"/>
          </w:tcPr>
          <w:p w14:paraId="257326DC">
            <w:pPr>
              <w:autoSpaceDE w:val="0"/>
              <w:autoSpaceDN w:val="0"/>
              <w:spacing w:after="0" w:line="360" w:lineRule="auto"/>
              <w:jc w:val="both"/>
              <w:rPr>
                <w:rFonts w:hint="eastAsia" w:ascii="宋体" w:hAnsi="宋体" w:eastAsia="宋体" w:cs="宋体"/>
                <w:kern w:val="0"/>
                <w:sz w:val="24"/>
                <w:szCs w:val="24"/>
                <w:highlight w:val="none"/>
                <w:lang w:val="en-US" w:eastAsia="zh-CN" w:bidi="ar-SA"/>
                <w14:ligatures w14:val="none"/>
              </w:rPr>
            </w:pPr>
            <w:r>
              <w:rPr>
                <w:rFonts w:ascii="宋体" w:hAnsi="宋体" w:eastAsia="宋体" w:cs="宋体"/>
                <w:spacing w:val="-5"/>
                <w:kern w:val="0"/>
                <w:sz w:val="24"/>
                <w:szCs w:val="24"/>
                <w:highlight w:val="none"/>
                <w:lang w:eastAsia="zh-CN"/>
                <w14:ligatures w14:val="none"/>
              </w:rPr>
              <w:t>传输专线两端要求提供物理双路由保护的光缆资源并接入指定机房，需保证光缆线路全</w:t>
            </w:r>
            <w:r>
              <w:rPr>
                <w:rFonts w:ascii="宋体" w:hAnsi="宋体" w:eastAsia="宋体" w:cs="宋体"/>
                <w:spacing w:val="-2"/>
                <w:kern w:val="0"/>
                <w:sz w:val="24"/>
                <w:szCs w:val="24"/>
                <w:highlight w:val="none"/>
                <w:lang w:eastAsia="zh-CN"/>
                <w14:ligatures w14:val="none"/>
              </w:rPr>
              <w:t>程的安全稳定性及线缆冗余，保证线路抗风险保护能力。</w:t>
            </w:r>
          </w:p>
        </w:tc>
      </w:tr>
      <w:tr w14:paraId="76901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3DBF7C66">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5"/>
                <w:kern w:val="0"/>
                <w:sz w:val="24"/>
                <w:szCs w:val="24"/>
                <w:highlight w:val="none"/>
                <w:lang w:eastAsia="en-US"/>
                <w14:ligatures w14:val="none"/>
              </w:rPr>
              <w:t>1.3</w:t>
            </w:r>
          </w:p>
        </w:tc>
        <w:tc>
          <w:tcPr>
            <w:tcW w:w="1013" w:type="pct"/>
            <w:shd w:val="clear" w:color="auto" w:fill="auto"/>
            <w:vAlign w:val="center"/>
          </w:tcPr>
          <w:p w14:paraId="7A72AE96">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4"/>
                <w:kern w:val="0"/>
                <w:sz w:val="24"/>
                <w:szCs w:val="24"/>
                <w:highlight w:val="none"/>
                <w:lang w:eastAsia="en-US"/>
                <w14:ligatures w14:val="none"/>
              </w:rPr>
              <w:t>保护倒换要求</w:t>
            </w:r>
          </w:p>
        </w:tc>
        <w:tc>
          <w:tcPr>
            <w:tcW w:w="3447" w:type="pct"/>
            <w:shd w:val="clear" w:color="auto" w:fill="auto"/>
            <w:vAlign w:val="center"/>
          </w:tcPr>
          <w:p w14:paraId="19F2E8E2">
            <w:pPr>
              <w:autoSpaceDE w:val="0"/>
              <w:autoSpaceDN w:val="0"/>
              <w:spacing w:after="0" w:line="360" w:lineRule="auto"/>
              <w:jc w:val="both"/>
              <w:rPr>
                <w:rFonts w:hint="eastAsia" w:ascii="宋体" w:hAnsi="宋体" w:eastAsia="宋体" w:cs="宋体"/>
                <w:kern w:val="0"/>
                <w:sz w:val="24"/>
                <w:szCs w:val="24"/>
                <w:highlight w:val="none"/>
                <w:lang w:val="en-US" w:eastAsia="zh-CN" w:bidi="ar-SA"/>
                <w14:ligatures w14:val="none"/>
              </w:rPr>
            </w:pPr>
            <w:r>
              <w:rPr>
                <w:rFonts w:ascii="宋体" w:hAnsi="宋体" w:eastAsia="宋体" w:cs="宋体"/>
                <w:spacing w:val="-1"/>
                <w:kern w:val="0"/>
                <w:sz w:val="24"/>
                <w:szCs w:val="24"/>
                <w:highlight w:val="none"/>
                <w:lang w:eastAsia="zh-CN"/>
                <w14:ligatures w14:val="none"/>
              </w:rPr>
              <w:t>所提供的传输专线应处在投标人传送网自愈保护环网中，保证自愈环保护倒换时间≤</w:t>
            </w:r>
            <w:r>
              <w:rPr>
                <w:rFonts w:ascii="宋体" w:hAnsi="宋体" w:eastAsia="宋体" w:cs="宋体"/>
                <w:spacing w:val="-2"/>
                <w:kern w:val="0"/>
                <w:sz w:val="24"/>
                <w:szCs w:val="24"/>
                <w:highlight w:val="none"/>
                <w:lang w:eastAsia="zh-CN"/>
                <w14:ligatures w14:val="none"/>
              </w:rPr>
              <w:t>50ms</w:t>
            </w:r>
            <w:r>
              <w:rPr>
                <w:rFonts w:ascii="宋体" w:hAnsi="宋体" w:eastAsia="宋体" w:cs="宋体"/>
                <w:spacing w:val="-3"/>
                <w:kern w:val="0"/>
                <w:sz w:val="24"/>
                <w:szCs w:val="24"/>
                <w:highlight w:val="none"/>
                <w:lang w:eastAsia="zh-CN"/>
                <w14:ligatures w14:val="none"/>
              </w:rPr>
              <w:t>，倒换期间承载应用无感知。</w:t>
            </w:r>
          </w:p>
        </w:tc>
      </w:tr>
      <w:tr w14:paraId="6C3F5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6162EBAF">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5"/>
                <w:kern w:val="0"/>
                <w:sz w:val="24"/>
                <w:szCs w:val="24"/>
                <w:highlight w:val="none"/>
                <w:lang w:eastAsia="en-US"/>
                <w14:ligatures w14:val="none"/>
              </w:rPr>
              <w:t>1.4</w:t>
            </w:r>
          </w:p>
        </w:tc>
        <w:tc>
          <w:tcPr>
            <w:tcW w:w="1013" w:type="pct"/>
            <w:shd w:val="clear" w:color="auto" w:fill="auto"/>
            <w:vAlign w:val="center"/>
          </w:tcPr>
          <w:p w14:paraId="6AA3A628">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kern w:val="0"/>
                <w:sz w:val="24"/>
                <w:szCs w:val="24"/>
                <w:highlight w:val="none"/>
                <w:lang w:eastAsia="en-US"/>
                <w14:ligatures w14:val="none"/>
              </w:rPr>
              <w:t>IPv6</w:t>
            </w:r>
            <w:r>
              <w:rPr>
                <w:rFonts w:ascii="宋体" w:hAnsi="宋体" w:eastAsia="宋体" w:cs="宋体"/>
                <w:spacing w:val="-5"/>
                <w:kern w:val="0"/>
                <w:sz w:val="24"/>
                <w:szCs w:val="24"/>
                <w:highlight w:val="none"/>
                <w:lang w:eastAsia="en-US"/>
                <w14:ligatures w14:val="none"/>
              </w:rPr>
              <w:t>支持</w:t>
            </w:r>
          </w:p>
        </w:tc>
        <w:tc>
          <w:tcPr>
            <w:tcW w:w="3447" w:type="pct"/>
            <w:shd w:val="clear" w:color="auto" w:fill="auto"/>
            <w:vAlign w:val="center"/>
          </w:tcPr>
          <w:p w14:paraId="25A0E64A">
            <w:pPr>
              <w:autoSpaceDE w:val="0"/>
              <w:autoSpaceDN w:val="0"/>
              <w:spacing w:after="0" w:line="360" w:lineRule="auto"/>
              <w:jc w:val="both"/>
              <w:rPr>
                <w:rFonts w:hint="eastAsia" w:ascii="宋体" w:hAnsi="宋体" w:eastAsia="宋体" w:cs="宋体"/>
                <w:kern w:val="0"/>
                <w:sz w:val="24"/>
                <w:szCs w:val="24"/>
                <w:highlight w:val="none"/>
                <w:lang w:val="en-US" w:eastAsia="zh-CN" w:bidi="ar-SA"/>
                <w14:ligatures w14:val="none"/>
              </w:rPr>
            </w:pPr>
            <w:r>
              <w:rPr>
                <w:rFonts w:ascii="宋体" w:hAnsi="宋体" w:eastAsia="宋体" w:cs="宋体"/>
                <w:spacing w:val="-16"/>
                <w:kern w:val="0"/>
                <w:sz w:val="24"/>
                <w:szCs w:val="24"/>
                <w:highlight w:val="none"/>
                <w:lang w:eastAsia="zh-CN"/>
                <w14:ligatures w14:val="none"/>
              </w:rPr>
              <w:t>支持</w:t>
            </w:r>
            <w:r>
              <w:rPr>
                <w:rFonts w:ascii="宋体" w:hAnsi="宋体" w:eastAsia="宋体" w:cs="宋体"/>
                <w:spacing w:val="-2"/>
                <w:kern w:val="0"/>
                <w:sz w:val="24"/>
                <w:szCs w:val="24"/>
                <w:highlight w:val="none"/>
                <w:lang w:eastAsia="zh-CN"/>
                <w14:ligatures w14:val="none"/>
              </w:rPr>
              <w:t>IPv6</w:t>
            </w:r>
            <w:r>
              <w:rPr>
                <w:rFonts w:ascii="宋体" w:hAnsi="宋体" w:eastAsia="宋体" w:cs="宋体"/>
                <w:spacing w:val="-24"/>
                <w:kern w:val="0"/>
                <w:sz w:val="24"/>
                <w:szCs w:val="24"/>
                <w:highlight w:val="none"/>
                <w:lang w:eastAsia="zh-CN"/>
                <w14:ligatures w14:val="none"/>
              </w:rPr>
              <w:t>和</w:t>
            </w:r>
            <w:r>
              <w:rPr>
                <w:rFonts w:ascii="宋体" w:hAnsi="宋体" w:eastAsia="宋体" w:cs="宋体"/>
                <w:spacing w:val="-2"/>
                <w:kern w:val="0"/>
                <w:sz w:val="24"/>
                <w:szCs w:val="24"/>
                <w:highlight w:val="none"/>
                <w:lang w:eastAsia="zh-CN"/>
                <w14:ligatures w14:val="none"/>
              </w:rPr>
              <w:t>IPv4</w:t>
            </w:r>
            <w:r>
              <w:rPr>
                <w:rFonts w:ascii="宋体" w:hAnsi="宋体" w:eastAsia="宋体" w:cs="宋体"/>
                <w:spacing w:val="-6"/>
                <w:kern w:val="0"/>
                <w:sz w:val="24"/>
                <w:szCs w:val="24"/>
                <w:highlight w:val="none"/>
                <w:lang w:eastAsia="zh-CN"/>
                <w14:ligatures w14:val="none"/>
              </w:rPr>
              <w:t>双栈部署，满足各类应用向</w:t>
            </w:r>
            <w:r>
              <w:rPr>
                <w:rFonts w:ascii="宋体" w:hAnsi="宋体" w:eastAsia="宋体" w:cs="宋体"/>
                <w:spacing w:val="-2"/>
                <w:kern w:val="0"/>
                <w:sz w:val="24"/>
                <w:szCs w:val="24"/>
                <w:highlight w:val="none"/>
                <w:lang w:eastAsia="zh-CN"/>
                <w14:ligatures w14:val="none"/>
              </w:rPr>
              <w:t>IPv6</w:t>
            </w:r>
            <w:r>
              <w:rPr>
                <w:rFonts w:ascii="宋体" w:hAnsi="宋体" w:eastAsia="宋体" w:cs="宋体"/>
                <w:spacing w:val="-4"/>
                <w:kern w:val="0"/>
                <w:sz w:val="24"/>
                <w:szCs w:val="24"/>
                <w:highlight w:val="none"/>
                <w:lang w:eastAsia="zh-CN"/>
                <w14:ligatures w14:val="none"/>
              </w:rPr>
              <w:t>过渡演进。</w:t>
            </w:r>
          </w:p>
        </w:tc>
      </w:tr>
      <w:tr w14:paraId="63220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2838C7AB">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5"/>
                <w:kern w:val="0"/>
                <w:sz w:val="24"/>
                <w:szCs w:val="24"/>
                <w:highlight w:val="none"/>
                <w:lang w:eastAsia="en-US"/>
                <w14:ligatures w14:val="none"/>
              </w:rPr>
              <w:t>1.5</w:t>
            </w:r>
          </w:p>
        </w:tc>
        <w:tc>
          <w:tcPr>
            <w:tcW w:w="1013" w:type="pct"/>
            <w:shd w:val="clear" w:color="auto" w:fill="auto"/>
            <w:vAlign w:val="center"/>
          </w:tcPr>
          <w:p w14:paraId="66A82583">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kern w:val="0"/>
                <w:sz w:val="24"/>
                <w:szCs w:val="24"/>
                <w:highlight w:val="none"/>
                <w:lang w:eastAsia="en-US"/>
                <w14:ligatures w14:val="none"/>
              </w:rPr>
              <w:t>▲IPV4</w:t>
            </w:r>
            <w:r>
              <w:rPr>
                <w:rFonts w:ascii="宋体" w:hAnsi="宋体" w:eastAsia="宋体" w:cs="宋体"/>
                <w:spacing w:val="-3"/>
                <w:kern w:val="0"/>
                <w:sz w:val="24"/>
                <w:szCs w:val="24"/>
                <w:highlight w:val="none"/>
                <w:lang w:eastAsia="en-US"/>
                <w14:ligatures w14:val="none"/>
              </w:rPr>
              <w:t>地址数量</w:t>
            </w:r>
          </w:p>
        </w:tc>
        <w:tc>
          <w:tcPr>
            <w:tcW w:w="3447" w:type="pct"/>
            <w:shd w:val="clear" w:color="auto" w:fill="auto"/>
            <w:vAlign w:val="center"/>
          </w:tcPr>
          <w:p w14:paraId="3FA7684E">
            <w:pPr>
              <w:autoSpaceDE w:val="0"/>
              <w:autoSpaceDN w:val="0"/>
              <w:spacing w:after="0" w:line="360" w:lineRule="auto"/>
              <w:jc w:val="both"/>
              <w:rPr>
                <w:rFonts w:hint="eastAsia" w:ascii="宋体" w:hAnsi="宋体" w:eastAsia="宋体" w:cs="宋体"/>
                <w:kern w:val="0"/>
                <w:sz w:val="24"/>
                <w:szCs w:val="24"/>
                <w:highlight w:val="none"/>
                <w:lang w:val="en-US" w:eastAsia="zh-CN" w:bidi="ar-SA"/>
                <w14:ligatures w14:val="none"/>
              </w:rPr>
            </w:pPr>
            <w:r>
              <w:rPr>
                <w:rFonts w:ascii="宋体" w:hAnsi="宋体" w:eastAsia="宋体" w:cs="宋体"/>
                <w:spacing w:val="-2"/>
                <w:kern w:val="0"/>
                <w:sz w:val="24"/>
                <w:szCs w:val="24"/>
                <w:highlight w:val="none"/>
                <w:lang w:eastAsia="zh-CN"/>
                <w14:ligatures w14:val="none"/>
              </w:rPr>
              <w:t>提供≥</w:t>
            </w:r>
            <w:r>
              <w:rPr>
                <w:rFonts w:hint="eastAsia" w:ascii="宋体" w:hAnsi="宋体" w:eastAsia="宋体" w:cs="宋体"/>
                <w:spacing w:val="-2"/>
                <w:kern w:val="0"/>
                <w:sz w:val="24"/>
                <w:szCs w:val="24"/>
                <w:highlight w:val="none"/>
                <w:lang w:val="en-US" w:eastAsia="zh-CN"/>
                <w14:ligatures w14:val="none"/>
              </w:rPr>
              <w:t>128</w:t>
            </w:r>
            <w:r>
              <w:rPr>
                <w:rFonts w:ascii="宋体" w:hAnsi="宋体" w:eastAsia="宋体" w:cs="宋体"/>
                <w:spacing w:val="-13"/>
                <w:kern w:val="0"/>
                <w:sz w:val="24"/>
                <w:szCs w:val="24"/>
                <w:highlight w:val="none"/>
                <w:lang w:eastAsia="zh-CN"/>
                <w14:ligatures w14:val="none"/>
              </w:rPr>
              <w:t>个公网</w:t>
            </w:r>
            <w:r>
              <w:rPr>
                <w:rFonts w:ascii="宋体" w:hAnsi="宋体" w:eastAsia="宋体" w:cs="宋体"/>
                <w:spacing w:val="-2"/>
                <w:kern w:val="0"/>
                <w:sz w:val="24"/>
                <w:szCs w:val="24"/>
                <w:highlight w:val="none"/>
                <w:lang w:eastAsia="zh-CN"/>
                <w14:ligatures w14:val="none"/>
              </w:rPr>
              <w:t>IPv4地址</w:t>
            </w:r>
            <w:r>
              <w:rPr>
                <w:rFonts w:hint="eastAsia" w:ascii="宋体" w:hAnsi="宋体" w:eastAsia="宋体" w:cs="宋体"/>
                <w:spacing w:val="-2"/>
                <w:kern w:val="0"/>
                <w:sz w:val="24"/>
                <w:szCs w:val="24"/>
                <w:highlight w:val="none"/>
                <w:lang w:eastAsia="zh-CN"/>
                <w14:ligatures w14:val="none"/>
              </w:rPr>
              <w:t>，</w:t>
            </w:r>
            <w:r>
              <w:rPr>
                <w:rFonts w:ascii="宋体" w:hAnsi="宋体" w:eastAsia="宋体" w:cs="宋体"/>
                <w:spacing w:val="-3"/>
                <w:kern w:val="0"/>
                <w:sz w:val="24"/>
                <w:szCs w:val="24"/>
                <w:highlight w:val="none"/>
                <w:lang w:eastAsia="zh-CN"/>
                <w14:ligatures w14:val="none"/>
              </w:rPr>
              <w:t>且此公网地址不做二次转换；</w:t>
            </w:r>
            <w:r>
              <w:rPr>
                <w:rFonts w:ascii="宋体" w:hAnsi="宋体" w:eastAsia="宋体" w:cs="宋体"/>
                <w:spacing w:val="-9"/>
                <w:kern w:val="0"/>
                <w:sz w:val="24"/>
                <w:szCs w:val="24"/>
                <w:highlight w:val="none"/>
                <w:lang w:eastAsia="zh-CN"/>
                <w14:ligatures w14:val="none"/>
              </w:rPr>
              <w:t>提供</w:t>
            </w:r>
            <w:r>
              <w:rPr>
                <w:rFonts w:ascii="宋体" w:hAnsi="宋体" w:eastAsia="宋体" w:cs="宋体"/>
                <w:spacing w:val="-2"/>
                <w:kern w:val="0"/>
                <w:sz w:val="24"/>
                <w:szCs w:val="24"/>
                <w:highlight w:val="none"/>
                <w:lang w:eastAsia="zh-CN"/>
                <w14:ligatures w14:val="none"/>
              </w:rPr>
              <w:t>30</w:t>
            </w:r>
            <w:r>
              <w:rPr>
                <w:rFonts w:ascii="宋体" w:hAnsi="宋体" w:eastAsia="宋体" w:cs="宋体"/>
                <w:spacing w:val="-9"/>
                <w:kern w:val="0"/>
                <w:sz w:val="24"/>
                <w:szCs w:val="24"/>
                <w:highlight w:val="none"/>
                <w:lang w:eastAsia="zh-CN"/>
                <w14:ligatures w14:val="none"/>
              </w:rPr>
              <w:t>位掩码的公网</w:t>
            </w:r>
            <w:r>
              <w:rPr>
                <w:rFonts w:ascii="宋体" w:hAnsi="宋体" w:eastAsia="宋体" w:cs="宋体"/>
                <w:spacing w:val="-2"/>
                <w:kern w:val="0"/>
                <w:sz w:val="24"/>
                <w:szCs w:val="24"/>
                <w:highlight w:val="none"/>
                <w:lang w:eastAsia="zh-CN"/>
                <w14:ligatures w14:val="none"/>
              </w:rPr>
              <w:t>IPv4</w:t>
            </w:r>
            <w:r>
              <w:rPr>
                <w:rFonts w:ascii="宋体" w:hAnsi="宋体" w:eastAsia="宋体" w:cs="宋体"/>
                <w:spacing w:val="-3"/>
                <w:kern w:val="0"/>
                <w:sz w:val="24"/>
                <w:szCs w:val="24"/>
                <w:highlight w:val="none"/>
                <w:lang w:eastAsia="zh-CN"/>
                <w14:ligatures w14:val="none"/>
              </w:rPr>
              <w:t>用于和采购人进行设备之间的端口互联。</w:t>
            </w:r>
          </w:p>
        </w:tc>
      </w:tr>
      <w:tr w14:paraId="2B50E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3856D6F9">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spacing w:val="-5"/>
                <w:kern w:val="0"/>
                <w:sz w:val="24"/>
                <w:szCs w:val="24"/>
                <w:highlight w:val="none"/>
                <w:lang w:eastAsia="en-US"/>
                <w14:ligatures w14:val="none"/>
              </w:rPr>
              <w:t>1.6</w:t>
            </w:r>
          </w:p>
        </w:tc>
        <w:tc>
          <w:tcPr>
            <w:tcW w:w="1013" w:type="pct"/>
            <w:shd w:val="clear" w:color="auto" w:fill="auto"/>
            <w:vAlign w:val="center"/>
          </w:tcPr>
          <w:p w14:paraId="188F95D6">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cs="宋体"/>
                <w:kern w:val="0"/>
                <w:sz w:val="24"/>
                <w:szCs w:val="24"/>
                <w:highlight w:val="none"/>
                <w:lang w:eastAsia="en-US"/>
                <w14:ligatures w14:val="none"/>
              </w:rPr>
              <w:t>IPv6</w:t>
            </w:r>
            <w:r>
              <w:rPr>
                <w:rFonts w:ascii="宋体" w:hAnsi="宋体" w:eastAsia="宋体" w:cs="宋体"/>
                <w:spacing w:val="-3"/>
                <w:kern w:val="0"/>
                <w:sz w:val="24"/>
                <w:szCs w:val="24"/>
                <w:highlight w:val="none"/>
                <w:lang w:eastAsia="en-US"/>
                <w14:ligatures w14:val="none"/>
              </w:rPr>
              <w:t>地址数量</w:t>
            </w:r>
          </w:p>
        </w:tc>
        <w:tc>
          <w:tcPr>
            <w:tcW w:w="3447" w:type="pct"/>
            <w:shd w:val="clear" w:color="auto" w:fill="auto"/>
            <w:vAlign w:val="center"/>
          </w:tcPr>
          <w:p w14:paraId="570AA2FB">
            <w:pPr>
              <w:autoSpaceDE w:val="0"/>
              <w:autoSpaceDN w:val="0"/>
              <w:spacing w:after="0" w:line="360" w:lineRule="auto"/>
              <w:jc w:val="both"/>
              <w:rPr>
                <w:rFonts w:hint="eastAsia" w:ascii="宋体" w:hAnsi="宋体" w:eastAsia="宋体" w:cs="宋体"/>
                <w:kern w:val="0"/>
                <w:sz w:val="24"/>
                <w:szCs w:val="24"/>
                <w:highlight w:val="none"/>
                <w:lang w:val="en-US" w:eastAsia="zh-CN" w:bidi="ar-SA"/>
                <w14:ligatures w14:val="none"/>
              </w:rPr>
            </w:pPr>
            <w:r>
              <w:rPr>
                <w:rFonts w:ascii="宋体" w:hAnsi="宋体" w:eastAsia="宋体" w:cs="宋体"/>
                <w:spacing w:val="-2"/>
                <w:kern w:val="0"/>
                <w:sz w:val="24"/>
                <w:szCs w:val="24"/>
                <w:highlight w:val="none"/>
                <w:lang w:eastAsia="zh-CN"/>
                <w14:ligatures w14:val="none"/>
              </w:rPr>
              <w:t>提供56</w:t>
            </w:r>
            <w:r>
              <w:rPr>
                <w:rFonts w:ascii="宋体" w:hAnsi="宋体" w:eastAsia="宋体" w:cs="宋体"/>
                <w:spacing w:val="-15"/>
                <w:kern w:val="0"/>
                <w:sz w:val="24"/>
                <w:szCs w:val="24"/>
                <w:highlight w:val="none"/>
                <w:lang w:eastAsia="zh-CN"/>
                <w14:ligatures w14:val="none"/>
              </w:rPr>
              <w:t>前缀</w:t>
            </w:r>
            <w:r>
              <w:rPr>
                <w:rFonts w:ascii="宋体" w:hAnsi="宋体" w:eastAsia="宋体" w:cs="宋体"/>
                <w:spacing w:val="-2"/>
                <w:kern w:val="0"/>
                <w:sz w:val="24"/>
                <w:szCs w:val="24"/>
                <w:highlight w:val="none"/>
                <w:lang w:eastAsia="zh-CN"/>
                <w14:ligatures w14:val="none"/>
              </w:rPr>
              <w:t>IPv6</w:t>
            </w:r>
            <w:r>
              <w:rPr>
                <w:rFonts w:ascii="宋体" w:hAnsi="宋体" w:eastAsia="宋体" w:cs="宋体"/>
                <w:spacing w:val="-3"/>
                <w:kern w:val="0"/>
                <w:sz w:val="24"/>
                <w:szCs w:val="24"/>
                <w:highlight w:val="none"/>
                <w:lang w:eastAsia="zh-CN"/>
                <w14:ligatures w14:val="none"/>
              </w:rPr>
              <w:t>公网地址并可扩容，且此公网地址不做二次转换；</w:t>
            </w:r>
            <w:r>
              <w:rPr>
                <w:rFonts w:ascii="宋体" w:hAnsi="宋体" w:eastAsia="宋体" w:cs="宋体"/>
                <w:spacing w:val="-2"/>
                <w:kern w:val="0"/>
                <w:sz w:val="24"/>
                <w:szCs w:val="24"/>
                <w:highlight w:val="none"/>
                <w:lang w:eastAsia="zh-CN"/>
                <w14:ligatures w14:val="none"/>
              </w:rPr>
              <w:t>提供64</w:t>
            </w:r>
            <w:r>
              <w:rPr>
                <w:rFonts w:ascii="宋体" w:hAnsi="宋体" w:eastAsia="宋体" w:cs="宋体"/>
                <w:spacing w:val="-9"/>
                <w:kern w:val="0"/>
                <w:sz w:val="24"/>
                <w:szCs w:val="24"/>
                <w:highlight w:val="none"/>
                <w:lang w:eastAsia="zh-CN"/>
                <w14:ligatures w14:val="none"/>
              </w:rPr>
              <w:t>前缀的公网</w:t>
            </w:r>
            <w:r>
              <w:rPr>
                <w:rFonts w:ascii="宋体" w:hAnsi="宋体" w:eastAsia="宋体" w:cs="宋体"/>
                <w:spacing w:val="-2"/>
                <w:kern w:val="0"/>
                <w:sz w:val="24"/>
                <w:szCs w:val="24"/>
                <w:highlight w:val="none"/>
                <w:lang w:eastAsia="zh-CN"/>
                <w14:ligatures w14:val="none"/>
              </w:rPr>
              <w:t>IPv6</w:t>
            </w:r>
            <w:r>
              <w:rPr>
                <w:rFonts w:ascii="宋体" w:hAnsi="宋体" w:eastAsia="宋体" w:cs="宋体"/>
                <w:spacing w:val="-3"/>
                <w:kern w:val="0"/>
                <w:sz w:val="24"/>
                <w:szCs w:val="24"/>
                <w:highlight w:val="none"/>
                <w:lang w:eastAsia="zh-CN"/>
                <w14:ligatures w14:val="none"/>
              </w:rPr>
              <w:t>用于和采购人进行设备之间的端口互联。</w:t>
            </w:r>
          </w:p>
        </w:tc>
      </w:tr>
      <w:tr w14:paraId="6B1E8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25CBB693">
            <w:pPr>
              <w:autoSpaceDE w:val="0"/>
              <w:autoSpaceDN w:val="0"/>
              <w:spacing w:after="0" w:line="360" w:lineRule="auto"/>
              <w:jc w:val="center"/>
              <w:rPr>
                <w:rFonts w:hint="eastAsia" w:ascii="宋体" w:hAnsi="宋体" w:eastAsia="宋体" w:cs="宋体"/>
                <w:spacing w:val="-5"/>
                <w:kern w:val="0"/>
                <w:sz w:val="24"/>
                <w:szCs w:val="24"/>
                <w:highlight w:val="none"/>
                <w:lang w:val="en-US" w:eastAsia="en-US" w:bidi="ar-SA"/>
                <w14:ligatures w14:val="none"/>
              </w:rPr>
            </w:pPr>
            <w:r>
              <w:rPr>
                <w:rFonts w:ascii="宋体" w:hAnsi="宋体" w:eastAsia="宋体"/>
                <w:spacing w:val="-5"/>
                <w:kern w:val="0"/>
                <w:sz w:val="24"/>
                <w:szCs w:val="24"/>
                <w:highlight w:val="none"/>
                <w:lang w:eastAsia="en-US"/>
                <w14:ligatures w14:val="none"/>
              </w:rPr>
              <w:t>1.7</w:t>
            </w:r>
          </w:p>
        </w:tc>
        <w:tc>
          <w:tcPr>
            <w:tcW w:w="1013" w:type="pct"/>
            <w:shd w:val="clear" w:color="auto" w:fill="auto"/>
            <w:vAlign w:val="center"/>
          </w:tcPr>
          <w:p w14:paraId="316F2B5C">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互联接口</w:t>
            </w:r>
          </w:p>
        </w:tc>
        <w:tc>
          <w:tcPr>
            <w:tcW w:w="3447" w:type="pct"/>
            <w:shd w:val="clear" w:color="auto" w:fill="auto"/>
            <w:vAlign w:val="center"/>
          </w:tcPr>
          <w:p w14:paraId="1B9C8A71">
            <w:pPr>
              <w:autoSpaceDE w:val="0"/>
              <w:autoSpaceDN w:val="0"/>
              <w:spacing w:after="0" w:line="360" w:lineRule="auto"/>
              <w:jc w:val="both"/>
              <w:rPr>
                <w:rFonts w:hint="eastAsia" w:ascii="宋体" w:hAnsi="宋体" w:eastAsia="宋体" w:cs="宋体"/>
                <w:spacing w:val="-2"/>
                <w:kern w:val="0"/>
                <w:sz w:val="24"/>
                <w:szCs w:val="24"/>
                <w:highlight w:val="none"/>
                <w:lang w:val="en-US" w:eastAsia="zh-CN" w:bidi="ar-SA"/>
                <w14:ligatures w14:val="none"/>
              </w:rPr>
            </w:pPr>
            <w:r>
              <w:rPr>
                <w:rFonts w:ascii="宋体" w:hAnsi="宋体" w:eastAsia="宋体"/>
                <w:spacing w:val="-8"/>
                <w:kern w:val="0"/>
                <w:sz w:val="24"/>
                <w:szCs w:val="24"/>
                <w:highlight w:val="none"/>
                <w:lang w:eastAsia="zh-CN"/>
                <w14:ligatures w14:val="none"/>
              </w:rPr>
              <w:t>投标人需提供</w:t>
            </w:r>
            <w:r>
              <w:rPr>
                <w:rFonts w:ascii="宋体" w:hAnsi="宋体" w:eastAsia="宋体"/>
                <w:spacing w:val="-2"/>
                <w:kern w:val="0"/>
                <w:sz w:val="24"/>
                <w:szCs w:val="24"/>
                <w:highlight w:val="none"/>
                <w:lang w:eastAsia="zh-CN"/>
                <w14:ligatures w14:val="none"/>
              </w:rPr>
              <w:t>40G</w:t>
            </w:r>
            <w:r>
              <w:rPr>
                <w:rFonts w:ascii="宋体" w:hAnsi="宋体" w:eastAsia="宋体"/>
                <w:spacing w:val="-23"/>
                <w:kern w:val="0"/>
                <w:sz w:val="24"/>
                <w:szCs w:val="24"/>
                <w:highlight w:val="none"/>
                <w:lang w:eastAsia="zh-CN"/>
                <w14:ligatures w14:val="none"/>
              </w:rPr>
              <w:t>或</w:t>
            </w:r>
            <w:r>
              <w:rPr>
                <w:rFonts w:ascii="宋体" w:hAnsi="宋体" w:eastAsia="宋体"/>
                <w:spacing w:val="-2"/>
                <w:kern w:val="0"/>
                <w:sz w:val="24"/>
                <w:szCs w:val="24"/>
                <w:highlight w:val="none"/>
                <w:lang w:eastAsia="zh-CN"/>
                <w14:ligatures w14:val="none"/>
              </w:rPr>
              <w:t>100G</w:t>
            </w:r>
            <w:r>
              <w:rPr>
                <w:rFonts w:ascii="宋体" w:hAnsi="宋体" w:eastAsia="宋体"/>
                <w:spacing w:val="-3"/>
                <w:kern w:val="0"/>
                <w:sz w:val="24"/>
                <w:szCs w:val="24"/>
                <w:highlight w:val="none"/>
                <w:lang w:eastAsia="zh-CN"/>
                <w14:ligatures w14:val="none"/>
              </w:rPr>
              <w:t>互联光口接入，具备带宽平滑升级能力。</w:t>
            </w:r>
          </w:p>
        </w:tc>
      </w:tr>
      <w:tr w14:paraId="09E81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64D4DB3F">
            <w:pPr>
              <w:autoSpaceDE w:val="0"/>
              <w:autoSpaceDN w:val="0"/>
              <w:spacing w:after="0" w:line="360" w:lineRule="auto"/>
              <w:jc w:val="center"/>
              <w:rPr>
                <w:rFonts w:hint="eastAsia" w:ascii="宋体" w:hAnsi="宋体" w:eastAsia="宋体" w:cs="宋体"/>
                <w:spacing w:val="-5"/>
                <w:kern w:val="0"/>
                <w:sz w:val="24"/>
                <w:szCs w:val="24"/>
                <w:highlight w:val="none"/>
                <w:lang w:val="en-US" w:eastAsia="en-US" w:bidi="ar-SA"/>
                <w14:ligatures w14:val="none"/>
              </w:rPr>
            </w:pPr>
            <w:r>
              <w:rPr>
                <w:rFonts w:ascii="宋体" w:hAnsi="宋体" w:eastAsia="宋体"/>
                <w:spacing w:val="-5"/>
                <w:kern w:val="0"/>
                <w:sz w:val="24"/>
                <w:szCs w:val="24"/>
                <w:highlight w:val="none"/>
                <w:lang w:eastAsia="en-US"/>
                <w14:ligatures w14:val="none"/>
              </w:rPr>
              <w:t>1.8</w:t>
            </w:r>
          </w:p>
        </w:tc>
        <w:tc>
          <w:tcPr>
            <w:tcW w:w="1013" w:type="pct"/>
            <w:shd w:val="clear" w:color="auto" w:fill="auto"/>
            <w:vAlign w:val="center"/>
          </w:tcPr>
          <w:p w14:paraId="26B617C6">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突发应用保障</w:t>
            </w:r>
          </w:p>
        </w:tc>
        <w:tc>
          <w:tcPr>
            <w:tcW w:w="3447" w:type="pct"/>
            <w:shd w:val="clear" w:color="auto" w:fill="auto"/>
            <w:vAlign w:val="center"/>
          </w:tcPr>
          <w:p w14:paraId="4AC73B50">
            <w:pPr>
              <w:autoSpaceDE w:val="0"/>
              <w:autoSpaceDN w:val="0"/>
              <w:spacing w:after="0" w:line="360" w:lineRule="auto"/>
              <w:jc w:val="both"/>
              <w:rPr>
                <w:rFonts w:hint="eastAsia" w:ascii="宋体" w:hAnsi="宋体" w:eastAsia="宋体" w:cs="宋体"/>
                <w:spacing w:val="-2"/>
                <w:kern w:val="0"/>
                <w:sz w:val="24"/>
                <w:szCs w:val="24"/>
                <w:highlight w:val="none"/>
                <w:lang w:val="en-US" w:eastAsia="zh-CN" w:bidi="ar-SA"/>
                <w14:ligatures w14:val="none"/>
              </w:rPr>
            </w:pPr>
            <w:r>
              <w:rPr>
                <w:rFonts w:ascii="宋体" w:hAnsi="宋体" w:eastAsia="宋体"/>
                <w:spacing w:val="-2"/>
                <w:kern w:val="0"/>
                <w:sz w:val="24"/>
                <w:szCs w:val="24"/>
                <w:highlight w:val="none"/>
                <w:lang w:eastAsia="zh-CN"/>
                <w14:ligatures w14:val="none"/>
              </w:rPr>
              <w:t>互联端口在采购人遇到紧急重大突发需求时不限速（投标人提供承诺函）</w:t>
            </w:r>
            <w:r>
              <w:rPr>
                <w:rFonts w:ascii="宋体" w:hAnsi="宋体" w:eastAsia="宋体"/>
                <w:spacing w:val="-10"/>
                <w:kern w:val="0"/>
                <w:sz w:val="24"/>
                <w:szCs w:val="24"/>
                <w:highlight w:val="none"/>
                <w:lang w:eastAsia="zh-CN"/>
                <w14:ligatures w14:val="none"/>
              </w:rPr>
              <w:t>。</w:t>
            </w:r>
          </w:p>
        </w:tc>
      </w:tr>
      <w:tr w14:paraId="3E07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385C9F77">
            <w:pPr>
              <w:autoSpaceDE w:val="0"/>
              <w:autoSpaceDN w:val="0"/>
              <w:spacing w:after="0" w:line="360" w:lineRule="auto"/>
              <w:jc w:val="center"/>
              <w:rPr>
                <w:rFonts w:hint="eastAsia" w:ascii="宋体" w:hAnsi="宋体" w:eastAsia="宋体" w:cs="宋体"/>
                <w:spacing w:val="-5"/>
                <w:kern w:val="0"/>
                <w:sz w:val="24"/>
                <w:szCs w:val="24"/>
                <w:highlight w:val="none"/>
                <w:lang w:val="en-US" w:eastAsia="en-US" w:bidi="ar-SA"/>
                <w14:ligatures w14:val="none"/>
              </w:rPr>
            </w:pPr>
            <w:r>
              <w:rPr>
                <w:rFonts w:ascii="宋体" w:hAnsi="宋体" w:eastAsia="宋体"/>
                <w:spacing w:val="-5"/>
                <w:kern w:val="0"/>
                <w:sz w:val="24"/>
                <w:szCs w:val="24"/>
                <w:highlight w:val="none"/>
                <w:lang w:eastAsia="en-US"/>
                <w14:ligatures w14:val="none"/>
              </w:rPr>
              <w:t>1.9</w:t>
            </w:r>
          </w:p>
        </w:tc>
        <w:tc>
          <w:tcPr>
            <w:tcW w:w="1013" w:type="pct"/>
            <w:shd w:val="clear" w:color="auto" w:fill="auto"/>
            <w:vAlign w:val="center"/>
          </w:tcPr>
          <w:p w14:paraId="2E36C689">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国际互联网访问</w:t>
            </w:r>
          </w:p>
        </w:tc>
        <w:tc>
          <w:tcPr>
            <w:tcW w:w="3447" w:type="pct"/>
            <w:shd w:val="clear" w:color="auto" w:fill="auto"/>
            <w:vAlign w:val="center"/>
          </w:tcPr>
          <w:p w14:paraId="6A2E49A2">
            <w:pPr>
              <w:autoSpaceDE w:val="0"/>
              <w:autoSpaceDN w:val="0"/>
              <w:spacing w:after="0" w:line="360" w:lineRule="auto"/>
              <w:jc w:val="both"/>
              <w:rPr>
                <w:rFonts w:hint="eastAsia" w:ascii="宋体" w:hAnsi="宋体" w:eastAsia="宋体" w:cs="宋体"/>
                <w:spacing w:val="-2"/>
                <w:kern w:val="0"/>
                <w:sz w:val="24"/>
                <w:szCs w:val="24"/>
                <w:highlight w:val="none"/>
                <w:lang w:val="en-US" w:eastAsia="zh-CN" w:bidi="ar-SA"/>
                <w14:ligatures w14:val="none"/>
              </w:rPr>
            </w:pPr>
            <w:r>
              <w:rPr>
                <w:rFonts w:ascii="宋体" w:hAnsi="宋体" w:eastAsia="宋体"/>
                <w:spacing w:val="-3"/>
                <w:kern w:val="0"/>
                <w:sz w:val="24"/>
                <w:szCs w:val="24"/>
                <w:highlight w:val="none"/>
                <w:lang w:eastAsia="zh-CN"/>
                <w14:ligatures w14:val="none"/>
              </w:rPr>
              <w:t>投标人应具备专有的国际互联网出口带宽。</w:t>
            </w:r>
          </w:p>
        </w:tc>
      </w:tr>
      <w:tr w14:paraId="33EF1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02C7956B">
            <w:pPr>
              <w:autoSpaceDE w:val="0"/>
              <w:autoSpaceDN w:val="0"/>
              <w:spacing w:after="0" w:line="360" w:lineRule="auto"/>
              <w:jc w:val="center"/>
              <w:rPr>
                <w:rFonts w:hint="eastAsia" w:ascii="宋体" w:hAnsi="宋体" w:eastAsia="宋体" w:cs="宋体"/>
                <w:spacing w:val="-5"/>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1.10</w:t>
            </w:r>
          </w:p>
        </w:tc>
        <w:tc>
          <w:tcPr>
            <w:tcW w:w="1013" w:type="pct"/>
            <w:shd w:val="clear" w:color="auto" w:fill="auto"/>
            <w:vAlign w:val="center"/>
          </w:tcPr>
          <w:p w14:paraId="23F277A4">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互联网访问性能</w:t>
            </w:r>
          </w:p>
        </w:tc>
        <w:tc>
          <w:tcPr>
            <w:tcW w:w="3447" w:type="pct"/>
            <w:shd w:val="clear" w:color="auto" w:fill="auto"/>
            <w:vAlign w:val="center"/>
          </w:tcPr>
          <w:p w14:paraId="1D100F3C">
            <w:pPr>
              <w:autoSpaceDE w:val="0"/>
              <w:autoSpaceDN w:val="0"/>
              <w:spacing w:after="0" w:line="360" w:lineRule="auto"/>
              <w:jc w:val="both"/>
              <w:rPr>
                <w:rFonts w:hint="eastAsia" w:ascii="宋体" w:hAnsi="宋体" w:eastAsia="宋体" w:cs="宋体"/>
                <w:spacing w:val="-2"/>
                <w:kern w:val="0"/>
                <w:sz w:val="24"/>
                <w:szCs w:val="24"/>
                <w:highlight w:val="none"/>
                <w:lang w:val="en-US" w:eastAsia="zh-CN" w:bidi="ar-SA"/>
                <w14:ligatures w14:val="none"/>
              </w:rPr>
            </w:pPr>
            <w:r>
              <w:rPr>
                <w:rFonts w:ascii="宋体" w:hAnsi="宋体" w:eastAsia="宋体"/>
                <w:spacing w:val="-3"/>
                <w:kern w:val="0"/>
                <w:sz w:val="24"/>
                <w:szCs w:val="24"/>
                <w:highlight w:val="none"/>
                <w:lang w:eastAsia="zh-CN"/>
                <w14:ligatures w14:val="none"/>
              </w:rPr>
              <w:t>投标人提供的互联链路国内、国外互联网访问性能不低于投标人网内标准。</w:t>
            </w:r>
          </w:p>
        </w:tc>
      </w:tr>
      <w:tr w14:paraId="09789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12DB812A">
            <w:pPr>
              <w:autoSpaceDE w:val="0"/>
              <w:autoSpaceDN w:val="0"/>
              <w:spacing w:after="0" w:line="360" w:lineRule="auto"/>
              <w:jc w:val="center"/>
              <w:rPr>
                <w:rFonts w:hint="eastAsia" w:ascii="宋体" w:hAnsi="宋体" w:eastAsia="宋体" w:cs="宋体"/>
                <w:spacing w:val="-5"/>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1.11</w:t>
            </w:r>
          </w:p>
        </w:tc>
        <w:tc>
          <w:tcPr>
            <w:tcW w:w="1013" w:type="pct"/>
            <w:shd w:val="clear" w:color="auto" w:fill="auto"/>
            <w:vAlign w:val="center"/>
          </w:tcPr>
          <w:p w14:paraId="34B21F19">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▲拓扑位置</w:t>
            </w:r>
          </w:p>
        </w:tc>
        <w:tc>
          <w:tcPr>
            <w:tcW w:w="3447" w:type="pct"/>
            <w:shd w:val="clear" w:color="auto" w:fill="auto"/>
            <w:vAlign w:val="center"/>
          </w:tcPr>
          <w:p w14:paraId="2D736FAB">
            <w:pPr>
              <w:autoSpaceDE w:val="0"/>
              <w:autoSpaceDN w:val="0"/>
              <w:spacing w:after="0" w:line="360" w:lineRule="auto"/>
              <w:jc w:val="both"/>
              <w:rPr>
                <w:rFonts w:hint="eastAsia" w:ascii="宋体" w:hAnsi="宋体" w:eastAsia="宋体" w:cs="宋体"/>
                <w:spacing w:val="-2"/>
                <w:kern w:val="0"/>
                <w:sz w:val="24"/>
                <w:szCs w:val="24"/>
                <w:highlight w:val="none"/>
                <w:lang w:val="en-US" w:eastAsia="zh-CN" w:bidi="ar-SA"/>
                <w14:ligatures w14:val="none"/>
              </w:rPr>
            </w:pPr>
            <w:r>
              <w:rPr>
                <w:rFonts w:ascii="宋体" w:hAnsi="宋体" w:eastAsia="宋体"/>
                <w:spacing w:val="-3"/>
                <w:kern w:val="0"/>
                <w:sz w:val="24"/>
                <w:szCs w:val="24"/>
                <w:highlight w:val="none"/>
                <w:lang w:eastAsia="zh-CN"/>
                <w14:ligatures w14:val="none"/>
              </w:rPr>
              <w:t>投标人提供的互联网专线到达投标人城域网核心路由器的路由跳数为</w:t>
            </w:r>
            <w:r>
              <w:rPr>
                <w:rFonts w:ascii="宋体" w:hAnsi="宋体" w:eastAsia="宋体"/>
                <w:spacing w:val="-2"/>
                <w:kern w:val="0"/>
                <w:sz w:val="24"/>
                <w:szCs w:val="24"/>
                <w:highlight w:val="none"/>
                <w:lang w:eastAsia="zh-CN"/>
                <w14:ligatures w14:val="none"/>
              </w:rPr>
              <w:t>1</w:t>
            </w:r>
            <w:r>
              <w:rPr>
                <w:rFonts w:ascii="宋体" w:hAnsi="宋体" w:eastAsia="宋体"/>
                <w:spacing w:val="-12"/>
                <w:kern w:val="0"/>
                <w:sz w:val="24"/>
                <w:szCs w:val="24"/>
                <w:highlight w:val="none"/>
                <w:lang w:eastAsia="zh-CN"/>
                <w14:ligatures w14:val="none"/>
              </w:rPr>
              <w:t>跳；投标人需提</w:t>
            </w:r>
            <w:r>
              <w:rPr>
                <w:rFonts w:ascii="宋体" w:hAnsi="宋体" w:eastAsia="宋体"/>
                <w:spacing w:val="-5"/>
                <w:kern w:val="0"/>
                <w:sz w:val="24"/>
                <w:szCs w:val="24"/>
                <w:highlight w:val="none"/>
                <w:lang w:eastAsia="zh-CN"/>
                <w14:ligatures w14:val="none"/>
              </w:rPr>
              <w:t>供互联网专线到达投标人城域网核心路由器的网络拓扑图，详细说明本项目专线所接入</w:t>
            </w:r>
            <w:r>
              <w:rPr>
                <w:rFonts w:ascii="宋体" w:hAnsi="宋体" w:eastAsia="宋体"/>
                <w:spacing w:val="-2"/>
                <w:kern w:val="0"/>
                <w:sz w:val="24"/>
                <w:szCs w:val="24"/>
                <w:highlight w:val="none"/>
                <w:lang w:eastAsia="zh-CN"/>
                <w14:ligatures w14:val="none"/>
              </w:rPr>
              <w:t>的网络位置。</w:t>
            </w:r>
          </w:p>
        </w:tc>
      </w:tr>
      <w:tr w14:paraId="1AA44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shd w:val="clear" w:color="auto" w:fill="auto"/>
            <w:vAlign w:val="center"/>
          </w:tcPr>
          <w:p w14:paraId="39CC53A6">
            <w:pPr>
              <w:autoSpaceDE w:val="0"/>
              <w:autoSpaceDN w:val="0"/>
              <w:spacing w:after="0" w:line="360" w:lineRule="auto"/>
              <w:jc w:val="center"/>
              <w:rPr>
                <w:rFonts w:hint="eastAsia" w:ascii="宋体" w:hAnsi="宋体" w:eastAsia="宋体" w:cs="宋体"/>
                <w:spacing w:val="-5"/>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1.12</w:t>
            </w:r>
          </w:p>
        </w:tc>
        <w:tc>
          <w:tcPr>
            <w:tcW w:w="1013" w:type="pct"/>
            <w:shd w:val="clear" w:color="auto" w:fill="auto"/>
            <w:vAlign w:val="center"/>
          </w:tcPr>
          <w:p w14:paraId="67B88ACB">
            <w:pPr>
              <w:autoSpaceDE w:val="0"/>
              <w:autoSpaceDN w:val="0"/>
              <w:spacing w:after="0" w:line="360" w:lineRule="auto"/>
              <w:jc w:val="center"/>
              <w:rPr>
                <w:rFonts w:hint="eastAsia" w:ascii="宋体" w:hAnsi="宋体" w:eastAsia="宋体" w:cs="宋体"/>
                <w:kern w:val="0"/>
                <w:sz w:val="24"/>
                <w:szCs w:val="24"/>
                <w:highlight w:val="none"/>
                <w:lang w:val="en-US" w:eastAsia="en-US" w:bidi="ar-SA"/>
                <w14:ligatures w14:val="none"/>
              </w:rPr>
            </w:pPr>
            <w:r>
              <w:rPr>
                <w:rFonts w:ascii="宋体" w:hAnsi="宋体" w:eastAsia="宋体"/>
                <w:spacing w:val="-4"/>
                <w:kern w:val="0"/>
                <w:sz w:val="24"/>
                <w:szCs w:val="24"/>
                <w:highlight w:val="none"/>
                <w:lang w:eastAsia="en-US"/>
                <w14:ligatures w14:val="none"/>
              </w:rPr>
              <w:t>▲流量监控服务</w:t>
            </w:r>
          </w:p>
        </w:tc>
        <w:tc>
          <w:tcPr>
            <w:tcW w:w="3447" w:type="pct"/>
            <w:shd w:val="clear" w:color="auto" w:fill="auto"/>
            <w:vAlign w:val="center"/>
          </w:tcPr>
          <w:p w14:paraId="46530AF1">
            <w:pPr>
              <w:autoSpaceDE w:val="0"/>
              <w:autoSpaceDN w:val="0"/>
              <w:spacing w:after="0" w:line="360" w:lineRule="auto"/>
              <w:jc w:val="both"/>
              <w:rPr>
                <w:rFonts w:hint="eastAsia" w:ascii="宋体" w:hAnsi="宋体" w:eastAsia="宋体" w:cs="宋体"/>
                <w:spacing w:val="-2"/>
                <w:kern w:val="0"/>
                <w:sz w:val="24"/>
                <w:szCs w:val="24"/>
                <w:highlight w:val="none"/>
                <w:lang w:val="en-US" w:eastAsia="zh-CN" w:bidi="ar-SA"/>
                <w14:ligatures w14:val="none"/>
              </w:rPr>
            </w:pPr>
            <w:r>
              <w:rPr>
                <w:rFonts w:ascii="宋体" w:hAnsi="宋体" w:eastAsia="宋体"/>
                <w:spacing w:val="-5"/>
                <w:kern w:val="0"/>
                <w:sz w:val="24"/>
                <w:szCs w:val="24"/>
                <w:highlight w:val="none"/>
                <w:lang w:eastAsia="zh-CN"/>
                <w14:ligatures w14:val="none"/>
              </w:rPr>
              <w:t>投标人需对采购人业务流量进行实时监控，需能够提供</w:t>
            </w:r>
            <w:r>
              <w:rPr>
                <w:rFonts w:ascii="宋体" w:hAnsi="宋体" w:eastAsia="宋体" w:cs="宋体"/>
                <w:spacing w:val="-2"/>
                <w:kern w:val="0"/>
                <w:sz w:val="24"/>
                <w:szCs w:val="24"/>
                <w:highlight w:val="none"/>
                <w:lang w:eastAsia="zh-CN"/>
                <w14:ligatures w14:val="none"/>
              </w:rPr>
              <w:t>≥</w:t>
            </w:r>
            <w:r>
              <w:rPr>
                <w:rFonts w:hint="eastAsia" w:ascii="宋体" w:hAnsi="宋体" w:eastAsia="宋体"/>
                <w:spacing w:val="-2"/>
                <w:kern w:val="0"/>
                <w:sz w:val="24"/>
                <w:szCs w:val="24"/>
                <w:highlight w:val="none"/>
                <w:lang w:val="en-US" w:eastAsia="zh-CN"/>
                <w14:ligatures w14:val="none"/>
              </w:rPr>
              <w:t>6个月的各种日志以备查询</w:t>
            </w:r>
            <w:r>
              <w:rPr>
                <w:rFonts w:hint="eastAsia" w:ascii="宋体" w:hAnsi="宋体" w:eastAsia="宋体"/>
                <w:spacing w:val="-2"/>
                <w:kern w:val="0"/>
                <w:sz w:val="24"/>
                <w:szCs w:val="24"/>
                <w:highlight w:val="none"/>
                <w:lang w:eastAsia="zh-CN"/>
                <w14:ligatures w14:val="none"/>
              </w:rPr>
              <w:t>；部署两个服务质量探测节点，对于专线可用性、访问质量进行检测；需提供技术人员对网络流量进行分析，帮助用户排除网络故障</w:t>
            </w:r>
            <w:r>
              <w:rPr>
                <w:rFonts w:hint="eastAsia" w:ascii="宋体" w:hAnsi="宋体" w:eastAsia="宋体"/>
                <w:spacing w:val="-2"/>
                <w:kern w:val="0"/>
                <w:sz w:val="24"/>
                <w:szCs w:val="24"/>
                <w:highlight w:val="none"/>
                <w:lang w:val="en-US" w:eastAsia="zh-CN"/>
                <w14:ligatures w14:val="none"/>
              </w:rPr>
              <w:t>。</w:t>
            </w:r>
          </w:p>
        </w:tc>
      </w:tr>
      <w:tr w14:paraId="4212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16033514">
            <w:pPr>
              <w:autoSpaceDE w:val="0"/>
              <w:autoSpaceDN w:val="0"/>
              <w:spacing w:after="0" w:line="360" w:lineRule="auto"/>
              <w:jc w:val="center"/>
              <w:rPr>
                <w:rFonts w:hint="default" w:ascii="宋体" w:hAnsi="宋体" w:eastAsia="宋体" w:cs="宋体"/>
                <w:spacing w:val="-5"/>
                <w:kern w:val="0"/>
                <w:sz w:val="24"/>
                <w:szCs w:val="24"/>
                <w:highlight w:val="none"/>
                <w:lang w:val="en-US" w:eastAsia="zh-CN"/>
                <w14:ligatures w14:val="none"/>
              </w:rPr>
            </w:pPr>
            <w:r>
              <w:rPr>
                <w:rFonts w:hint="eastAsia" w:ascii="宋体" w:hAnsi="宋体" w:eastAsia="宋体" w:cs="宋体"/>
                <w:spacing w:val="-5"/>
                <w:kern w:val="0"/>
                <w:sz w:val="24"/>
                <w:szCs w:val="24"/>
                <w:highlight w:val="none"/>
                <w:lang w:val="en-US" w:eastAsia="zh-CN"/>
                <w14:ligatures w14:val="none"/>
              </w:rPr>
              <w:t>1.13</w:t>
            </w:r>
          </w:p>
        </w:tc>
        <w:tc>
          <w:tcPr>
            <w:tcW w:w="1013" w:type="pct"/>
            <w:vAlign w:val="center"/>
          </w:tcPr>
          <w:p w14:paraId="40A2F962">
            <w:pPr>
              <w:autoSpaceDE w:val="0"/>
              <w:autoSpaceDN w:val="0"/>
              <w:spacing w:after="0" w:line="360" w:lineRule="auto"/>
              <w:jc w:val="center"/>
              <w:rPr>
                <w:rFonts w:hint="eastAsia" w:ascii="宋体" w:hAnsi="宋体" w:eastAsia="宋体" w:cs="宋体"/>
                <w:kern w:val="0"/>
                <w:sz w:val="24"/>
                <w:szCs w:val="24"/>
                <w:highlight w:val="none"/>
                <w:lang w:eastAsia="en-US"/>
                <w14:ligatures w14:val="none"/>
              </w:rPr>
            </w:pPr>
            <w:r>
              <w:rPr>
                <w:rFonts w:ascii="宋体" w:hAnsi="宋体" w:eastAsia="宋体"/>
                <w:spacing w:val="-4"/>
                <w:kern w:val="0"/>
                <w:sz w:val="24"/>
                <w:szCs w:val="24"/>
                <w:highlight w:val="none"/>
                <w:lang w:eastAsia="en-US"/>
                <w14:ligatures w14:val="none"/>
              </w:rPr>
              <w:t>▲</w:t>
            </w:r>
            <w:r>
              <w:rPr>
                <w:rFonts w:hint="eastAsia" w:ascii="宋体" w:hAnsi="宋体" w:eastAsia="宋体"/>
                <w:spacing w:val="-4"/>
                <w:kern w:val="0"/>
                <w:sz w:val="24"/>
                <w:szCs w:val="24"/>
                <w:highlight w:val="none"/>
                <w:lang w:eastAsia="en-US"/>
                <w14:ligatures w14:val="none"/>
              </w:rPr>
              <w:t>流量清洗</w:t>
            </w:r>
          </w:p>
        </w:tc>
        <w:tc>
          <w:tcPr>
            <w:tcW w:w="3447" w:type="pct"/>
            <w:vAlign w:val="center"/>
          </w:tcPr>
          <w:p w14:paraId="264B75B6">
            <w:pPr>
              <w:autoSpaceDE w:val="0"/>
              <w:autoSpaceDN w:val="0"/>
              <w:spacing w:after="0" w:line="360" w:lineRule="auto"/>
              <w:jc w:val="both"/>
              <w:rPr>
                <w:rFonts w:hint="eastAsia" w:ascii="宋体" w:hAnsi="宋体" w:eastAsia="宋体" w:cs="宋体"/>
                <w:spacing w:val="-2"/>
                <w:kern w:val="0"/>
                <w:sz w:val="24"/>
                <w:szCs w:val="24"/>
                <w:highlight w:val="none"/>
                <w:lang w:eastAsia="zh-CN"/>
                <w14:ligatures w14:val="none"/>
              </w:rPr>
            </w:pPr>
            <w:r>
              <w:rPr>
                <w:rFonts w:hint="eastAsia" w:ascii="宋体" w:hAnsi="宋体" w:eastAsia="宋体" w:cs="宋体"/>
                <w:spacing w:val="-2"/>
                <w:kern w:val="0"/>
                <w:sz w:val="24"/>
                <w:szCs w:val="24"/>
                <w:highlight w:val="none"/>
                <w:lang w:eastAsia="zh-CN"/>
                <w14:ligatures w14:val="none"/>
              </w:rPr>
              <w:t>为确保数据传输安全稳定，投标人</w:t>
            </w:r>
            <w:r>
              <w:rPr>
                <w:rFonts w:hint="eastAsia" w:ascii="宋体" w:hAnsi="宋体" w:eastAsia="宋体" w:cs="宋体"/>
                <w:spacing w:val="-2"/>
                <w:kern w:val="0"/>
                <w:sz w:val="24"/>
                <w:szCs w:val="24"/>
                <w:highlight w:val="none"/>
                <w:lang w:val="en-US" w:eastAsia="zh-CN"/>
                <w14:ligatures w14:val="none"/>
              </w:rPr>
              <w:t>具备</w:t>
            </w:r>
            <w:r>
              <w:rPr>
                <w:rFonts w:hint="eastAsia" w:ascii="宋体" w:hAnsi="宋体" w:eastAsia="宋体" w:cs="宋体"/>
                <w:spacing w:val="-2"/>
                <w:kern w:val="0"/>
                <w:sz w:val="24"/>
                <w:szCs w:val="24"/>
                <w:highlight w:val="none"/>
                <w:lang w:eastAsia="zh-CN"/>
                <w14:ligatures w14:val="none"/>
              </w:rPr>
              <w:t>流量清洗服务</w:t>
            </w:r>
            <w:r>
              <w:rPr>
                <w:rFonts w:hint="eastAsia" w:ascii="宋体" w:hAnsi="宋体" w:eastAsia="宋体" w:cs="宋体"/>
                <w:spacing w:val="-2"/>
                <w:kern w:val="0"/>
                <w:sz w:val="24"/>
                <w:szCs w:val="24"/>
                <w:highlight w:val="none"/>
                <w:lang w:val="en-US" w:eastAsia="zh-CN"/>
                <w14:ligatures w14:val="none"/>
              </w:rPr>
              <w:t>功能</w:t>
            </w:r>
            <w:r>
              <w:rPr>
                <w:rFonts w:hint="eastAsia" w:ascii="宋体" w:hAnsi="宋体" w:eastAsia="宋体" w:cs="宋体"/>
                <w:spacing w:val="-2"/>
                <w:kern w:val="0"/>
                <w:sz w:val="24"/>
                <w:szCs w:val="24"/>
                <w:highlight w:val="none"/>
                <w:lang w:eastAsia="zh-CN"/>
                <w14:ligatures w14:val="none"/>
              </w:rPr>
              <w:t>，以抗击DDOS攻击，保障采购人网络安全和专线带宽可用性。</w:t>
            </w:r>
          </w:p>
        </w:tc>
      </w:tr>
      <w:tr w14:paraId="05AA5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3919C483">
            <w:pPr>
              <w:autoSpaceDE w:val="0"/>
              <w:autoSpaceDN w:val="0"/>
              <w:spacing w:after="0" w:line="360" w:lineRule="auto"/>
              <w:jc w:val="center"/>
              <w:rPr>
                <w:rFonts w:hint="eastAsia" w:ascii="宋体" w:hAnsi="宋体" w:eastAsia="宋体" w:cs="宋体"/>
                <w:spacing w:val="-5"/>
                <w:kern w:val="0"/>
                <w:sz w:val="24"/>
                <w:szCs w:val="24"/>
                <w:highlight w:val="none"/>
                <w:lang w:val="en-US" w:eastAsia="zh-CN"/>
                <w14:ligatures w14:val="none"/>
              </w:rPr>
            </w:pPr>
            <w:r>
              <w:rPr>
                <w:rFonts w:ascii="宋体" w:hAnsi="宋体" w:eastAsia="宋体"/>
                <w:spacing w:val="-4"/>
                <w:kern w:val="0"/>
                <w:sz w:val="24"/>
                <w:szCs w:val="24"/>
                <w:highlight w:val="none"/>
                <w:lang w:eastAsia="en-US"/>
                <w14:ligatures w14:val="none"/>
              </w:rPr>
              <w:t>1.1</w:t>
            </w:r>
            <w:r>
              <w:rPr>
                <w:rFonts w:hint="eastAsia" w:ascii="宋体" w:hAnsi="宋体" w:eastAsia="宋体"/>
                <w:spacing w:val="-4"/>
                <w:kern w:val="0"/>
                <w:sz w:val="24"/>
                <w:szCs w:val="24"/>
                <w:highlight w:val="none"/>
                <w:lang w:val="en-US" w:eastAsia="zh-CN"/>
                <w14:ligatures w14:val="none"/>
              </w:rPr>
              <w:t>4</w:t>
            </w:r>
          </w:p>
        </w:tc>
        <w:tc>
          <w:tcPr>
            <w:tcW w:w="1013" w:type="pct"/>
            <w:vAlign w:val="center"/>
          </w:tcPr>
          <w:p w14:paraId="2E3D200A">
            <w:pPr>
              <w:autoSpaceDE w:val="0"/>
              <w:autoSpaceDN w:val="0"/>
              <w:spacing w:after="0" w:line="360" w:lineRule="auto"/>
              <w:jc w:val="center"/>
              <w:rPr>
                <w:rFonts w:hint="eastAsia" w:ascii="宋体" w:hAnsi="宋体" w:eastAsia="宋体" w:cs="宋体"/>
                <w:kern w:val="0"/>
                <w:sz w:val="24"/>
                <w:szCs w:val="24"/>
                <w:highlight w:val="none"/>
                <w:lang w:eastAsia="en-US"/>
                <w14:ligatures w14:val="none"/>
              </w:rPr>
            </w:pPr>
            <w:r>
              <w:rPr>
                <w:rFonts w:ascii="宋体" w:hAnsi="宋体" w:eastAsia="宋体"/>
                <w:spacing w:val="-4"/>
                <w:kern w:val="0"/>
                <w:sz w:val="24"/>
                <w:szCs w:val="24"/>
                <w:highlight w:val="none"/>
                <w:lang w:eastAsia="en-US"/>
                <w14:ligatures w14:val="none"/>
              </w:rPr>
              <w:t>互联链路质量</w:t>
            </w:r>
          </w:p>
        </w:tc>
        <w:tc>
          <w:tcPr>
            <w:tcW w:w="3447" w:type="pct"/>
            <w:vAlign w:val="center"/>
          </w:tcPr>
          <w:p w14:paraId="3A3C853C">
            <w:pPr>
              <w:autoSpaceDE w:val="0"/>
              <w:autoSpaceDN w:val="0"/>
              <w:spacing w:after="0" w:line="360" w:lineRule="auto"/>
              <w:jc w:val="both"/>
              <w:rPr>
                <w:rFonts w:hint="eastAsia" w:ascii="宋体" w:hAnsi="宋体" w:eastAsia="宋体" w:cs="宋体"/>
                <w:spacing w:val="-2"/>
                <w:kern w:val="0"/>
                <w:sz w:val="24"/>
                <w:szCs w:val="24"/>
                <w:highlight w:val="none"/>
                <w:lang w:eastAsia="zh-CN"/>
                <w14:ligatures w14:val="none"/>
              </w:rPr>
            </w:pPr>
            <w:r>
              <w:rPr>
                <w:rFonts w:ascii="宋体" w:hAnsi="宋体" w:eastAsia="宋体"/>
                <w:spacing w:val="-1"/>
                <w:kern w:val="0"/>
                <w:sz w:val="24"/>
                <w:szCs w:val="24"/>
                <w:highlight w:val="none"/>
                <w:lang w:eastAsia="zh-CN"/>
                <w14:ligatures w14:val="none"/>
              </w:rPr>
              <w:t>采购人网络设备出口端口到投标人机房端网络设备对</w:t>
            </w:r>
            <w:r>
              <w:rPr>
                <w:rFonts w:ascii="宋体" w:hAnsi="宋体" w:eastAsia="宋体"/>
                <w:kern w:val="0"/>
                <w:sz w:val="24"/>
                <w:szCs w:val="24"/>
                <w:highlight w:val="none"/>
                <w:lang w:eastAsia="zh-CN"/>
                <w14:ligatures w14:val="none"/>
              </w:rPr>
              <w:t>PING（100字节）平均时延</w:t>
            </w:r>
            <w:r>
              <w:rPr>
                <w:rFonts w:ascii="宋体" w:hAnsi="宋体" w:eastAsia="宋体"/>
                <w:spacing w:val="-2"/>
                <w:kern w:val="0"/>
                <w:sz w:val="24"/>
                <w:szCs w:val="24"/>
                <w:highlight w:val="none"/>
                <w:lang w:eastAsia="zh-CN"/>
                <w14:ligatures w14:val="none"/>
              </w:rPr>
              <w:t>≤5ms</w:t>
            </w:r>
            <w:r>
              <w:rPr>
                <w:rFonts w:ascii="宋体" w:hAnsi="宋体" w:eastAsia="宋体"/>
                <w:spacing w:val="-8"/>
                <w:kern w:val="0"/>
                <w:sz w:val="24"/>
                <w:szCs w:val="24"/>
                <w:highlight w:val="none"/>
                <w:lang w:eastAsia="zh-CN"/>
                <w14:ligatures w14:val="none"/>
              </w:rPr>
              <w:t>，丢包率</w:t>
            </w:r>
            <w:r>
              <w:rPr>
                <w:rFonts w:ascii="宋体" w:hAnsi="宋体" w:eastAsia="宋体"/>
                <w:spacing w:val="-2"/>
                <w:kern w:val="0"/>
                <w:sz w:val="24"/>
                <w:szCs w:val="24"/>
                <w:highlight w:val="none"/>
                <w:lang w:eastAsia="zh-CN"/>
                <w14:ligatures w14:val="none"/>
              </w:rPr>
              <w:t>≤0.1%</w:t>
            </w:r>
            <w:r>
              <w:rPr>
                <w:rFonts w:ascii="宋体" w:hAnsi="宋体" w:eastAsia="宋体"/>
                <w:spacing w:val="-15"/>
                <w:kern w:val="0"/>
                <w:sz w:val="24"/>
                <w:szCs w:val="24"/>
                <w:highlight w:val="none"/>
                <w:lang w:eastAsia="zh-CN"/>
                <w14:ligatures w14:val="none"/>
              </w:rPr>
              <w:t>；对</w:t>
            </w:r>
            <w:r>
              <w:rPr>
                <w:rFonts w:ascii="宋体" w:hAnsi="宋体" w:eastAsia="宋体"/>
                <w:spacing w:val="-2"/>
                <w:kern w:val="0"/>
                <w:sz w:val="24"/>
                <w:szCs w:val="24"/>
                <w:highlight w:val="none"/>
                <w:lang w:eastAsia="zh-CN"/>
                <w14:ligatures w14:val="none"/>
              </w:rPr>
              <w:t>PING（1500字节）平均时延≤10ms，丢包率≤0.3%；</w:t>
            </w:r>
            <w:r>
              <w:rPr>
                <w:rFonts w:ascii="宋体" w:hAnsi="宋体" w:eastAsia="宋体"/>
                <w:kern w:val="0"/>
                <w:sz w:val="24"/>
                <w:szCs w:val="24"/>
                <w:highlight w:val="none"/>
                <w:lang w:eastAsia="zh-CN"/>
                <w14:ligatures w14:val="none"/>
              </w:rPr>
              <w:t>Ping国内主要网站时延≤50ms，丢包率≤0.5%。</w:t>
            </w:r>
          </w:p>
        </w:tc>
      </w:tr>
      <w:tr w14:paraId="35089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0BC774F3">
            <w:pPr>
              <w:autoSpaceDE w:val="0"/>
              <w:autoSpaceDN w:val="0"/>
              <w:spacing w:after="0" w:line="360" w:lineRule="auto"/>
              <w:jc w:val="center"/>
              <w:rPr>
                <w:rFonts w:hint="eastAsia" w:ascii="宋体" w:hAnsi="宋体" w:eastAsia="宋体" w:cs="宋体"/>
                <w:spacing w:val="-5"/>
                <w:kern w:val="0"/>
                <w:sz w:val="24"/>
                <w:szCs w:val="24"/>
                <w:highlight w:val="none"/>
                <w:lang w:val="en-US" w:eastAsia="zh-CN"/>
                <w14:ligatures w14:val="none"/>
              </w:rPr>
            </w:pPr>
            <w:r>
              <w:rPr>
                <w:rFonts w:ascii="宋体" w:hAnsi="宋体" w:eastAsia="宋体"/>
                <w:spacing w:val="-4"/>
                <w:kern w:val="0"/>
                <w:sz w:val="24"/>
                <w:szCs w:val="24"/>
                <w:highlight w:val="none"/>
                <w:lang w:eastAsia="en-US"/>
                <w14:ligatures w14:val="none"/>
              </w:rPr>
              <w:t>1.1</w:t>
            </w:r>
            <w:r>
              <w:rPr>
                <w:rFonts w:hint="eastAsia" w:ascii="宋体" w:hAnsi="宋体" w:eastAsia="宋体"/>
                <w:spacing w:val="-4"/>
                <w:kern w:val="0"/>
                <w:sz w:val="24"/>
                <w:szCs w:val="24"/>
                <w:highlight w:val="none"/>
                <w:lang w:val="en-US" w:eastAsia="zh-CN"/>
                <w14:ligatures w14:val="none"/>
              </w:rPr>
              <w:t>5</w:t>
            </w:r>
          </w:p>
        </w:tc>
        <w:tc>
          <w:tcPr>
            <w:tcW w:w="1013" w:type="pct"/>
            <w:vAlign w:val="center"/>
          </w:tcPr>
          <w:p w14:paraId="4258B7BD">
            <w:pPr>
              <w:autoSpaceDE w:val="0"/>
              <w:autoSpaceDN w:val="0"/>
              <w:spacing w:after="0" w:line="360" w:lineRule="auto"/>
              <w:jc w:val="center"/>
              <w:rPr>
                <w:rFonts w:hint="eastAsia" w:ascii="宋体" w:hAnsi="宋体" w:eastAsia="宋体" w:cs="宋体"/>
                <w:kern w:val="0"/>
                <w:sz w:val="24"/>
                <w:szCs w:val="24"/>
                <w:highlight w:val="none"/>
                <w:lang w:eastAsia="en-US"/>
                <w14:ligatures w14:val="none"/>
              </w:rPr>
            </w:pPr>
            <w:r>
              <w:rPr>
                <w:rFonts w:ascii="宋体" w:hAnsi="宋体" w:eastAsia="宋体"/>
                <w:spacing w:val="-4"/>
                <w:kern w:val="0"/>
                <w:sz w:val="24"/>
                <w:szCs w:val="24"/>
                <w:highlight w:val="none"/>
                <w:lang w:eastAsia="en-US"/>
                <w14:ligatures w14:val="none"/>
              </w:rPr>
              <w:t>互联网访问质量</w:t>
            </w:r>
          </w:p>
        </w:tc>
        <w:tc>
          <w:tcPr>
            <w:tcW w:w="3447" w:type="pct"/>
            <w:vAlign w:val="center"/>
          </w:tcPr>
          <w:p w14:paraId="0D8E2160">
            <w:pPr>
              <w:autoSpaceDE w:val="0"/>
              <w:autoSpaceDN w:val="0"/>
              <w:spacing w:after="0" w:line="360" w:lineRule="auto"/>
              <w:jc w:val="both"/>
              <w:rPr>
                <w:rFonts w:hint="eastAsia" w:ascii="宋体" w:hAnsi="宋体" w:eastAsia="宋体" w:cs="宋体"/>
                <w:spacing w:val="-2"/>
                <w:kern w:val="0"/>
                <w:sz w:val="24"/>
                <w:szCs w:val="24"/>
                <w:highlight w:val="none"/>
                <w:lang w:eastAsia="zh-CN"/>
                <w14:ligatures w14:val="none"/>
              </w:rPr>
            </w:pPr>
            <w:r>
              <w:rPr>
                <w:rFonts w:ascii="宋体" w:hAnsi="宋体" w:eastAsia="宋体"/>
                <w:spacing w:val="-6"/>
                <w:kern w:val="0"/>
                <w:sz w:val="24"/>
                <w:szCs w:val="24"/>
                <w:highlight w:val="none"/>
                <w:lang w:eastAsia="zh-CN"/>
                <w14:ligatures w14:val="none"/>
              </w:rPr>
              <w:t>投标人所提供的专线，采购人互联设备到达常用网站（百度、搜狐、网易、新浪、优酷、</w:t>
            </w:r>
            <w:r>
              <w:rPr>
                <w:rFonts w:ascii="宋体" w:hAnsi="宋体" w:eastAsia="宋体"/>
                <w:kern w:val="0"/>
                <w:sz w:val="24"/>
                <w:szCs w:val="24"/>
                <w:highlight w:val="none"/>
                <w:lang w:eastAsia="zh-CN"/>
                <w14:ligatures w14:val="none"/>
              </w:rPr>
              <w:t>京东、淘宝、携程等）的路由跳数≤12 跳。</w:t>
            </w:r>
          </w:p>
        </w:tc>
      </w:tr>
      <w:tr w14:paraId="25569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143E342B">
            <w:pPr>
              <w:autoSpaceDE w:val="0"/>
              <w:autoSpaceDN w:val="0"/>
              <w:spacing w:after="0" w:line="360" w:lineRule="auto"/>
              <w:jc w:val="center"/>
              <w:rPr>
                <w:rFonts w:hint="eastAsia" w:ascii="宋体" w:hAnsi="宋体" w:eastAsia="宋体" w:cs="宋体"/>
                <w:spacing w:val="-5"/>
                <w:kern w:val="0"/>
                <w:sz w:val="24"/>
                <w:szCs w:val="24"/>
                <w:highlight w:val="none"/>
                <w:lang w:val="en-US" w:eastAsia="zh-CN"/>
                <w14:ligatures w14:val="none"/>
              </w:rPr>
            </w:pPr>
            <w:r>
              <w:rPr>
                <w:rFonts w:ascii="宋体" w:hAnsi="宋体" w:eastAsia="宋体"/>
                <w:spacing w:val="-4"/>
                <w:kern w:val="0"/>
                <w:sz w:val="24"/>
                <w:szCs w:val="24"/>
                <w:highlight w:val="none"/>
                <w:lang w:eastAsia="en-US"/>
                <w14:ligatures w14:val="none"/>
              </w:rPr>
              <w:t>1.1</w:t>
            </w:r>
            <w:r>
              <w:rPr>
                <w:rFonts w:hint="eastAsia" w:ascii="宋体" w:hAnsi="宋体" w:eastAsia="宋体"/>
                <w:spacing w:val="-4"/>
                <w:kern w:val="0"/>
                <w:sz w:val="24"/>
                <w:szCs w:val="24"/>
                <w:highlight w:val="none"/>
                <w:lang w:val="en-US" w:eastAsia="zh-CN"/>
                <w14:ligatures w14:val="none"/>
              </w:rPr>
              <w:t>6</w:t>
            </w:r>
          </w:p>
        </w:tc>
        <w:tc>
          <w:tcPr>
            <w:tcW w:w="1013" w:type="pct"/>
            <w:vAlign w:val="center"/>
          </w:tcPr>
          <w:p w14:paraId="3E507547">
            <w:pPr>
              <w:autoSpaceDE w:val="0"/>
              <w:autoSpaceDN w:val="0"/>
              <w:spacing w:after="0" w:line="360" w:lineRule="auto"/>
              <w:jc w:val="center"/>
              <w:rPr>
                <w:rFonts w:hint="eastAsia" w:ascii="宋体" w:hAnsi="宋体" w:eastAsia="宋体" w:cs="宋体"/>
                <w:kern w:val="0"/>
                <w:sz w:val="24"/>
                <w:szCs w:val="24"/>
                <w:highlight w:val="none"/>
                <w:lang w:eastAsia="en-US"/>
                <w14:ligatures w14:val="none"/>
              </w:rPr>
            </w:pPr>
            <w:r>
              <w:rPr>
                <w:rFonts w:ascii="宋体" w:hAnsi="宋体" w:eastAsia="宋体"/>
                <w:spacing w:val="-4"/>
                <w:kern w:val="0"/>
                <w:sz w:val="24"/>
                <w:szCs w:val="24"/>
                <w:highlight w:val="none"/>
                <w:lang w:eastAsia="en-US"/>
                <w14:ligatures w14:val="none"/>
              </w:rPr>
              <w:t>网络可用性</w:t>
            </w:r>
          </w:p>
        </w:tc>
        <w:tc>
          <w:tcPr>
            <w:tcW w:w="3447" w:type="pct"/>
            <w:vAlign w:val="center"/>
          </w:tcPr>
          <w:p w14:paraId="64FDACFB">
            <w:pPr>
              <w:autoSpaceDE w:val="0"/>
              <w:autoSpaceDN w:val="0"/>
              <w:spacing w:after="0" w:line="360" w:lineRule="auto"/>
              <w:jc w:val="both"/>
              <w:rPr>
                <w:rFonts w:hint="eastAsia" w:ascii="宋体" w:hAnsi="宋体" w:eastAsia="宋体" w:cs="宋体"/>
                <w:spacing w:val="-2"/>
                <w:kern w:val="0"/>
                <w:sz w:val="24"/>
                <w:szCs w:val="24"/>
                <w:highlight w:val="none"/>
                <w:lang w:eastAsia="en-US"/>
                <w14:ligatures w14:val="none"/>
              </w:rPr>
            </w:pPr>
            <w:r>
              <w:rPr>
                <w:rFonts w:ascii="宋体" w:hAnsi="宋体" w:eastAsia="宋体"/>
                <w:spacing w:val="-7"/>
                <w:kern w:val="0"/>
                <w:sz w:val="24"/>
                <w:szCs w:val="24"/>
                <w:highlight w:val="none"/>
                <w:lang w:eastAsia="en-US"/>
                <w14:ligatures w14:val="none"/>
              </w:rPr>
              <w:t>网络可用性</w:t>
            </w:r>
            <w:r>
              <w:rPr>
                <w:rFonts w:ascii="宋体" w:hAnsi="宋体" w:eastAsia="宋体" w:cs="宋体"/>
                <w:spacing w:val="-2"/>
                <w:kern w:val="0"/>
                <w:sz w:val="24"/>
                <w:szCs w:val="24"/>
                <w:highlight w:val="none"/>
                <w:lang w:eastAsia="zh-CN"/>
                <w14:ligatures w14:val="none"/>
              </w:rPr>
              <w:t>≥</w:t>
            </w:r>
            <w:r>
              <w:rPr>
                <w:rFonts w:ascii="宋体" w:hAnsi="宋体" w:eastAsia="宋体"/>
                <w:spacing w:val="-2"/>
                <w:kern w:val="0"/>
                <w:sz w:val="24"/>
                <w:szCs w:val="24"/>
                <w:highlight w:val="none"/>
                <w:lang w:eastAsia="en-US"/>
                <w14:ligatures w14:val="none"/>
              </w:rPr>
              <w:t>99.9%</w:t>
            </w:r>
            <w:r>
              <w:rPr>
                <w:rFonts w:ascii="宋体" w:hAnsi="宋体" w:eastAsia="宋体"/>
                <w:spacing w:val="-10"/>
                <w:kern w:val="0"/>
                <w:sz w:val="24"/>
                <w:szCs w:val="24"/>
                <w:highlight w:val="none"/>
                <w:lang w:eastAsia="en-US"/>
                <w14:ligatures w14:val="none"/>
              </w:rPr>
              <w:t>。</w:t>
            </w:r>
          </w:p>
        </w:tc>
      </w:tr>
      <w:tr w14:paraId="554D7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0953DB28">
            <w:pPr>
              <w:autoSpaceDE w:val="0"/>
              <w:autoSpaceDN w:val="0"/>
              <w:spacing w:after="0" w:line="360" w:lineRule="auto"/>
              <w:jc w:val="center"/>
              <w:rPr>
                <w:rFonts w:hint="eastAsia" w:ascii="宋体" w:hAnsi="宋体" w:eastAsia="宋体" w:cs="宋体"/>
                <w:spacing w:val="-5"/>
                <w:kern w:val="0"/>
                <w:sz w:val="24"/>
                <w:szCs w:val="24"/>
                <w:highlight w:val="none"/>
                <w:lang w:val="en-US" w:eastAsia="zh-CN"/>
                <w14:ligatures w14:val="none"/>
              </w:rPr>
            </w:pPr>
            <w:r>
              <w:rPr>
                <w:rFonts w:ascii="宋体" w:hAnsi="宋体" w:eastAsia="宋体"/>
                <w:spacing w:val="-4"/>
                <w:kern w:val="0"/>
                <w:sz w:val="24"/>
                <w:szCs w:val="24"/>
                <w:highlight w:val="none"/>
                <w:lang w:eastAsia="en-US"/>
                <w14:ligatures w14:val="none"/>
              </w:rPr>
              <w:t>1.1</w:t>
            </w:r>
            <w:r>
              <w:rPr>
                <w:rFonts w:hint="eastAsia" w:ascii="宋体" w:hAnsi="宋体" w:eastAsia="宋体"/>
                <w:spacing w:val="-4"/>
                <w:kern w:val="0"/>
                <w:sz w:val="24"/>
                <w:szCs w:val="24"/>
                <w:highlight w:val="none"/>
                <w:lang w:val="en-US" w:eastAsia="zh-CN"/>
                <w14:ligatures w14:val="none"/>
              </w:rPr>
              <w:t>7</w:t>
            </w:r>
          </w:p>
        </w:tc>
        <w:tc>
          <w:tcPr>
            <w:tcW w:w="1013" w:type="pct"/>
            <w:vAlign w:val="center"/>
          </w:tcPr>
          <w:p w14:paraId="60215FC0">
            <w:pPr>
              <w:autoSpaceDE w:val="0"/>
              <w:autoSpaceDN w:val="0"/>
              <w:spacing w:after="0" w:line="360" w:lineRule="auto"/>
              <w:jc w:val="center"/>
              <w:rPr>
                <w:rFonts w:hint="eastAsia" w:ascii="宋体" w:hAnsi="宋体" w:eastAsia="宋体" w:cs="宋体"/>
                <w:kern w:val="0"/>
                <w:sz w:val="24"/>
                <w:szCs w:val="24"/>
                <w:highlight w:val="none"/>
                <w:lang w:eastAsia="en-US"/>
                <w14:ligatures w14:val="none"/>
              </w:rPr>
            </w:pPr>
            <w:r>
              <w:rPr>
                <w:rFonts w:ascii="宋体" w:hAnsi="宋体" w:eastAsia="宋体"/>
                <w:spacing w:val="-4"/>
                <w:kern w:val="0"/>
                <w:sz w:val="24"/>
                <w:szCs w:val="24"/>
                <w:highlight w:val="none"/>
                <w:lang w:eastAsia="en-US"/>
                <w14:ligatures w14:val="none"/>
              </w:rPr>
              <w:t>▲线路安全保障</w:t>
            </w:r>
          </w:p>
        </w:tc>
        <w:tc>
          <w:tcPr>
            <w:tcW w:w="3447" w:type="pct"/>
            <w:vAlign w:val="center"/>
          </w:tcPr>
          <w:p w14:paraId="22181C32">
            <w:pPr>
              <w:autoSpaceDE w:val="0"/>
              <w:autoSpaceDN w:val="0"/>
              <w:spacing w:after="0" w:line="360" w:lineRule="auto"/>
              <w:jc w:val="both"/>
              <w:rPr>
                <w:rFonts w:hint="eastAsia" w:ascii="宋体" w:hAnsi="宋体" w:eastAsia="宋体" w:cs="宋体"/>
                <w:spacing w:val="-2"/>
                <w:kern w:val="0"/>
                <w:sz w:val="24"/>
                <w:szCs w:val="24"/>
                <w:highlight w:val="none"/>
                <w:lang w:eastAsia="zh-CN"/>
                <w14:ligatures w14:val="none"/>
              </w:rPr>
            </w:pPr>
            <w:r>
              <w:rPr>
                <w:rFonts w:ascii="宋体" w:hAnsi="宋体" w:eastAsia="宋体"/>
                <w:spacing w:val="-2"/>
                <w:kern w:val="0"/>
                <w:sz w:val="24"/>
                <w:szCs w:val="24"/>
                <w:highlight w:val="none"/>
                <w:lang w:eastAsia="zh-CN"/>
                <w14:ligatures w14:val="none"/>
              </w:rPr>
              <w:t>投标人网络应具有较强抗攻击能力，能从采购人机房上游防御大型流量攻击；应具备所</w:t>
            </w:r>
            <w:r>
              <w:rPr>
                <w:rFonts w:ascii="宋体" w:hAnsi="宋体" w:eastAsia="宋体"/>
                <w:spacing w:val="-11"/>
                <w:kern w:val="0"/>
                <w:sz w:val="24"/>
                <w:szCs w:val="24"/>
                <w:highlight w:val="none"/>
                <w:lang w:eastAsia="zh-CN"/>
                <w14:ligatures w14:val="none"/>
              </w:rPr>
              <w:t>有</w:t>
            </w:r>
            <w:r>
              <w:rPr>
                <w:rFonts w:ascii="宋体" w:hAnsi="宋体" w:eastAsia="宋体"/>
                <w:kern w:val="0"/>
                <w:sz w:val="24"/>
                <w:szCs w:val="24"/>
                <w:highlight w:val="none"/>
                <w:lang w:eastAsia="zh-CN"/>
                <w14:ligatures w14:val="none"/>
              </w:rPr>
              <w:t>IP同时被攻击时也可以同时进行并行清洗的能力。</w:t>
            </w:r>
          </w:p>
        </w:tc>
      </w:tr>
      <w:bookmarkEnd w:id="20"/>
    </w:tbl>
    <w:p w14:paraId="62288E18">
      <w:pPr>
        <w:rPr>
          <w:rFonts w:hint="eastAsia" w:ascii="宋体" w:hAnsi="宋体" w:eastAsia="宋体" w:cs="仿宋"/>
          <w:color w:val="000000"/>
          <w:sz w:val="28"/>
          <w:szCs w:val="28"/>
          <w:highlight w:val="none"/>
          <w14:ligatures w14:val="none"/>
        </w:rPr>
      </w:pPr>
      <w:r>
        <w:rPr>
          <w:rFonts w:hint="eastAsia" w:ascii="宋体" w:hAnsi="宋体" w:eastAsia="宋体" w:cs="仿宋"/>
          <w:color w:val="000000"/>
          <w:sz w:val="28"/>
          <w:szCs w:val="28"/>
          <w:highlight w:val="none"/>
          <w14:ligatures w14:val="none"/>
        </w:rPr>
        <w:br w:type="page"/>
      </w:r>
    </w:p>
    <w:p w14:paraId="348E5E00">
      <w:pPr>
        <w:keepNext/>
        <w:keepLines/>
        <w:snapToGrid w:val="0"/>
        <w:spacing w:after="0" w:line="360" w:lineRule="auto"/>
        <w:jc w:val="both"/>
        <w:outlineLvl w:val="4"/>
        <w:rPr>
          <w:rFonts w:hint="eastAsia" w:ascii="宋体" w:hAnsi="宋体" w:eastAsia="宋体" w:cs="仿宋"/>
          <w:b/>
          <w:bCs/>
          <w:color w:val="000000"/>
          <w:kern w:val="0"/>
          <w:sz w:val="28"/>
          <w:szCs w:val="28"/>
          <w:highlight w:val="none"/>
          <w:lang w:eastAsia="zh-CN"/>
          <w14:ligatures w14:val="none"/>
        </w:rPr>
      </w:pPr>
      <w:bookmarkStart w:id="21" w:name="_Toc28304"/>
      <w:r>
        <w:rPr>
          <w:rFonts w:hint="eastAsia" w:ascii="宋体" w:hAnsi="宋体" w:eastAsia="宋体" w:cs="仿宋"/>
          <w:b/>
          <w:bCs/>
          <w:color w:val="000000"/>
          <w:kern w:val="0"/>
          <w:sz w:val="28"/>
          <w:szCs w:val="28"/>
          <w:highlight w:val="none"/>
          <w:lang w:val="en-US" w:eastAsia="zh-CN"/>
          <w14:ligatures w14:val="none"/>
        </w:rPr>
        <w:t>B</w:t>
      </w:r>
      <w:r>
        <w:rPr>
          <w:rFonts w:hint="eastAsia" w:ascii="宋体" w:hAnsi="宋体" w:eastAsia="宋体" w:cs="仿宋"/>
          <w:b/>
          <w:bCs/>
          <w:color w:val="000000"/>
          <w:kern w:val="0"/>
          <w:sz w:val="28"/>
          <w:szCs w:val="28"/>
          <w:highlight w:val="none"/>
          <w:lang w:eastAsia="zh-CN"/>
          <w14:ligatures w14:val="none"/>
        </w:rPr>
        <w:t>包：</w:t>
      </w:r>
      <w:r>
        <w:rPr>
          <w:rFonts w:hint="eastAsia" w:ascii="宋体" w:hAnsi="宋体" w:eastAsia="宋体" w:cs="仿宋"/>
          <w:b/>
          <w:bCs/>
          <w:color w:val="000000"/>
          <w:kern w:val="0"/>
          <w:sz w:val="28"/>
          <w:szCs w:val="28"/>
          <w:highlight w:val="none"/>
          <w:lang w:val="en-US" w:eastAsia="zh-CN"/>
          <w14:ligatures w14:val="none"/>
        </w:rPr>
        <w:t>三地统一调度带宽</w:t>
      </w:r>
      <w:bookmarkEnd w:id="21"/>
    </w:p>
    <w:tbl>
      <w:tblPr>
        <w:tblStyle w:val="17"/>
        <w:tblW w:w="504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06"/>
        <w:gridCol w:w="1704"/>
        <w:gridCol w:w="5794"/>
      </w:tblGrid>
      <w:tr w14:paraId="545C9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000" w:type="pct"/>
            <w:gridSpan w:val="3"/>
            <w:vAlign w:val="center"/>
          </w:tcPr>
          <w:p w14:paraId="080540C2">
            <w:pPr>
              <w:autoSpaceDE w:val="0"/>
              <w:autoSpaceDN w:val="0"/>
              <w:spacing w:after="0" w:line="240" w:lineRule="auto"/>
              <w:jc w:val="center"/>
              <w:rPr>
                <w:rFonts w:hint="eastAsia" w:ascii="宋体" w:hAnsi="宋体" w:eastAsia="宋体" w:cs="宋体"/>
                <w:b/>
                <w:bCs/>
                <w:color w:val="000000"/>
                <w:sz w:val="24"/>
                <w:szCs w:val="24"/>
                <w:highlight w:val="none"/>
                <w:lang w:eastAsia="en-US"/>
                <w14:ligatures w14:val="none"/>
              </w:rPr>
            </w:pPr>
            <w:r>
              <w:rPr>
                <w:rFonts w:hint="eastAsia" w:ascii="宋体" w:hAnsi="宋体" w:eastAsia="宋体" w:cs="宋体"/>
                <w:b/>
                <w:bCs/>
                <w:color w:val="000000"/>
                <w:sz w:val="24"/>
                <w:szCs w:val="24"/>
                <w:highlight w:val="none"/>
                <w:lang w:eastAsia="en-US"/>
                <w14:ligatures w14:val="none"/>
              </w:rPr>
              <w:t>采购人要求（用户填写）</w:t>
            </w:r>
          </w:p>
        </w:tc>
      </w:tr>
      <w:tr w14:paraId="2F6FC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00722AEE">
            <w:pPr>
              <w:autoSpaceDE w:val="0"/>
              <w:autoSpaceDN w:val="0"/>
              <w:spacing w:after="0" w:line="240" w:lineRule="auto"/>
              <w:jc w:val="center"/>
              <w:rPr>
                <w:rFonts w:hint="eastAsia" w:ascii="宋体" w:hAnsi="宋体" w:eastAsia="宋体" w:cs="宋体"/>
                <w:b/>
                <w:bCs/>
                <w:color w:val="000000"/>
                <w:sz w:val="24"/>
                <w:szCs w:val="24"/>
                <w:highlight w:val="none"/>
                <w:lang w:eastAsia="en-US"/>
                <w14:ligatures w14:val="none"/>
              </w:rPr>
            </w:pPr>
            <w:r>
              <w:rPr>
                <w:rFonts w:hint="eastAsia" w:ascii="宋体" w:hAnsi="宋体" w:eastAsia="宋体" w:cs="宋体"/>
                <w:b/>
                <w:bCs/>
                <w:color w:val="000000"/>
                <w:sz w:val="24"/>
                <w:szCs w:val="24"/>
                <w:highlight w:val="none"/>
                <w:lang w:eastAsia="en-US"/>
                <w14:ligatures w14:val="none"/>
              </w:rPr>
              <w:t>序号</w:t>
            </w:r>
          </w:p>
        </w:tc>
        <w:tc>
          <w:tcPr>
            <w:tcW w:w="1014" w:type="pct"/>
            <w:vAlign w:val="center"/>
          </w:tcPr>
          <w:p w14:paraId="012C9227">
            <w:pPr>
              <w:autoSpaceDE w:val="0"/>
              <w:autoSpaceDN w:val="0"/>
              <w:spacing w:after="0" w:line="240" w:lineRule="auto"/>
              <w:jc w:val="center"/>
              <w:rPr>
                <w:rFonts w:hint="eastAsia" w:ascii="宋体" w:hAnsi="宋体" w:eastAsia="宋体" w:cs="宋体"/>
                <w:b/>
                <w:bCs/>
                <w:color w:val="000000"/>
                <w:sz w:val="24"/>
                <w:szCs w:val="24"/>
                <w:highlight w:val="none"/>
                <w:lang w:eastAsia="en-US"/>
                <w14:ligatures w14:val="none"/>
              </w:rPr>
            </w:pPr>
            <w:r>
              <w:rPr>
                <w:rFonts w:hint="eastAsia" w:ascii="宋体" w:hAnsi="宋体" w:eastAsia="宋体" w:cs="宋体"/>
                <w:b/>
                <w:bCs/>
                <w:color w:val="000000"/>
                <w:sz w:val="24"/>
                <w:szCs w:val="24"/>
                <w:highlight w:val="none"/>
                <w:lang w:eastAsia="en-US"/>
                <w14:ligatures w14:val="none"/>
              </w:rPr>
              <w:t>指标项</w:t>
            </w:r>
          </w:p>
        </w:tc>
        <w:tc>
          <w:tcPr>
            <w:tcW w:w="3445" w:type="pct"/>
            <w:vAlign w:val="center"/>
          </w:tcPr>
          <w:p w14:paraId="70E1B746">
            <w:pPr>
              <w:autoSpaceDE w:val="0"/>
              <w:autoSpaceDN w:val="0"/>
              <w:spacing w:after="0" w:line="240" w:lineRule="auto"/>
              <w:jc w:val="center"/>
              <w:rPr>
                <w:rFonts w:hint="eastAsia" w:ascii="宋体" w:hAnsi="宋体" w:eastAsia="宋体" w:cs="宋体"/>
                <w:b/>
                <w:bCs/>
                <w:color w:val="000000"/>
                <w:sz w:val="24"/>
                <w:szCs w:val="24"/>
                <w:highlight w:val="none"/>
                <w:lang w:eastAsia="en-US"/>
                <w14:ligatures w14:val="none"/>
              </w:rPr>
            </w:pPr>
            <w:r>
              <w:rPr>
                <w:rFonts w:hint="eastAsia" w:ascii="宋体" w:hAnsi="宋体" w:eastAsia="宋体" w:cs="宋体"/>
                <w:b/>
                <w:bCs/>
                <w:color w:val="000000"/>
                <w:sz w:val="24"/>
                <w:szCs w:val="24"/>
                <w:highlight w:val="none"/>
                <w:lang w:eastAsia="en-US"/>
                <w14:ligatures w14:val="none"/>
              </w:rPr>
              <w:t>技术指标要求</w:t>
            </w:r>
          </w:p>
        </w:tc>
      </w:tr>
      <w:tr w14:paraId="4F1D6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539" w:type="pct"/>
            <w:vAlign w:val="center"/>
          </w:tcPr>
          <w:p w14:paraId="7DCB97C0">
            <w:pPr>
              <w:autoSpaceDE w:val="0"/>
              <w:autoSpaceDN w:val="0"/>
              <w:spacing w:after="0" w:line="240" w:lineRule="auto"/>
              <w:jc w:val="center"/>
              <w:rPr>
                <w:rFonts w:hint="eastAsia" w:ascii="宋体" w:hAnsi="宋体" w:eastAsia="宋体" w:cs="宋体"/>
                <w:b w:val="0"/>
                <w:bCs w:val="0"/>
                <w:color w:val="000000"/>
                <w:sz w:val="24"/>
                <w:szCs w:val="24"/>
                <w:highlight w:val="none"/>
                <w:lang w:eastAsia="en-US"/>
                <w14:ligatures w14:val="none"/>
              </w:rPr>
            </w:pPr>
            <w:r>
              <w:rPr>
                <w:rFonts w:hint="eastAsia" w:ascii="宋体" w:hAnsi="宋体" w:eastAsia="宋体" w:cs="宋体"/>
                <w:b w:val="0"/>
                <w:bCs w:val="0"/>
                <w:color w:val="000000"/>
                <w:sz w:val="24"/>
                <w:szCs w:val="24"/>
                <w:highlight w:val="none"/>
                <w:lang w:eastAsia="en-US"/>
                <w14:ligatures w14:val="none"/>
              </w:rPr>
              <w:t>1</w:t>
            </w:r>
          </w:p>
        </w:tc>
        <w:tc>
          <w:tcPr>
            <w:tcW w:w="4460" w:type="pct"/>
            <w:gridSpan w:val="2"/>
            <w:vAlign w:val="center"/>
          </w:tcPr>
          <w:p w14:paraId="1B72260A">
            <w:pPr>
              <w:autoSpaceDE w:val="0"/>
              <w:autoSpaceDN w:val="0"/>
              <w:spacing w:after="0" w:line="240" w:lineRule="auto"/>
              <w:jc w:val="both"/>
              <w:rPr>
                <w:rFonts w:hint="eastAsia" w:ascii="宋体" w:hAnsi="宋体" w:eastAsia="宋体" w:cs="宋体"/>
                <w:b w:val="0"/>
                <w:bCs w:val="0"/>
                <w:color w:val="000000"/>
                <w:sz w:val="24"/>
                <w:szCs w:val="24"/>
                <w:highlight w:val="none"/>
                <w:lang w:eastAsia="zh-CN"/>
                <w14:ligatures w14:val="none"/>
              </w:rPr>
            </w:pPr>
            <w:r>
              <w:rPr>
                <w:rFonts w:hint="eastAsia" w:ascii="宋体" w:hAnsi="宋体" w:eastAsia="宋体" w:cs="宋体"/>
                <w:b w:val="0"/>
                <w:bCs w:val="0"/>
                <w:color w:val="000000"/>
                <w:sz w:val="24"/>
                <w:szCs w:val="24"/>
                <w:highlight w:val="none"/>
                <w:lang w:val="en-US" w:eastAsia="zh-CN"/>
                <w14:ligatures w14:val="none"/>
              </w:rPr>
              <w:t>三地统一调度带宽</w:t>
            </w:r>
          </w:p>
        </w:tc>
      </w:tr>
      <w:tr w14:paraId="2F6BA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c>
          <w:tcPr>
            <w:tcW w:w="539" w:type="pct"/>
            <w:vAlign w:val="center"/>
          </w:tcPr>
          <w:p w14:paraId="3CE83ADF">
            <w:pPr>
              <w:autoSpaceDE w:val="0"/>
              <w:autoSpaceDN w:val="0"/>
              <w:spacing w:after="0" w:line="240" w:lineRule="auto"/>
              <w:jc w:val="center"/>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1.1</w:t>
            </w:r>
          </w:p>
        </w:tc>
        <w:tc>
          <w:tcPr>
            <w:tcW w:w="1014" w:type="pct"/>
            <w:vAlign w:val="center"/>
          </w:tcPr>
          <w:p w14:paraId="4E7445A8">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★带宽需求</w:t>
            </w:r>
          </w:p>
        </w:tc>
        <w:tc>
          <w:tcPr>
            <w:tcW w:w="3445" w:type="pct"/>
            <w:vAlign w:val="center"/>
          </w:tcPr>
          <w:p w14:paraId="7764EE9D">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投标人提供的互联网专线应上下行带宽对等，上下行带宽均为5Gbps；专线应为光纤独享，并且为真实的光纤接入，确保互联网线路不复用；投标人提供的互联网带宽在投标人接入机房至采购人机房段为独享带宽方式；投标人需提供到采购人接入设备前所需的设备、光模块、尾纤等设备及配件。</w:t>
            </w:r>
          </w:p>
        </w:tc>
      </w:tr>
      <w:tr w14:paraId="0B4DF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1D45C3A1">
            <w:pPr>
              <w:autoSpaceDE w:val="0"/>
              <w:autoSpaceDN w:val="0"/>
              <w:spacing w:after="0" w:line="240" w:lineRule="auto"/>
              <w:jc w:val="center"/>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1.2</w:t>
            </w:r>
          </w:p>
        </w:tc>
        <w:tc>
          <w:tcPr>
            <w:tcW w:w="1014" w:type="pct"/>
            <w:vAlign w:val="center"/>
          </w:tcPr>
          <w:p w14:paraId="5EA5CB5A">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线路保护要求</w:t>
            </w:r>
          </w:p>
        </w:tc>
        <w:tc>
          <w:tcPr>
            <w:tcW w:w="3445" w:type="pct"/>
            <w:vAlign w:val="center"/>
          </w:tcPr>
          <w:p w14:paraId="0ABFEBA5">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传输专线两端要求提供物理双路由保护的光缆资源并接入指定机房，需保证光缆线路全程的安全稳定性及线缆冗余，保证线路抗风险保护能力。</w:t>
            </w:r>
          </w:p>
        </w:tc>
      </w:tr>
      <w:tr w14:paraId="2139F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5FE2A423">
            <w:pPr>
              <w:autoSpaceDE w:val="0"/>
              <w:autoSpaceDN w:val="0"/>
              <w:spacing w:after="0" w:line="240" w:lineRule="auto"/>
              <w:jc w:val="center"/>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1.3</w:t>
            </w:r>
          </w:p>
        </w:tc>
        <w:tc>
          <w:tcPr>
            <w:tcW w:w="1014" w:type="pct"/>
            <w:vAlign w:val="center"/>
          </w:tcPr>
          <w:p w14:paraId="7357EA0A">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保护倒换要求</w:t>
            </w:r>
          </w:p>
        </w:tc>
        <w:tc>
          <w:tcPr>
            <w:tcW w:w="3445" w:type="pct"/>
            <w:vAlign w:val="center"/>
          </w:tcPr>
          <w:p w14:paraId="70711D78">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所提供的传输专线应处在投标人传送网自愈保护环网中，保证自愈环保护倒换时间≤50ms，倒换期间承载应用无感知。</w:t>
            </w:r>
          </w:p>
        </w:tc>
      </w:tr>
      <w:tr w14:paraId="5C243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0BA2424F">
            <w:pPr>
              <w:autoSpaceDE w:val="0"/>
              <w:autoSpaceDN w:val="0"/>
              <w:spacing w:after="0" w:line="240" w:lineRule="auto"/>
              <w:jc w:val="center"/>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1.4</w:t>
            </w:r>
          </w:p>
        </w:tc>
        <w:tc>
          <w:tcPr>
            <w:tcW w:w="1014" w:type="pct"/>
            <w:vAlign w:val="center"/>
          </w:tcPr>
          <w:p w14:paraId="794A91CA">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IPv6支持</w:t>
            </w:r>
          </w:p>
        </w:tc>
        <w:tc>
          <w:tcPr>
            <w:tcW w:w="3445" w:type="pct"/>
            <w:vAlign w:val="center"/>
          </w:tcPr>
          <w:p w14:paraId="29490C6B">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支持IPv6和IPv4双栈部署，满足各类应用向IPv6过渡演进。</w:t>
            </w:r>
          </w:p>
        </w:tc>
      </w:tr>
      <w:tr w14:paraId="5DDBF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77EF383D">
            <w:pPr>
              <w:autoSpaceDE w:val="0"/>
              <w:autoSpaceDN w:val="0"/>
              <w:spacing w:after="0" w:line="240" w:lineRule="auto"/>
              <w:jc w:val="center"/>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1.5</w:t>
            </w:r>
          </w:p>
        </w:tc>
        <w:tc>
          <w:tcPr>
            <w:tcW w:w="1014" w:type="pct"/>
            <w:vAlign w:val="center"/>
          </w:tcPr>
          <w:p w14:paraId="2CA04268">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IPV4地址数量</w:t>
            </w:r>
          </w:p>
        </w:tc>
        <w:tc>
          <w:tcPr>
            <w:tcW w:w="3445" w:type="pct"/>
            <w:vAlign w:val="center"/>
          </w:tcPr>
          <w:p w14:paraId="1BC56E91">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提供≥64个公网IPv4地址，且此公网地址不做二次转换；</w:t>
            </w:r>
          </w:p>
          <w:p w14:paraId="1D8F6CED">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提供30位掩码的公网IPv4用于和采购人进行设备之间的端口互联。</w:t>
            </w:r>
          </w:p>
        </w:tc>
      </w:tr>
      <w:tr w14:paraId="136EE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0D016621">
            <w:pPr>
              <w:autoSpaceDE w:val="0"/>
              <w:autoSpaceDN w:val="0"/>
              <w:spacing w:after="0" w:line="240" w:lineRule="auto"/>
              <w:jc w:val="center"/>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1.6</w:t>
            </w:r>
          </w:p>
        </w:tc>
        <w:tc>
          <w:tcPr>
            <w:tcW w:w="1014" w:type="pct"/>
            <w:vAlign w:val="center"/>
          </w:tcPr>
          <w:p w14:paraId="352486AB">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IPv6地址数量</w:t>
            </w:r>
          </w:p>
        </w:tc>
        <w:tc>
          <w:tcPr>
            <w:tcW w:w="3445" w:type="pct"/>
            <w:vAlign w:val="center"/>
          </w:tcPr>
          <w:p w14:paraId="3906F814">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提供56前缀IPv6公网地址并可扩容，且此公网地址不做二次转换；</w:t>
            </w:r>
          </w:p>
          <w:p w14:paraId="6D108406">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提供64前缀的公网IPv6用于和采购人进行设备之间的端口互联。</w:t>
            </w:r>
          </w:p>
        </w:tc>
      </w:tr>
      <w:tr w14:paraId="4DA42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3A5F8601">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en-US"/>
                <w14:ligatures w14:val="none"/>
              </w:rPr>
              <w:t>1.</w:t>
            </w:r>
            <w:r>
              <w:rPr>
                <w:rFonts w:hint="eastAsia" w:ascii="宋体" w:hAnsi="宋体" w:eastAsia="宋体" w:cs="宋体"/>
                <w:color w:val="000000"/>
                <w:sz w:val="24"/>
                <w:szCs w:val="24"/>
                <w:highlight w:val="none"/>
                <w:lang w:val="en-US" w:eastAsia="zh-CN"/>
                <w14:ligatures w14:val="none"/>
              </w:rPr>
              <w:t>7</w:t>
            </w:r>
          </w:p>
        </w:tc>
        <w:tc>
          <w:tcPr>
            <w:tcW w:w="1014" w:type="pct"/>
            <w:vAlign w:val="center"/>
          </w:tcPr>
          <w:p w14:paraId="5D32B957">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突发应用保障</w:t>
            </w:r>
          </w:p>
        </w:tc>
        <w:tc>
          <w:tcPr>
            <w:tcW w:w="3445" w:type="pct"/>
            <w:vAlign w:val="center"/>
          </w:tcPr>
          <w:p w14:paraId="78E9FFFA">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互联端口在采购人遇到紧急重大突发需求时不限速（投标人提供承诺函）。</w:t>
            </w:r>
          </w:p>
        </w:tc>
      </w:tr>
      <w:tr w14:paraId="61E1A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211639B9">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en-US"/>
                <w14:ligatures w14:val="none"/>
              </w:rPr>
              <w:t>1.</w:t>
            </w:r>
            <w:r>
              <w:rPr>
                <w:rFonts w:hint="eastAsia" w:ascii="宋体" w:hAnsi="宋体" w:eastAsia="宋体" w:cs="宋体"/>
                <w:color w:val="000000"/>
                <w:sz w:val="24"/>
                <w:szCs w:val="24"/>
                <w:highlight w:val="none"/>
                <w:lang w:val="en-US" w:eastAsia="zh-CN"/>
                <w14:ligatures w14:val="none"/>
              </w:rPr>
              <w:t>9</w:t>
            </w:r>
          </w:p>
        </w:tc>
        <w:tc>
          <w:tcPr>
            <w:tcW w:w="1014" w:type="pct"/>
            <w:vAlign w:val="center"/>
          </w:tcPr>
          <w:p w14:paraId="2DF8EB40">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▲拓扑位置</w:t>
            </w:r>
          </w:p>
        </w:tc>
        <w:tc>
          <w:tcPr>
            <w:tcW w:w="3445" w:type="pct"/>
            <w:vAlign w:val="center"/>
          </w:tcPr>
          <w:p w14:paraId="1C99BBAE">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投标人提供的互联网专线到达投标人城域网核心路由器的路由跳数为1跳；投标人需提供互联网专线到达投标人城域网核心路由器的网络拓扑图，详细说明本项目专线所接入的网络位置。</w:t>
            </w:r>
          </w:p>
        </w:tc>
      </w:tr>
      <w:tr w14:paraId="24906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17ADCB74">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en-US"/>
                <w14:ligatures w14:val="none"/>
              </w:rPr>
              <w:t>1.1</w:t>
            </w:r>
            <w:r>
              <w:rPr>
                <w:rFonts w:hint="eastAsia" w:ascii="宋体" w:hAnsi="宋体" w:eastAsia="宋体" w:cs="宋体"/>
                <w:color w:val="000000"/>
                <w:sz w:val="24"/>
                <w:szCs w:val="24"/>
                <w:highlight w:val="none"/>
                <w:lang w:val="en-US" w:eastAsia="zh-CN"/>
                <w14:ligatures w14:val="none"/>
              </w:rPr>
              <w:t>0</w:t>
            </w:r>
          </w:p>
        </w:tc>
        <w:tc>
          <w:tcPr>
            <w:tcW w:w="1014" w:type="pct"/>
            <w:vAlign w:val="center"/>
          </w:tcPr>
          <w:p w14:paraId="20619123">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▲流量监控服务</w:t>
            </w:r>
          </w:p>
        </w:tc>
        <w:tc>
          <w:tcPr>
            <w:tcW w:w="3445" w:type="pct"/>
            <w:vAlign w:val="center"/>
          </w:tcPr>
          <w:p w14:paraId="53AEB1DE">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投标人需对采购人业务流量进行实时监控，需能够提供</w:t>
            </w:r>
            <w:r>
              <w:rPr>
                <w:rFonts w:hint="eastAsia" w:ascii="宋体" w:hAnsi="宋体" w:eastAsia="宋体" w:cs="宋体"/>
                <w:color w:val="000000"/>
                <w:sz w:val="24"/>
                <w:szCs w:val="24"/>
                <w:highlight w:val="none"/>
                <w:lang w:val="en-US" w:eastAsia="zh-CN"/>
                <w14:ligatures w14:val="none"/>
              </w:rPr>
              <w:t>≥</w:t>
            </w:r>
            <w:r>
              <w:rPr>
                <w:rFonts w:hint="eastAsia" w:ascii="宋体" w:hAnsi="宋体" w:eastAsia="宋体" w:cs="宋体"/>
                <w:color w:val="000000"/>
                <w:sz w:val="24"/>
                <w:szCs w:val="24"/>
                <w:highlight w:val="none"/>
                <w:lang w:eastAsia="en-US"/>
                <w14:ligatures w14:val="none"/>
              </w:rPr>
              <w:t>6个月的各种日志以备查询；部署</w:t>
            </w:r>
            <w:r>
              <w:rPr>
                <w:rFonts w:hint="eastAsia" w:ascii="宋体" w:hAnsi="宋体" w:eastAsia="宋体" w:cs="宋体"/>
                <w:color w:val="000000"/>
                <w:sz w:val="24"/>
                <w:szCs w:val="24"/>
                <w:highlight w:val="none"/>
                <w:lang w:eastAsia="zh-CN"/>
                <w14:ligatures w14:val="none"/>
              </w:rPr>
              <w:t>一</w:t>
            </w:r>
            <w:r>
              <w:rPr>
                <w:rFonts w:hint="eastAsia" w:ascii="宋体" w:hAnsi="宋体" w:eastAsia="宋体" w:cs="宋体"/>
                <w:color w:val="000000"/>
                <w:sz w:val="24"/>
                <w:szCs w:val="24"/>
                <w:highlight w:val="none"/>
                <w:lang w:eastAsia="en-US"/>
                <w14:ligatures w14:val="none"/>
              </w:rPr>
              <w:t>个服务质量探测节点，对于专线可用性、访问质量进行检测；需提供技术人员对网络流量进行分析，帮助用户排除网络故障。</w:t>
            </w:r>
          </w:p>
        </w:tc>
      </w:tr>
      <w:tr w14:paraId="1A337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6981D894">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en-US"/>
                <w14:ligatures w14:val="none"/>
              </w:rPr>
              <w:t>1.1</w:t>
            </w:r>
            <w:r>
              <w:rPr>
                <w:rFonts w:hint="eastAsia" w:ascii="宋体" w:hAnsi="宋体" w:eastAsia="宋体" w:cs="宋体"/>
                <w:color w:val="000000"/>
                <w:sz w:val="24"/>
                <w:szCs w:val="24"/>
                <w:highlight w:val="none"/>
                <w:lang w:val="en-US" w:eastAsia="zh-CN"/>
                <w14:ligatures w14:val="none"/>
              </w:rPr>
              <w:t>1</w:t>
            </w:r>
          </w:p>
        </w:tc>
        <w:tc>
          <w:tcPr>
            <w:tcW w:w="1014" w:type="pct"/>
            <w:vAlign w:val="center"/>
          </w:tcPr>
          <w:p w14:paraId="45083878">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互联链路质量</w:t>
            </w:r>
          </w:p>
        </w:tc>
        <w:tc>
          <w:tcPr>
            <w:tcW w:w="3445" w:type="pct"/>
            <w:vAlign w:val="center"/>
          </w:tcPr>
          <w:p w14:paraId="48E10BEE">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采购人网络设备出口端口到投标人机房端网络设备对PING（100字节）平均时延≤5ms，丢包率≤0.1%；对PING（1500字节）平均时延≤10ms，丢包率≤0.3%；Ping国内主要网站时延≤50ms，丢包率≤0.5%。</w:t>
            </w:r>
          </w:p>
        </w:tc>
      </w:tr>
      <w:tr w14:paraId="7F22C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5664763E">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en-US"/>
                <w14:ligatures w14:val="none"/>
              </w:rPr>
              <w:t>1.1</w:t>
            </w:r>
            <w:r>
              <w:rPr>
                <w:rFonts w:hint="eastAsia" w:ascii="宋体" w:hAnsi="宋体" w:eastAsia="宋体" w:cs="宋体"/>
                <w:color w:val="000000"/>
                <w:sz w:val="24"/>
                <w:szCs w:val="24"/>
                <w:highlight w:val="none"/>
                <w:lang w:val="en-US" w:eastAsia="zh-CN"/>
                <w14:ligatures w14:val="none"/>
              </w:rPr>
              <w:t>2</w:t>
            </w:r>
          </w:p>
        </w:tc>
        <w:tc>
          <w:tcPr>
            <w:tcW w:w="1014" w:type="pct"/>
            <w:vAlign w:val="center"/>
          </w:tcPr>
          <w:p w14:paraId="63DC7CE5">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▲互联网访问质量</w:t>
            </w:r>
          </w:p>
        </w:tc>
        <w:tc>
          <w:tcPr>
            <w:tcW w:w="3445" w:type="pct"/>
            <w:vAlign w:val="center"/>
          </w:tcPr>
          <w:p w14:paraId="6D0E45CB">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投标人所提供的专线，采购人互联设备到达常用网站（百度、搜狐、网易、新浪、优酷、京东、淘宝、携程等）的路由跳数≤12 跳。</w:t>
            </w:r>
          </w:p>
        </w:tc>
      </w:tr>
      <w:tr w14:paraId="069ED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14AD0107">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en-US"/>
                <w14:ligatures w14:val="none"/>
              </w:rPr>
              <w:t>1.1</w:t>
            </w:r>
            <w:r>
              <w:rPr>
                <w:rFonts w:hint="eastAsia" w:ascii="宋体" w:hAnsi="宋体" w:eastAsia="宋体" w:cs="宋体"/>
                <w:color w:val="000000"/>
                <w:sz w:val="24"/>
                <w:szCs w:val="24"/>
                <w:highlight w:val="none"/>
                <w:lang w:val="en-US" w:eastAsia="zh-CN"/>
                <w14:ligatures w14:val="none"/>
              </w:rPr>
              <w:t>3</w:t>
            </w:r>
          </w:p>
        </w:tc>
        <w:tc>
          <w:tcPr>
            <w:tcW w:w="1014" w:type="pct"/>
            <w:vAlign w:val="center"/>
          </w:tcPr>
          <w:p w14:paraId="1E02B12C">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网络可用性</w:t>
            </w:r>
          </w:p>
        </w:tc>
        <w:tc>
          <w:tcPr>
            <w:tcW w:w="3445" w:type="pct"/>
            <w:vAlign w:val="center"/>
          </w:tcPr>
          <w:p w14:paraId="21406D80">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网络可用性</w:t>
            </w:r>
            <w:r>
              <w:rPr>
                <w:rFonts w:hint="eastAsia" w:ascii="宋体" w:hAnsi="宋体" w:eastAsia="宋体" w:cs="宋体"/>
                <w:color w:val="000000"/>
                <w:sz w:val="24"/>
                <w:szCs w:val="24"/>
                <w:highlight w:val="none"/>
                <w:lang w:val="en-US" w:eastAsia="zh-CN"/>
                <w14:ligatures w14:val="none"/>
              </w:rPr>
              <w:t>≥</w:t>
            </w:r>
            <w:r>
              <w:rPr>
                <w:rFonts w:hint="eastAsia" w:ascii="宋体" w:hAnsi="宋体" w:eastAsia="宋体" w:cs="宋体"/>
                <w:color w:val="000000"/>
                <w:sz w:val="24"/>
                <w:szCs w:val="24"/>
                <w:highlight w:val="none"/>
                <w:lang w:eastAsia="en-US"/>
                <w14:ligatures w14:val="none"/>
              </w:rPr>
              <w:t>99.9%。</w:t>
            </w:r>
          </w:p>
        </w:tc>
      </w:tr>
      <w:tr w14:paraId="08C1C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307E22FC">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eastAsia="en-US"/>
                <w14:ligatures w14:val="none"/>
              </w:rPr>
              <w:t>1.1</w:t>
            </w:r>
            <w:r>
              <w:rPr>
                <w:rFonts w:hint="eastAsia" w:ascii="宋体" w:hAnsi="宋体" w:eastAsia="宋体" w:cs="宋体"/>
                <w:color w:val="000000"/>
                <w:sz w:val="24"/>
                <w:szCs w:val="24"/>
                <w:highlight w:val="none"/>
                <w:lang w:val="en-US" w:eastAsia="zh-CN"/>
                <w14:ligatures w14:val="none"/>
              </w:rPr>
              <w:t>4</w:t>
            </w:r>
          </w:p>
        </w:tc>
        <w:tc>
          <w:tcPr>
            <w:tcW w:w="1014" w:type="pct"/>
            <w:vAlign w:val="center"/>
          </w:tcPr>
          <w:p w14:paraId="4A443CF7">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线路安全保障</w:t>
            </w:r>
          </w:p>
        </w:tc>
        <w:tc>
          <w:tcPr>
            <w:tcW w:w="3445" w:type="pct"/>
            <w:vAlign w:val="center"/>
          </w:tcPr>
          <w:p w14:paraId="317DD171">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投标人网络应具有较强抗攻击能力，能从采购人机房上游防御大型流量攻击；应具备所有IP同时被攻击时也可以同时进行并行清洗的能力。</w:t>
            </w:r>
          </w:p>
          <w:p w14:paraId="65EDEA3E">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p>
        </w:tc>
      </w:tr>
      <w:tr w14:paraId="6E55F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539" w:type="pct"/>
            <w:vAlign w:val="center"/>
          </w:tcPr>
          <w:p w14:paraId="6906E423">
            <w:pPr>
              <w:autoSpaceDE w:val="0"/>
              <w:autoSpaceDN w:val="0"/>
              <w:spacing w:after="0" w:line="240" w:lineRule="auto"/>
              <w:jc w:val="center"/>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14:ligatures w14:val="none"/>
              </w:rPr>
              <w:t>1.15</w:t>
            </w:r>
          </w:p>
        </w:tc>
        <w:tc>
          <w:tcPr>
            <w:tcW w:w="1014" w:type="pct"/>
            <w:vAlign w:val="center"/>
          </w:tcPr>
          <w:p w14:paraId="719B6CF3">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业务连续性保障</w:t>
            </w:r>
          </w:p>
        </w:tc>
        <w:tc>
          <w:tcPr>
            <w:tcW w:w="3445" w:type="pct"/>
            <w:vAlign w:val="center"/>
          </w:tcPr>
          <w:p w14:paraId="6A01E3A0">
            <w:pPr>
              <w:autoSpaceDE w:val="0"/>
              <w:autoSpaceDN w:val="0"/>
              <w:spacing w:after="0" w:line="240" w:lineRule="auto"/>
              <w:jc w:val="both"/>
              <w:rPr>
                <w:rFonts w:hint="eastAsia" w:ascii="宋体" w:hAnsi="宋体" w:eastAsia="宋体" w:cs="宋体"/>
                <w:color w:val="000000"/>
                <w:sz w:val="24"/>
                <w:szCs w:val="24"/>
                <w:highlight w:val="none"/>
                <w:lang w:eastAsia="en-US"/>
                <w14:ligatures w14:val="none"/>
              </w:rPr>
            </w:pPr>
            <w:r>
              <w:rPr>
                <w:rFonts w:hint="eastAsia" w:ascii="宋体" w:hAnsi="宋体" w:eastAsia="宋体" w:cs="宋体"/>
                <w:color w:val="000000"/>
                <w:sz w:val="24"/>
                <w:szCs w:val="24"/>
                <w:highlight w:val="none"/>
                <w:lang w:eastAsia="en-US"/>
                <w14:ligatures w14:val="none"/>
              </w:rPr>
              <w:t>投标人提供的专线应确保采购人当前业务的连续性和稳定性，调测期间需确保业务连续不中断。</w:t>
            </w:r>
          </w:p>
        </w:tc>
      </w:tr>
    </w:tbl>
    <w:p w14:paraId="548A3CA9">
      <w:pPr>
        <w:spacing w:after="0" w:line="240" w:lineRule="auto"/>
        <w:jc w:val="both"/>
        <w:rPr>
          <w:rFonts w:hint="eastAsia" w:ascii="宋体" w:hAnsi="宋体" w:eastAsia="宋体" w:cs="仿宋"/>
          <w:color w:val="000000"/>
          <w:sz w:val="28"/>
          <w:szCs w:val="28"/>
          <w:highlight w:val="none"/>
          <w14:ligatures w14:val="none"/>
        </w:rPr>
      </w:pPr>
    </w:p>
    <w:p w14:paraId="13F31E93">
      <w:pPr>
        <w:spacing w:after="0" w:line="240" w:lineRule="auto"/>
        <w:jc w:val="both"/>
        <w:rPr>
          <w:rFonts w:hint="eastAsia" w:ascii="宋体" w:hAnsi="宋体" w:eastAsia="宋体" w:cs="仿宋"/>
          <w:color w:val="000000"/>
          <w:kern w:val="0"/>
          <w:sz w:val="28"/>
          <w:szCs w:val="28"/>
          <w:highlight w:val="none"/>
          <w14:ligatures w14:val="none"/>
        </w:rPr>
      </w:pPr>
      <w:bookmarkStart w:id="22" w:name="_Toc132291448"/>
    </w:p>
    <w:p w14:paraId="329004A7">
      <w:pPr>
        <w:spacing w:after="0" w:line="240" w:lineRule="auto"/>
        <w:jc w:val="both"/>
        <w:rPr>
          <w:rFonts w:hint="eastAsia" w:ascii="宋体" w:hAnsi="宋体" w:eastAsia="宋体" w:cs="仿宋"/>
          <w:color w:val="000000"/>
          <w:kern w:val="0"/>
          <w:sz w:val="28"/>
          <w:szCs w:val="28"/>
          <w:highlight w:val="none"/>
          <w14:ligatures w14:val="none"/>
        </w:rPr>
      </w:pPr>
      <w:r>
        <w:rPr>
          <w:rFonts w:hint="eastAsia" w:ascii="宋体" w:hAnsi="宋体" w:eastAsia="宋体" w:cs="仿宋"/>
          <w:color w:val="000000"/>
          <w:kern w:val="0"/>
          <w:sz w:val="28"/>
          <w:szCs w:val="28"/>
          <w:highlight w:val="none"/>
          <w14:ligatures w14:val="none"/>
        </w:rPr>
        <w:br w:type="page"/>
      </w:r>
    </w:p>
    <w:p w14:paraId="79846CBC">
      <w:pPr>
        <w:keepNext/>
        <w:keepLines/>
        <w:snapToGrid w:val="0"/>
        <w:spacing w:after="0" w:line="360" w:lineRule="auto"/>
        <w:jc w:val="both"/>
        <w:outlineLvl w:val="3"/>
        <w:rPr>
          <w:rFonts w:hint="eastAsia" w:ascii="宋体" w:hAnsi="宋体" w:eastAsia="宋体" w:cs="仿宋"/>
          <w:b/>
          <w:bCs/>
          <w:color w:val="000000"/>
          <w:kern w:val="0"/>
          <w:sz w:val="28"/>
          <w:szCs w:val="28"/>
          <w:highlight w:val="none"/>
          <w14:ligatures w14:val="none"/>
        </w:rPr>
      </w:pPr>
      <w:bookmarkStart w:id="23" w:name="_Toc28095"/>
      <w:bookmarkStart w:id="24" w:name="_Toc1707"/>
      <w:r>
        <w:rPr>
          <w:rFonts w:hint="eastAsia" w:ascii="宋体" w:hAnsi="宋体" w:eastAsia="宋体" w:cs="仿宋"/>
          <w:b/>
          <w:bCs/>
          <w:color w:val="000000"/>
          <w:kern w:val="0"/>
          <w:sz w:val="28"/>
          <w:szCs w:val="28"/>
          <w:highlight w:val="none"/>
          <w:lang w:val="en-US" w:eastAsia="zh-CN"/>
          <w14:ligatures w14:val="none"/>
        </w:rPr>
        <w:t>2、</w:t>
      </w:r>
      <w:r>
        <w:rPr>
          <w:rFonts w:hint="eastAsia" w:ascii="宋体" w:hAnsi="宋体" w:eastAsia="宋体" w:cs="仿宋"/>
          <w:b/>
          <w:bCs/>
          <w:color w:val="000000"/>
          <w:kern w:val="0"/>
          <w:sz w:val="28"/>
          <w:szCs w:val="28"/>
          <w:highlight w:val="none"/>
          <w14:ligatures w14:val="none"/>
        </w:rPr>
        <w:t>商务条款</w:t>
      </w:r>
      <w:bookmarkEnd w:id="22"/>
      <w:bookmarkEnd w:id="23"/>
      <w:bookmarkEnd w:id="24"/>
    </w:p>
    <w:p w14:paraId="275DB883">
      <w:pPr>
        <w:keepNext/>
        <w:keepLines/>
        <w:snapToGrid w:val="0"/>
        <w:spacing w:after="0" w:line="360" w:lineRule="auto"/>
        <w:jc w:val="both"/>
        <w:outlineLvl w:val="4"/>
        <w:rPr>
          <w:rFonts w:hint="eastAsia" w:ascii="宋体" w:hAnsi="宋体" w:eastAsia="宋体" w:cs="仿宋"/>
          <w:b/>
          <w:bCs/>
          <w:color w:val="000000"/>
          <w:kern w:val="0"/>
          <w:sz w:val="28"/>
          <w:szCs w:val="28"/>
          <w:highlight w:val="none"/>
          <w:lang w:eastAsia="zh-CN"/>
          <w14:ligatures w14:val="none"/>
        </w:rPr>
      </w:pPr>
      <w:bookmarkStart w:id="25" w:name="_Toc25535"/>
      <w:r>
        <w:rPr>
          <w:rFonts w:hint="eastAsia" w:ascii="宋体" w:hAnsi="宋体" w:eastAsia="宋体" w:cs="仿宋"/>
          <w:b/>
          <w:bCs/>
          <w:color w:val="000000"/>
          <w:kern w:val="0"/>
          <w:sz w:val="28"/>
          <w:szCs w:val="28"/>
          <w:highlight w:val="none"/>
          <w:lang w:val="en-US" w:eastAsia="zh-CN"/>
          <w14:ligatures w14:val="none"/>
        </w:rPr>
        <w:t>A</w:t>
      </w:r>
      <w:r>
        <w:rPr>
          <w:rFonts w:hint="eastAsia" w:ascii="宋体" w:hAnsi="宋体" w:eastAsia="宋体" w:cs="仿宋"/>
          <w:b/>
          <w:bCs/>
          <w:color w:val="000000"/>
          <w:kern w:val="0"/>
          <w:sz w:val="28"/>
          <w:szCs w:val="28"/>
          <w:highlight w:val="none"/>
          <w:lang w:eastAsia="zh-CN"/>
          <w14:ligatures w14:val="none"/>
        </w:rPr>
        <w:t>包：校园网出口带宽</w:t>
      </w:r>
      <w:bookmarkEnd w:id="25"/>
    </w:p>
    <w:tbl>
      <w:tblPr>
        <w:tblStyle w:val="1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35"/>
        <w:gridCol w:w="1524"/>
        <w:gridCol w:w="6263"/>
      </w:tblGrid>
      <w:tr w14:paraId="47013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4BBA57C9">
            <w:pPr>
              <w:snapToGrid w:val="0"/>
              <w:spacing w:after="0" w:line="288" w:lineRule="auto"/>
              <w:jc w:val="center"/>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14:ligatures w14:val="none"/>
              </w:rPr>
              <w:t>项目序号</w:t>
            </w:r>
          </w:p>
        </w:tc>
        <w:tc>
          <w:tcPr>
            <w:tcW w:w="894" w:type="pct"/>
            <w:tcBorders>
              <w:top w:val="single" w:color="auto" w:sz="4" w:space="0"/>
              <w:left w:val="single" w:color="auto" w:sz="4" w:space="0"/>
              <w:bottom w:val="single" w:color="auto" w:sz="4" w:space="0"/>
              <w:right w:val="single" w:color="auto" w:sz="4" w:space="0"/>
            </w:tcBorders>
            <w:vAlign w:val="center"/>
          </w:tcPr>
          <w:p w14:paraId="64973897">
            <w:pPr>
              <w:snapToGrid w:val="0"/>
              <w:spacing w:after="0" w:line="288" w:lineRule="auto"/>
              <w:jc w:val="center"/>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14:ligatures w14:val="none"/>
              </w:rPr>
              <w:t>项目名称</w:t>
            </w:r>
          </w:p>
        </w:tc>
        <w:tc>
          <w:tcPr>
            <w:tcW w:w="3673" w:type="pct"/>
            <w:tcBorders>
              <w:top w:val="single" w:color="auto" w:sz="4" w:space="0"/>
              <w:left w:val="single" w:color="auto" w:sz="4" w:space="0"/>
              <w:bottom w:val="single" w:color="auto" w:sz="4" w:space="0"/>
              <w:right w:val="single" w:color="auto" w:sz="4" w:space="0"/>
            </w:tcBorders>
            <w:vAlign w:val="center"/>
          </w:tcPr>
          <w:p w14:paraId="4AD9D3A8">
            <w:pPr>
              <w:snapToGrid w:val="0"/>
              <w:spacing w:after="0" w:line="288" w:lineRule="auto"/>
              <w:jc w:val="center"/>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14:ligatures w14:val="none"/>
              </w:rPr>
              <w:t>采购人要求</w:t>
            </w:r>
          </w:p>
        </w:tc>
      </w:tr>
      <w:tr w14:paraId="490F27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00FCE9A4">
            <w:pPr>
              <w:snapToGrid w:val="0"/>
              <w:spacing w:after="0" w:line="288" w:lineRule="auto"/>
              <w:jc w:val="both"/>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14:ligatures w14:val="none"/>
              </w:rPr>
              <w:t>1</w:t>
            </w:r>
          </w:p>
        </w:tc>
        <w:tc>
          <w:tcPr>
            <w:tcW w:w="894" w:type="pct"/>
            <w:tcBorders>
              <w:top w:val="single" w:color="auto" w:sz="4" w:space="0"/>
              <w:left w:val="single" w:color="auto" w:sz="4" w:space="0"/>
              <w:bottom w:val="single" w:color="auto" w:sz="4" w:space="0"/>
              <w:right w:val="single" w:color="auto" w:sz="4" w:space="0"/>
            </w:tcBorders>
            <w:vAlign w:val="center"/>
          </w:tcPr>
          <w:p w14:paraId="3F83797A">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成交价</w:t>
            </w:r>
          </w:p>
        </w:tc>
        <w:tc>
          <w:tcPr>
            <w:tcW w:w="3673" w:type="pct"/>
            <w:tcBorders>
              <w:top w:val="single" w:color="auto" w:sz="4" w:space="0"/>
              <w:left w:val="single" w:color="auto" w:sz="4" w:space="0"/>
              <w:bottom w:val="single" w:color="auto" w:sz="4" w:space="0"/>
              <w:right w:val="single" w:color="auto" w:sz="4" w:space="0"/>
            </w:tcBorders>
            <w:vAlign w:val="center"/>
          </w:tcPr>
          <w:p w14:paraId="170ACF41">
            <w:pPr>
              <w:spacing w:after="120" w:line="240"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人民币</w:t>
            </w:r>
            <w:r>
              <w:rPr>
                <w:rFonts w:hint="eastAsia" w:ascii="宋体" w:hAnsi="宋体" w:eastAsia="宋体" w:cs="Times New Roman"/>
                <w:sz w:val="24"/>
                <w:highlight w:val="none"/>
                <w:lang w:eastAsia="zh-CN"/>
                <w14:ligatures w14:val="none"/>
              </w:rPr>
              <w:t>。</w:t>
            </w:r>
          </w:p>
        </w:tc>
      </w:tr>
      <w:tr w14:paraId="06E88B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00E6C9F2">
            <w:pPr>
              <w:snapToGrid w:val="0"/>
              <w:spacing w:after="0" w:line="288" w:lineRule="auto"/>
              <w:jc w:val="both"/>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14:ligatures w14:val="none"/>
              </w:rPr>
              <w:t>2</w:t>
            </w:r>
          </w:p>
        </w:tc>
        <w:tc>
          <w:tcPr>
            <w:tcW w:w="894" w:type="pct"/>
            <w:tcBorders>
              <w:top w:val="single" w:color="auto" w:sz="4" w:space="0"/>
              <w:left w:val="single" w:color="auto" w:sz="4" w:space="0"/>
              <w:bottom w:val="single" w:color="auto" w:sz="4" w:space="0"/>
              <w:right w:val="single" w:color="auto" w:sz="4" w:space="0"/>
            </w:tcBorders>
            <w:vAlign w:val="center"/>
          </w:tcPr>
          <w:p w14:paraId="7F7FD907">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交付时间</w:t>
            </w:r>
          </w:p>
        </w:tc>
        <w:tc>
          <w:tcPr>
            <w:tcW w:w="3673" w:type="pct"/>
            <w:tcBorders>
              <w:top w:val="single" w:color="auto" w:sz="4" w:space="0"/>
              <w:left w:val="single" w:color="auto" w:sz="4" w:space="0"/>
              <w:bottom w:val="single" w:color="auto" w:sz="4" w:space="0"/>
              <w:right w:val="single" w:color="auto" w:sz="4" w:space="0"/>
            </w:tcBorders>
            <w:vAlign w:val="center"/>
          </w:tcPr>
          <w:p w14:paraId="549B7052">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color w:val="000000"/>
                <w:sz w:val="24"/>
                <w:highlight w:val="none"/>
                <w14:ligatures w14:val="none"/>
              </w:rPr>
              <w:t>合同签订后</w:t>
            </w:r>
            <w:r>
              <w:rPr>
                <w:rFonts w:hint="eastAsia" w:ascii="宋体" w:hAnsi="宋体" w:eastAsia="宋体" w:cs="Times New Roman"/>
                <w:color w:val="000000"/>
                <w:sz w:val="24"/>
                <w:highlight w:val="none"/>
                <w:lang w:val="en-US" w:eastAsia="zh-CN"/>
                <w14:ligatures w14:val="none"/>
              </w:rPr>
              <w:t>15</w:t>
            </w:r>
            <w:r>
              <w:rPr>
                <w:rFonts w:hint="eastAsia" w:ascii="宋体" w:hAnsi="宋体" w:eastAsia="宋体" w:cs="Times New Roman"/>
                <w:color w:val="000000"/>
                <w:sz w:val="24"/>
                <w:highlight w:val="none"/>
                <w14:ligatures w14:val="none"/>
              </w:rPr>
              <w:t>个工作日</w:t>
            </w:r>
          </w:p>
        </w:tc>
      </w:tr>
      <w:tr w14:paraId="6C478C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23B163F6">
            <w:pPr>
              <w:snapToGrid w:val="0"/>
              <w:spacing w:after="0" w:line="288" w:lineRule="auto"/>
              <w:jc w:val="both"/>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14:ligatures w14:val="none"/>
              </w:rPr>
              <w:t>3</w:t>
            </w:r>
          </w:p>
        </w:tc>
        <w:tc>
          <w:tcPr>
            <w:tcW w:w="894" w:type="pct"/>
            <w:tcBorders>
              <w:top w:val="single" w:color="auto" w:sz="4" w:space="0"/>
              <w:left w:val="single" w:color="auto" w:sz="4" w:space="0"/>
              <w:bottom w:val="single" w:color="auto" w:sz="4" w:space="0"/>
              <w:right w:val="single" w:color="auto" w:sz="4" w:space="0"/>
            </w:tcBorders>
            <w:vAlign w:val="center"/>
          </w:tcPr>
          <w:p w14:paraId="38D1A538">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付款方式</w:t>
            </w:r>
          </w:p>
        </w:tc>
        <w:tc>
          <w:tcPr>
            <w:tcW w:w="3673" w:type="pct"/>
            <w:tcBorders>
              <w:top w:val="single" w:color="auto" w:sz="4" w:space="0"/>
              <w:left w:val="single" w:color="auto" w:sz="4" w:space="0"/>
              <w:bottom w:val="single" w:color="auto" w:sz="4" w:space="0"/>
              <w:right w:val="single" w:color="auto" w:sz="4" w:space="0"/>
            </w:tcBorders>
            <w:vAlign w:val="center"/>
          </w:tcPr>
          <w:p w14:paraId="292A4A12">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color w:val="000000"/>
                <w:sz w:val="24"/>
                <w:highlight w:val="none"/>
                <w14:ligatures w14:val="none"/>
              </w:rPr>
              <w:t>按季度付款，采购人于当季服务结束后15日内支付当季服务款项，如遇假期调整支付时间顺延，计费日期自线路开通之日起开始执行协议资费。</w:t>
            </w:r>
          </w:p>
        </w:tc>
      </w:tr>
      <w:tr w14:paraId="125F7C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24B1B0AC">
            <w:pPr>
              <w:snapToGrid w:val="0"/>
              <w:spacing w:after="0" w:line="288" w:lineRule="auto"/>
              <w:jc w:val="both"/>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14:ligatures w14:val="none"/>
              </w:rPr>
              <w:t>4</w:t>
            </w:r>
          </w:p>
        </w:tc>
        <w:tc>
          <w:tcPr>
            <w:tcW w:w="894" w:type="pct"/>
            <w:tcBorders>
              <w:top w:val="single" w:color="auto" w:sz="4" w:space="0"/>
              <w:left w:val="single" w:color="auto" w:sz="4" w:space="0"/>
              <w:bottom w:val="single" w:color="auto" w:sz="4" w:space="0"/>
              <w:right w:val="single" w:color="auto" w:sz="4" w:space="0"/>
            </w:tcBorders>
            <w:vAlign w:val="center"/>
          </w:tcPr>
          <w:p w14:paraId="30C8AA13">
            <w:pPr>
              <w:tabs>
                <w:tab w:val="left" w:pos="420"/>
              </w:tabs>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sz w:val="24"/>
                <w:szCs w:val="24"/>
                <w:highlight w:val="none"/>
              </w:rPr>
              <w:t>服务实施验收</w:t>
            </w:r>
          </w:p>
        </w:tc>
        <w:tc>
          <w:tcPr>
            <w:tcW w:w="3673" w:type="pct"/>
            <w:tcBorders>
              <w:top w:val="single" w:color="auto" w:sz="4" w:space="0"/>
              <w:left w:val="single" w:color="auto" w:sz="4" w:space="0"/>
              <w:bottom w:val="single" w:color="auto" w:sz="4" w:space="0"/>
              <w:right w:val="single" w:color="auto" w:sz="4" w:space="0"/>
            </w:tcBorders>
            <w:vAlign w:val="center"/>
          </w:tcPr>
          <w:p w14:paraId="29793481">
            <w:pPr>
              <w:tabs>
                <w:tab w:val="left" w:pos="360"/>
              </w:tabs>
              <w:snapToGrid w:val="0"/>
              <w:spacing w:after="0" w:line="288" w:lineRule="auto"/>
              <w:jc w:val="both"/>
              <w:rPr>
                <w:rFonts w:hint="eastAsia" w:ascii="宋体" w:hAnsi="宋体" w:eastAsia="宋体" w:cs="Times New Roman"/>
                <w:color w:val="000000"/>
                <w:sz w:val="24"/>
                <w:highlight w:val="none"/>
                <w14:ligatures w14:val="none"/>
              </w:rPr>
            </w:pPr>
            <w:r>
              <w:rPr>
                <w:rFonts w:hint="eastAsia" w:ascii="宋体" w:hAnsi="宋体" w:eastAsia="宋体" w:cs="Times New Roman"/>
                <w:color w:val="000000"/>
                <w:sz w:val="24"/>
                <w:highlight w:val="none"/>
                <w14:ligatures w14:val="none"/>
              </w:rPr>
              <w:t>A、服务验收由专家组和中标人联合在山东大学进行，验收条件按照合同规定执行。验收合格后填写山东大学服务验收记录表，该验收单作为支付中标人款项的依据。</w:t>
            </w:r>
          </w:p>
          <w:p w14:paraId="7BCC684A">
            <w:pPr>
              <w:tabs>
                <w:tab w:val="left" w:pos="360"/>
              </w:tabs>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color w:val="000000"/>
                <w:sz w:val="24"/>
                <w:highlight w:val="none"/>
                <w14:ligatures w14:val="none"/>
              </w:rPr>
              <w:t>B、对交付有特殊要求的服务，中标人应在合同签订后10 个工作日内以书面形式向用户提出安装场地环境要求，用户负责如电源、地线、温度和湿度设备、静电和防尘设备等安装场地的准备。</w:t>
            </w:r>
          </w:p>
        </w:tc>
      </w:tr>
      <w:tr w14:paraId="367A95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44EB2D17">
            <w:pPr>
              <w:snapToGrid w:val="0"/>
              <w:spacing w:after="0" w:line="288" w:lineRule="auto"/>
              <w:jc w:val="both"/>
              <w:rPr>
                <w:rFonts w:hint="eastAsia" w:ascii="宋体" w:hAnsi="宋体" w:eastAsia="宋体" w:cs="Times New Roman"/>
                <w:b/>
                <w:bCs/>
                <w:sz w:val="24"/>
                <w:highlight w:val="none"/>
                <w14:ligatures w14:val="none"/>
              </w:rPr>
            </w:pPr>
            <w:r>
              <w:rPr>
                <w:rFonts w:hint="eastAsia" w:ascii="宋体" w:hAnsi="宋体" w:eastAsia="宋体" w:cs="Times New Roman"/>
                <w:b/>
                <w:bCs/>
                <w:sz w:val="24"/>
                <w:highlight w:val="none"/>
                <w:lang w:val="en-US" w:eastAsia="zh-CN"/>
                <w14:ligatures w14:val="none"/>
              </w:rPr>
              <w:t>5</w:t>
            </w:r>
          </w:p>
        </w:tc>
        <w:tc>
          <w:tcPr>
            <w:tcW w:w="894" w:type="pct"/>
            <w:tcBorders>
              <w:top w:val="single" w:color="auto" w:sz="4" w:space="0"/>
              <w:left w:val="single" w:color="auto" w:sz="4" w:space="0"/>
              <w:bottom w:val="single" w:color="auto" w:sz="4" w:space="0"/>
              <w:right w:val="single" w:color="auto" w:sz="4" w:space="0"/>
            </w:tcBorders>
            <w:vAlign w:val="center"/>
          </w:tcPr>
          <w:p w14:paraId="51B0B079">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保修与维修</w:t>
            </w:r>
          </w:p>
        </w:tc>
        <w:tc>
          <w:tcPr>
            <w:tcW w:w="3673" w:type="pct"/>
            <w:tcBorders>
              <w:top w:val="single" w:color="auto" w:sz="4" w:space="0"/>
              <w:left w:val="single" w:color="auto" w:sz="4" w:space="0"/>
              <w:bottom w:val="single" w:color="auto" w:sz="4" w:space="0"/>
              <w:right w:val="single" w:color="auto" w:sz="4" w:space="0"/>
            </w:tcBorders>
            <w:vAlign w:val="center"/>
          </w:tcPr>
          <w:p w14:paraId="49D5EAAA">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A、服务期限：3 年</w:t>
            </w:r>
            <w:r>
              <w:rPr>
                <w:rFonts w:hint="eastAsia" w:ascii="宋体" w:hAnsi="宋体" w:eastAsia="宋体" w:cs="Times New Roman"/>
                <w:sz w:val="24"/>
                <w:highlight w:val="none"/>
                <w:lang w:eastAsia="zh-CN"/>
                <w14:ligatures w14:val="none"/>
              </w:rPr>
              <w:t>，</w:t>
            </w:r>
            <w:r>
              <w:rPr>
                <w:rFonts w:hint="eastAsia" w:ascii="宋体" w:hAnsi="宋体" w:eastAsia="宋体" w:cs="Times New Roman"/>
                <w:sz w:val="24"/>
                <w:highlight w:val="none"/>
                <w:lang w:val="en-US" w:eastAsia="zh-CN"/>
                <w14:ligatures w14:val="none"/>
              </w:rPr>
              <w:t>合同一年一签，</w:t>
            </w:r>
            <w:r>
              <w:rPr>
                <w:rFonts w:hint="eastAsia" w:ascii="宋体" w:hAnsi="宋体" w:eastAsia="宋体" w:cs="Times New Roman"/>
                <w:sz w:val="24"/>
                <w:highlight w:val="none"/>
                <w14:ligatures w14:val="none"/>
              </w:rPr>
              <w:t>采购人在年度预算能保障的前提下对中标人服务质量进行考核，并根据考核结果自主决定是否与中标人续签下一年合同。</w:t>
            </w:r>
          </w:p>
          <w:p w14:paraId="5C980E42">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B、中标人应在服务期到期满前一个月内，进行一次现场全面检查，并写出正式报告。如发现问题应负责解决（该项费用包含在报价中）。</w:t>
            </w:r>
          </w:p>
          <w:p w14:paraId="5D9B6368">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C、中标人需提供负责售后服务的部门或单位的名称和联系方式。一般故障在30 分钟内解决；严重故障应在120 分钟内解决，重大故障应在240 分钟内解决。故障持续60 分钟内必须到现场处理。重大问题或其它无法迅速解决的问题应在1 月内解决或提出明确解决方案，否则中标人应赔偿相应损失。</w:t>
            </w:r>
          </w:p>
          <w:p w14:paraId="4498FE85">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D、中标人应定期回访用户。</w:t>
            </w:r>
          </w:p>
          <w:p w14:paraId="0A4549B7">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E、中标人应提供日常巡检方案负责制订具体的巡查计划，并对日常巡查工作进行指导检查。</w:t>
            </w:r>
          </w:p>
          <w:p w14:paraId="7FBFCAC6">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F、中标人应提供网络流量数据，对网络状况进行实时分析，对于出现的问题或故障及时提供解决方案。</w:t>
            </w:r>
          </w:p>
          <w:p w14:paraId="16EA916B">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G、供应商接入到用户方路由器/防火墙前端的设备均由供应商提供和维护(含光纤收发器、光模块等)，费用包含在此次报价中，不再额外收取线路初装、测试、维护和租用费用。</w:t>
            </w:r>
          </w:p>
          <w:p w14:paraId="64DE17DF">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H.供应商应提供本项目合同期内各网络节点的专线线路的使用和维护服务，以及实施过程中所需的材料及设备，其费用均</w:t>
            </w:r>
          </w:p>
          <w:p w14:paraId="0B6FF75C">
            <w:pPr>
              <w:snapToGrid w:val="0"/>
              <w:spacing w:after="0" w:line="288" w:lineRule="auto"/>
              <w:jc w:val="both"/>
              <w:rPr>
                <w:rFonts w:hint="eastAsia" w:ascii="宋体" w:hAnsi="宋体" w:eastAsia="宋体" w:cs="Times New Roman"/>
                <w:sz w:val="24"/>
                <w:highlight w:val="none"/>
                <w14:ligatures w14:val="none"/>
              </w:rPr>
            </w:pPr>
            <w:r>
              <w:rPr>
                <w:rFonts w:hint="eastAsia" w:ascii="宋体" w:hAnsi="宋体" w:eastAsia="宋体" w:cs="Times New Roman"/>
                <w:sz w:val="24"/>
                <w:highlight w:val="none"/>
                <w14:ligatures w14:val="none"/>
              </w:rPr>
              <w:t>包括在中标总价中。</w:t>
            </w:r>
          </w:p>
        </w:tc>
      </w:tr>
    </w:tbl>
    <w:p w14:paraId="087BA4F0">
      <w:pPr>
        <w:widowControl/>
        <w:spacing w:after="0" w:line="240" w:lineRule="auto"/>
        <w:rPr>
          <w:rFonts w:ascii="宋体" w:hAnsi="宋体" w:eastAsia="宋体" w:cs="Times New Roman"/>
          <w:b/>
          <w:color w:val="000000"/>
          <w:sz w:val="28"/>
          <w:szCs w:val="28"/>
          <w:highlight w:val="none"/>
          <w14:ligatures w14:val="none"/>
        </w:rPr>
      </w:pPr>
    </w:p>
    <w:p w14:paraId="0824ABFC">
      <w:pPr>
        <w:rPr>
          <w:rFonts w:ascii="宋体" w:hAnsi="宋体" w:eastAsia="宋体" w:cs="Times New Roman"/>
          <w:b/>
          <w:color w:val="000000"/>
          <w:sz w:val="28"/>
          <w:szCs w:val="28"/>
          <w:highlight w:val="none"/>
          <w14:ligatures w14:val="none"/>
        </w:rPr>
      </w:pPr>
      <w:r>
        <w:rPr>
          <w:rFonts w:ascii="宋体" w:hAnsi="宋体" w:eastAsia="宋体" w:cs="Times New Roman"/>
          <w:b/>
          <w:color w:val="000000"/>
          <w:sz w:val="28"/>
          <w:szCs w:val="28"/>
          <w:highlight w:val="none"/>
          <w14:ligatures w14:val="none"/>
        </w:rPr>
        <w:br w:type="page"/>
      </w:r>
    </w:p>
    <w:p w14:paraId="3FA0FCF2">
      <w:pPr>
        <w:widowControl/>
        <w:spacing w:after="0" w:line="240" w:lineRule="auto"/>
        <w:outlineLvl w:val="4"/>
        <w:rPr>
          <w:rFonts w:hint="eastAsia" w:ascii="宋体" w:hAnsi="宋体" w:eastAsia="宋体" w:cs="Times New Roman"/>
          <w:b/>
          <w:color w:val="000000"/>
          <w:sz w:val="28"/>
          <w:szCs w:val="28"/>
          <w:highlight w:val="none"/>
          <w:lang w:eastAsia="zh-CN"/>
          <w14:ligatures w14:val="none"/>
        </w:rPr>
      </w:pPr>
      <w:bookmarkStart w:id="26" w:name="_Toc10308"/>
      <w:r>
        <w:rPr>
          <w:rFonts w:hint="eastAsia" w:ascii="宋体" w:hAnsi="宋体" w:eastAsia="宋体" w:cs="Times New Roman"/>
          <w:b/>
          <w:color w:val="000000"/>
          <w:sz w:val="28"/>
          <w:szCs w:val="28"/>
          <w:highlight w:val="none"/>
          <w:lang w:val="en-US" w:eastAsia="zh-CN"/>
          <w14:ligatures w14:val="none"/>
        </w:rPr>
        <w:t>B包</w:t>
      </w:r>
      <w:r>
        <w:rPr>
          <w:rFonts w:hint="eastAsia" w:ascii="宋体" w:hAnsi="宋体" w:eastAsia="宋体" w:cs="Times New Roman"/>
          <w:b/>
          <w:color w:val="000000"/>
          <w:sz w:val="28"/>
          <w:szCs w:val="28"/>
          <w:highlight w:val="none"/>
          <w:lang w:eastAsia="zh-CN"/>
          <w14:ligatures w14:val="none"/>
        </w:rPr>
        <w:t>：</w:t>
      </w:r>
      <w:r>
        <w:rPr>
          <w:rFonts w:hint="eastAsia" w:ascii="宋体" w:hAnsi="宋体" w:eastAsia="宋体" w:cs="Times New Roman"/>
          <w:b/>
          <w:color w:val="000000"/>
          <w:sz w:val="28"/>
          <w:szCs w:val="28"/>
          <w:highlight w:val="none"/>
          <w:lang w:val="en-US" w:eastAsia="zh-CN"/>
          <w14:ligatures w14:val="none"/>
        </w:rPr>
        <w:t>三地统一调度带宽</w:t>
      </w:r>
      <w:bookmarkEnd w:id="26"/>
    </w:p>
    <w:tbl>
      <w:tblPr>
        <w:tblStyle w:val="1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35"/>
        <w:gridCol w:w="1524"/>
        <w:gridCol w:w="6263"/>
      </w:tblGrid>
      <w:tr w14:paraId="4BFA47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093FF788">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项目序号</w:t>
            </w:r>
          </w:p>
        </w:tc>
        <w:tc>
          <w:tcPr>
            <w:tcW w:w="894" w:type="pct"/>
            <w:tcBorders>
              <w:top w:val="single" w:color="auto" w:sz="4" w:space="0"/>
              <w:left w:val="single" w:color="auto" w:sz="4" w:space="0"/>
              <w:bottom w:val="single" w:color="auto" w:sz="4" w:space="0"/>
              <w:right w:val="single" w:color="auto" w:sz="4" w:space="0"/>
            </w:tcBorders>
            <w:vAlign w:val="center"/>
          </w:tcPr>
          <w:p w14:paraId="5711166F">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项目名称</w:t>
            </w:r>
          </w:p>
        </w:tc>
        <w:tc>
          <w:tcPr>
            <w:tcW w:w="3673" w:type="pct"/>
            <w:tcBorders>
              <w:top w:val="single" w:color="auto" w:sz="4" w:space="0"/>
              <w:left w:val="single" w:color="auto" w:sz="4" w:space="0"/>
              <w:bottom w:val="single" w:color="auto" w:sz="4" w:space="0"/>
              <w:right w:val="single" w:color="auto" w:sz="4" w:space="0"/>
            </w:tcBorders>
            <w:vAlign w:val="center"/>
          </w:tcPr>
          <w:p w14:paraId="6CB4327D">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采购人要求</w:t>
            </w:r>
          </w:p>
        </w:tc>
      </w:tr>
      <w:tr w14:paraId="5169ED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4BABBA4D">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1</w:t>
            </w:r>
          </w:p>
        </w:tc>
        <w:tc>
          <w:tcPr>
            <w:tcW w:w="894" w:type="pct"/>
            <w:tcBorders>
              <w:top w:val="single" w:color="auto" w:sz="4" w:space="0"/>
              <w:left w:val="single" w:color="auto" w:sz="4" w:space="0"/>
              <w:bottom w:val="single" w:color="auto" w:sz="4" w:space="0"/>
              <w:right w:val="single" w:color="auto" w:sz="4" w:space="0"/>
            </w:tcBorders>
            <w:vAlign w:val="center"/>
          </w:tcPr>
          <w:p w14:paraId="4E6BFE80">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成交价</w:t>
            </w:r>
          </w:p>
        </w:tc>
        <w:tc>
          <w:tcPr>
            <w:tcW w:w="3673" w:type="pct"/>
            <w:tcBorders>
              <w:top w:val="single" w:color="auto" w:sz="4" w:space="0"/>
              <w:left w:val="single" w:color="auto" w:sz="4" w:space="0"/>
              <w:bottom w:val="single" w:color="auto" w:sz="4" w:space="0"/>
              <w:right w:val="single" w:color="auto" w:sz="4" w:space="0"/>
            </w:tcBorders>
            <w:vAlign w:val="center"/>
          </w:tcPr>
          <w:p w14:paraId="79249A7B">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人民币。</w:t>
            </w:r>
          </w:p>
        </w:tc>
      </w:tr>
      <w:tr w14:paraId="4B865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371766EE">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2</w:t>
            </w:r>
          </w:p>
        </w:tc>
        <w:tc>
          <w:tcPr>
            <w:tcW w:w="894" w:type="pct"/>
            <w:tcBorders>
              <w:top w:val="single" w:color="auto" w:sz="4" w:space="0"/>
              <w:left w:val="single" w:color="auto" w:sz="4" w:space="0"/>
              <w:bottom w:val="single" w:color="auto" w:sz="4" w:space="0"/>
              <w:right w:val="single" w:color="auto" w:sz="4" w:space="0"/>
            </w:tcBorders>
            <w:vAlign w:val="center"/>
          </w:tcPr>
          <w:p w14:paraId="77554906">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交付时间</w:t>
            </w:r>
          </w:p>
        </w:tc>
        <w:tc>
          <w:tcPr>
            <w:tcW w:w="3673" w:type="pct"/>
            <w:tcBorders>
              <w:top w:val="single" w:color="auto" w:sz="4" w:space="0"/>
              <w:left w:val="single" w:color="auto" w:sz="4" w:space="0"/>
              <w:bottom w:val="single" w:color="auto" w:sz="4" w:space="0"/>
              <w:right w:val="single" w:color="auto" w:sz="4" w:space="0"/>
            </w:tcBorders>
            <w:vAlign w:val="center"/>
          </w:tcPr>
          <w:p w14:paraId="4CB52A06">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合同签订后1</w:t>
            </w:r>
            <w:r>
              <w:rPr>
                <w:rFonts w:hint="eastAsia" w:ascii="宋体" w:hAnsi="宋体" w:eastAsia="宋体" w:cs="Times New Roman"/>
                <w:b w:val="0"/>
                <w:bCs/>
                <w:color w:val="000000"/>
                <w:sz w:val="24"/>
                <w:szCs w:val="24"/>
                <w:highlight w:val="none"/>
                <w:lang w:val="en-US" w:eastAsia="zh-CN"/>
                <w14:ligatures w14:val="none"/>
              </w:rPr>
              <w:t>5</w:t>
            </w:r>
            <w:r>
              <w:rPr>
                <w:rFonts w:hint="eastAsia" w:ascii="宋体" w:hAnsi="宋体" w:eastAsia="宋体" w:cs="Times New Roman"/>
                <w:b w:val="0"/>
                <w:bCs/>
                <w:color w:val="000000"/>
                <w:sz w:val="24"/>
                <w:szCs w:val="24"/>
                <w:highlight w:val="none"/>
                <w14:ligatures w14:val="none"/>
              </w:rPr>
              <w:t>个工作日</w:t>
            </w:r>
          </w:p>
        </w:tc>
      </w:tr>
      <w:tr w14:paraId="35E23D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36FB64F3">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3</w:t>
            </w:r>
          </w:p>
        </w:tc>
        <w:tc>
          <w:tcPr>
            <w:tcW w:w="894" w:type="pct"/>
            <w:tcBorders>
              <w:top w:val="single" w:color="auto" w:sz="4" w:space="0"/>
              <w:left w:val="single" w:color="auto" w:sz="4" w:space="0"/>
              <w:bottom w:val="single" w:color="auto" w:sz="4" w:space="0"/>
              <w:right w:val="single" w:color="auto" w:sz="4" w:space="0"/>
            </w:tcBorders>
            <w:vAlign w:val="center"/>
          </w:tcPr>
          <w:p w14:paraId="0C009F23">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付款方式</w:t>
            </w:r>
          </w:p>
        </w:tc>
        <w:tc>
          <w:tcPr>
            <w:tcW w:w="3673" w:type="pct"/>
            <w:tcBorders>
              <w:top w:val="single" w:color="auto" w:sz="4" w:space="0"/>
              <w:left w:val="single" w:color="auto" w:sz="4" w:space="0"/>
              <w:bottom w:val="single" w:color="auto" w:sz="4" w:space="0"/>
              <w:right w:val="single" w:color="auto" w:sz="4" w:space="0"/>
            </w:tcBorders>
            <w:vAlign w:val="center"/>
          </w:tcPr>
          <w:p w14:paraId="61C6E862">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按季度付款，采购人于当季服务结束后15日内支付当季服务款项，如遇假期调整支付时间顺延，计费日期自线路开通之日起开始执行协议资费。</w:t>
            </w:r>
          </w:p>
        </w:tc>
      </w:tr>
      <w:tr w14:paraId="19AA74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67C0EA6B">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4</w:t>
            </w:r>
          </w:p>
        </w:tc>
        <w:tc>
          <w:tcPr>
            <w:tcW w:w="894" w:type="pct"/>
            <w:tcBorders>
              <w:top w:val="single" w:color="auto" w:sz="4" w:space="0"/>
              <w:left w:val="single" w:color="auto" w:sz="4" w:space="0"/>
              <w:bottom w:val="single" w:color="auto" w:sz="4" w:space="0"/>
              <w:right w:val="single" w:color="auto" w:sz="4" w:space="0"/>
            </w:tcBorders>
            <w:vAlign w:val="center"/>
          </w:tcPr>
          <w:p w14:paraId="5FC38D93">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服务实施验收</w:t>
            </w:r>
          </w:p>
        </w:tc>
        <w:tc>
          <w:tcPr>
            <w:tcW w:w="3673" w:type="pct"/>
            <w:tcBorders>
              <w:top w:val="single" w:color="auto" w:sz="4" w:space="0"/>
              <w:left w:val="single" w:color="auto" w:sz="4" w:space="0"/>
              <w:bottom w:val="single" w:color="auto" w:sz="4" w:space="0"/>
              <w:right w:val="single" w:color="auto" w:sz="4" w:space="0"/>
            </w:tcBorders>
            <w:vAlign w:val="center"/>
          </w:tcPr>
          <w:p w14:paraId="72EDE4D8">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A、服务验收由专家组和中标人联合在山东大学进行，验收条件按照合同规定执行。验收合格后填写山东大学服务验收记录表，该验收单作为支付中标人款项的依据。</w:t>
            </w:r>
          </w:p>
          <w:p w14:paraId="5A43D0F7">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B、对交付有特殊要求的服务，中标人应在合同签订后10 个工作日内以书面形式向用户提出安装场地环境要求，用户负责如电源、地线、温度和湿度设备、静电和防尘设备等安装场地的准备。</w:t>
            </w:r>
          </w:p>
        </w:tc>
      </w:tr>
      <w:tr w14:paraId="0B79F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jc w:val="center"/>
        </w:trPr>
        <w:tc>
          <w:tcPr>
            <w:tcW w:w="431" w:type="pct"/>
            <w:tcBorders>
              <w:top w:val="single" w:color="auto" w:sz="4" w:space="0"/>
              <w:left w:val="single" w:color="auto" w:sz="4" w:space="0"/>
              <w:bottom w:val="single" w:color="auto" w:sz="4" w:space="0"/>
              <w:right w:val="single" w:color="auto" w:sz="4" w:space="0"/>
            </w:tcBorders>
            <w:vAlign w:val="center"/>
          </w:tcPr>
          <w:p w14:paraId="029E0226">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5</w:t>
            </w:r>
          </w:p>
        </w:tc>
        <w:tc>
          <w:tcPr>
            <w:tcW w:w="894" w:type="pct"/>
            <w:tcBorders>
              <w:top w:val="single" w:color="auto" w:sz="4" w:space="0"/>
              <w:left w:val="single" w:color="auto" w:sz="4" w:space="0"/>
              <w:bottom w:val="single" w:color="auto" w:sz="4" w:space="0"/>
              <w:right w:val="single" w:color="auto" w:sz="4" w:space="0"/>
            </w:tcBorders>
            <w:vAlign w:val="center"/>
          </w:tcPr>
          <w:p w14:paraId="61B20C53">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保修与维修</w:t>
            </w:r>
          </w:p>
        </w:tc>
        <w:tc>
          <w:tcPr>
            <w:tcW w:w="3673" w:type="pct"/>
            <w:tcBorders>
              <w:top w:val="single" w:color="auto" w:sz="4" w:space="0"/>
              <w:left w:val="single" w:color="auto" w:sz="4" w:space="0"/>
              <w:bottom w:val="single" w:color="auto" w:sz="4" w:space="0"/>
              <w:right w:val="single" w:color="auto" w:sz="4" w:space="0"/>
            </w:tcBorders>
            <w:vAlign w:val="center"/>
          </w:tcPr>
          <w:p w14:paraId="0000562D">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A、服务期限：3 年</w:t>
            </w:r>
            <w:r>
              <w:rPr>
                <w:rFonts w:hint="eastAsia" w:ascii="宋体" w:hAnsi="宋体" w:eastAsia="宋体" w:cs="Times New Roman"/>
                <w:b w:val="0"/>
                <w:bCs/>
                <w:color w:val="000000"/>
                <w:sz w:val="24"/>
                <w:szCs w:val="24"/>
                <w:highlight w:val="none"/>
                <w:lang w:eastAsia="zh-CN"/>
                <w14:ligatures w14:val="none"/>
              </w:rPr>
              <w:t>，</w:t>
            </w:r>
            <w:r>
              <w:rPr>
                <w:rFonts w:hint="eastAsia" w:ascii="宋体" w:hAnsi="宋体" w:eastAsia="宋体" w:cs="Times New Roman"/>
                <w:b w:val="0"/>
                <w:bCs/>
                <w:color w:val="000000"/>
                <w:sz w:val="24"/>
                <w:szCs w:val="24"/>
                <w:highlight w:val="none"/>
                <w:lang w:val="en-US" w:eastAsia="zh-CN"/>
                <w14:ligatures w14:val="none"/>
              </w:rPr>
              <w:t>合同一年一签，</w:t>
            </w:r>
            <w:r>
              <w:rPr>
                <w:rFonts w:hint="eastAsia" w:ascii="宋体" w:hAnsi="宋体" w:eastAsia="宋体" w:cs="Times New Roman"/>
                <w:b w:val="0"/>
                <w:bCs/>
                <w:color w:val="000000"/>
                <w:sz w:val="24"/>
                <w:szCs w:val="24"/>
                <w:highlight w:val="none"/>
                <w14:ligatures w14:val="none"/>
              </w:rPr>
              <w:t>采购人在年度预算能保障的前提下对中标人服务质量进行考核，并根据考核结果自主决定是否与中标人续签下一年合同。</w:t>
            </w:r>
          </w:p>
          <w:p w14:paraId="48535799">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B、中标人应在服务期到期满前一个月内，进行一次现场全面检查，并写出正式报告。如发现问题应负责解决（该项费用包含在报价中）。</w:t>
            </w:r>
          </w:p>
          <w:p w14:paraId="30803E9D">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C、中标人需提供负责售后服务的部门或单位的名称和联系方式。一般故障在30 分钟内解决；严重故障应在120 分钟内解决，重大故障应在240 分钟内解决。故障持续60 分钟内必须到现场处理。重大问题或其它无法迅速解决的问题应在1 月内解决或提出明确解决方案，否则中标人应赔偿相应损失。</w:t>
            </w:r>
          </w:p>
          <w:p w14:paraId="5371C939">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D、中标人应定期回访用户。</w:t>
            </w:r>
          </w:p>
          <w:p w14:paraId="479A982B">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E、中标人应提供日常巡检方案负责制订具体的巡查计划，并对日常巡查工作进行指导检查。</w:t>
            </w:r>
          </w:p>
          <w:p w14:paraId="1D8AA64D">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F、中标人应提供网络流量数据，对网络状况进行实时分析，对于出现的问题或故障及时提供解决方案。</w:t>
            </w:r>
          </w:p>
          <w:p w14:paraId="688A4EC9">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G、供应商接入到用户方路由器/防火墙前端的设备均由供应商提供和维护(含光纤收发器、光模块等)，费用包含在此次报价中，不再额外收取线路初装、测试、维护和租用费用。</w:t>
            </w:r>
          </w:p>
          <w:p w14:paraId="30B0D124">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H.供应商应提供本项目合同期内各网络节点的专线线路的使用和维护服务，以及实施过程中所需的材料及设备，其费用均</w:t>
            </w:r>
          </w:p>
          <w:p w14:paraId="716526E6">
            <w:pPr>
              <w:widowControl/>
              <w:spacing w:after="0" w:line="240" w:lineRule="auto"/>
              <w:rPr>
                <w:rFonts w:hint="eastAsia" w:ascii="宋体" w:hAnsi="宋体" w:eastAsia="宋体" w:cs="Times New Roman"/>
                <w:b w:val="0"/>
                <w:bCs/>
                <w:color w:val="000000"/>
                <w:sz w:val="24"/>
                <w:szCs w:val="24"/>
                <w:highlight w:val="none"/>
                <w14:ligatures w14:val="none"/>
              </w:rPr>
            </w:pPr>
            <w:r>
              <w:rPr>
                <w:rFonts w:hint="eastAsia" w:ascii="宋体" w:hAnsi="宋体" w:eastAsia="宋体" w:cs="Times New Roman"/>
                <w:b w:val="0"/>
                <w:bCs/>
                <w:color w:val="000000"/>
                <w:sz w:val="24"/>
                <w:szCs w:val="24"/>
                <w:highlight w:val="none"/>
                <w14:ligatures w14:val="none"/>
              </w:rPr>
              <w:t>包括在中标总价中。</w:t>
            </w:r>
          </w:p>
        </w:tc>
      </w:tr>
    </w:tbl>
    <w:p w14:paraId="0C34A82B">
      <w:bookmarkStart w:id="27" w:name="_GoBack"/>
      <w:bookmarkEnd w:id="2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857A30"/>
    <w:rsid w:val="00014877"/>
    <w:rsid w:val="00107F51"/>
    <w:rsid w:val="00187FB5"/>
    <w:rsid w:val="01722086"/>
    <w:rsid w:val="01864C69"/>
    <w:rsid w:val="0208692A"/>
    <w:rsid w:val="02105937"/>
    <w:rsid w:val="027779FF"/>
    <w:rsid w:val="029A4ABB"/>
    <w:rsid w:val="031459D0"/>
    <w:rsid w:val="037A7FC6"/>
    <w:rsid w:val="042968D4"/>
    <w:rsid w:val="04EB264D"/>
    <w:rsid w:val="04FA2C4D"/>
    <w:rsid w:val="05094BC0"/>
    <w:rsid w:val="055869F3"/>
    <w:rsid w:val="05A20CE2"/>
    <w:rsid w:val="060B4770"/>
    <w:rsid w:val="0618640F"/>
    <w:rsid w:val="065057E0"/>
    <w:rsid w:val="082B31B8"/>
    <w:rsid w:val="08B16E7B"/>
    <w:rsid w:val="09076941"/>
    <w:rsid w:val="0913450E"/>
    <w:rsid w:val="097255CA"/>
    <w:rsid w:val="09C16841"/>
    <w:rsid w:val="09D142C1"/>
    <w:rsid w:val="0A840C61"/>
    <w:rsid w:val="0AE359BC"/>
    <w:rsid w:val="0B1D5A27"/>
    <w:rsid w:val="0B32516C"/>
    <w:rsid w:val="0B58407D"/>
    <w:rsid w:val="0B7618F2"/>
    <w:rsid w:val="0BC37096"/>
    <w:rsid w:val="0C97522D"/>
    <w:rsid w:val="0CC765B1"/>
    <w:rsid w:val="0CC77D60"/>
    <w:rsid w:val="0D9A4CD8"/>
    <w:rsid w:val="0D9F1B48"/>
    <w:rsid w:val="0DD904E7"/>
    <w:rsid w:val="0E4002F1"/>
    <w:rsid w:val="0E8F7900"/>
    <w:rsid w:val="0E987BC3"/>
    <w:rsid w:val="0EFB58EA"/>
    <w:rsid w:val="0F59158D"/>
    <w:rsid w:val="0FDC426E"/>
    <w:rsid w:val="103E5D2F"/>
    <w:rsid w:val="104F387A"/>
    <w:rsid w:val="108F3CD9"/>
    <w:rsid w:val="10D64D5C"/>
    <w:rsid w:val="10DD0EA7"/>
    <w:rsid w:val="1125479F"/>
    <w:rsid w:val="1171089E"/>
    <w:rsid w:val="11932F02"/>
    <w:rsid w:val="11A77306"/>
    <w:rsid w:val="123918DC"/>
    <w:rsid w:val="125211DF"/>
    <w:rsid w:val="127B7650"/>
    <w:rsid w:val="12E67807"/>
    <w:rsid w:val="1352048D"/>
    <w:rsid w:val="138E6A50"/>
    <w:rsid w:val="13C539D9"/>
    <w:rsid w:val="149F5C2A"/>
    <w:rsid w:val="14B616EB"/>
    <w:rsid w:val="14BB54CD"/>
    <w:rsid w:val="14E4280C"/>
    <w:rsid w:val="14F9711F"/>
    <w:rsid w:val="150A7FF0"/>
    <w:rsid w:val="15211F63"/>
    <w:rsid w:val="15303D84"/>
    <w:rsid w:val="15352419"/>
    <w:rsid w:val="155722FF"/>
    <w:rsid w:val="159272D9"/>
    <w:rsid w:val="15A5483F"/>
    <w:rsid w:val="1692405F"/>
    <w:rsid w:val="16A13BDE"/>
    <w:rsid w:val="1708075F"/>
    <w:rsid w:val="183A1EC4"/>
    <w:rsid w:val="18D168C7"/>
    <w:rsid w:val="18FE6C33"/>
    <w:rsid w:val="190633A8"/>
    <w:rsid w:val="19AB6511"/>
    <w:rsid w:val="19BF2F21"/>
    <w:rsid w:val="19C67379"/>
    <w:rsid w:val="1A40342D"/>
    <w:rsid w:val="1A5067D4"/>
    <w:rsid w:val="1AEA6958"/>
    <w:rsid w:val="1AF45D59"/>
    <w:rsid w:val="1B002A8F"/>
    <w:rsid w:val="1B1B672A"/>
    <w:rsid w:val="1B2503B3"/>
    <w:rsid w:val="1B2C4819"/>
    <w:rsid w:val="1B81457B"/>
    <w:rsid w:val="1B966F1A"/>
    <w:rsid w:val="1BBB297E"/>
    <w:rsid w:val="1BD36D90"/>
    <w:rsid w:val="1CCE6C9E"/>
    <w:rsid w:val="1CD277DE"/>
    <w:rsid w:val="1CE07EA7"/>
    <w:rsid w:val="1D0213A9"/>
    <w:rsid w:val="1D540AFD"/>
    <w:rsid w:val="1D803678"/>
    <w:rsid w:val="1D947315"/>
    <w:rsid w:val="1DD65B22"/>
    <w:rsid w:val="1E0B5B62"/>
    <w:rsid w:val="1E1420D6"/>
    <w:rsid w:val="1E943953"/>
    <w:rsid w:val="1F2F46E8"/>
    <w:rsid w:val="1F663FC7"/>
    <w:rsid w:val="1FF63823"/>
    <w:rsid w:val="201E60AC"/>
    <w:rsid w:val="20322611"/>
    <w:rsid w:val="20652E7D"/>
    <w:rsid w:val="20907B80"/>
    <w:rsid w:val="20954636"/>
    <w:rsid w:val="209E7711"/>
    <w:rsid w:val="20D16233"/>
    <w:rsid w:val="20D96B23"/>
    <w:rsid w:val="211A4B0C"/>
    <w:rsid w:val="21587019"/>
    <w:rsid w:val="22047FDC"/>
    <w:rsid w:val="220E39AD"/>
    <w:rsid w:val="227F5DDF"/>
    <w:rsid w:val="229040EB"/>
    <w:rsid w:val="22D63784"/>
    <w:rsid w:val="22E00101"/>
    <w:rsid w:val="2358693D"/>
    <w:rsid w:val="235A7D5E"/>
    <w:rsid w:val="236A5EB2"/>
    <w:rsid w:val="257806A4"/>
    <w:rsid w:val="25B55E88"/>
    <w:rsid w:val="26860AF8"/>
    <w:rsid w:val="26F946EF"/>
    <w:rsid w:val="27454323"/>
    <w:rsid w:val="276724B2"/>
    <w:rsid w:val="27AE17AE"/>
    <w:rsid w:val="27B065D9"/>
    <w:rsid w:val="27EC3203"/>
    <w:rsid w:val="28497CE9"/>
    <w:rsid w:val="287E5D51"/>
    <w:rsid w:val="28853958"/>
    <w:rsid w:val="2899220D"/>
    <w:rsid w:val="28F36F96"/>
    <w:rsid w:val="29083185"/>
    <w:rsid w:val="291218A3"/>
    <w:rsid w:val="292F2F3C"/>
    <w:rsid w:val="293B132E"/>
    <w:rsid w:val="29B660AF"/>
    <w:rsid w:val="29EF48F6"/>
    <w:rsid w:val="2A5B35EC"/>
    <w:rsid w:val="2AB6061E"/>
    <w:rsid w:val="2B0C566F"/>
    <w:rsid w:val="2B1A015B"/>
    <w:rsid w:val="2B261739"/>
    <w:rsid w:val="2B673557"/>
    <w:rsid w:val="2B7427ED"/>
    <w:rsid w:val="2C0D6332"/>
    <w:rsid w:val="2CBA36ED"/>
    <w:rsid w:val="2CDB0A3F"/>
    <w:rsid w:val="2D2D582E"/>
    <w:rsid w:val="2E3547B2"/>
    <w:rsid w:val="2E3B5A0D"/>
    <w:rsid w:val="2E6424E2"/>
    <w:rsid w:val="2E783031"/>
    <w:rsid w:val="2EB9037F"/>
    <w:rsid w:val="2EEB4B42"/>
    <w:rsid w:val="2F0927B5"/>
    <w:rsid w:val="2F09696A"/>
    <w:rsid w:val="2F6623A2"/>
    <w:rsid w:val="2F9C7562"/>
    <w:rsid w:val="2FBC1453"/>
    <w:rsid w:val="3018551A"/>
    <w:rsid w:val="302741E5"/>
    <w:rsid w:val="30FA1725"/>
    <w:rsid w:val="314C1540"/>
    <w:rsid w:val="31C763A2"/>
    <w:rsid w:val="32AD063B"/>
    <w:rsid w:val="32CF7C6A"/>
    <w:rsid w:val="32D7003E"/>
    <w:rsid w:val="32DC1712"/>
    <w:rsid w:val="32DE6B39"/>
    <w:rsid w:val="333B167A"/>
    <w:rsid w:val="33576006"/>
    <w:rsid w:val="33CE2588"/>
    <w:rsid w:val="34032B6D"/>
    <w:rsid w:val="341F3636"/>
    <w:rsid w:val="342B05CE"/>
    <w:rsid w:val="34334935"/>
    <w:rsid w:val="34336B72"/>
    <w:rsid w:val="3478118C"/>
    <w:rsid w:val="34917046"/>
    <w:rsid w:val="34A55CAF"/>
    <w:rsid w:val="34DA04A1"/>
    <w:rsid w:val="356D49D0"/>
    <w:rsid w:val="36C45BF0"/>
    <w:rsid w:val="36E32A61"/>
    <w:rsid w:val="374304CC"/>
    <w:rsid w:val="37563922"/>
    <w:rsid w:val="375C419C"/>
    <w:rsid w:val="3776067E"/>
    <w:rsid w:val="379B7260"/>
    <w:rsid w:val="3803313D"/>
    <w:rsid w:val="38081F51"/>
    <w:rsid w:val="38A31458"/>
    <w:rsid w:val="38C75919"/>
    <w:rsid w:val="393E30D3"/>
    <w:rsid w:val="396C36C6"/>
    <w:rsid w:val="398F3FBF"/>
    <w:rsid w:val="39E37447"/>
    <w:rsid w:val="39E77711"/>
    <w:rsid w:val="3A5A3DCE"/>
    <w:rsid w:val="3A5C44DE"/>
    <w:rsid w:val="3A9A3CF3"/>
    <w:rsid w:val="3AA76B24"/>
    <w:rsid w:val="3B3173C8"/>
    <w:rsid w:val="3B691A1F"/>
    <w:rsid w:val="3BDC084C"/>
    <w:rsid w:val="3BFE02EE"/>
    <w:rsid w:val="3C1A2779"/>
    <w:rsid w:val="3C314A4D"/>
    <w:rsid w:val="3C3275E3"/>
    <w:rsid w:val="3C432158"/>
    <w:rsid w:val="3CEA6867"/>
    <w:rsid w:val="3CF44DFB"/>
    <w:rsid w:val="3D224BDE"/>
    <w:rsid w:val="3D230748"/>
    <w:rsid w:val="3D3775C9"/>
    <w:rsid w:val="3D385A7A"/>
    <w:rsid w:val="3D3A5A3A"/>
    <w:rsid w:val="3D590F09"/>
    <w:rsid w:val="3D5973AB"/>
    <w:rsid w:val="3D71102F"/>
    <w:rsid w:val="3DCA347D"/>
    <w:rsid w:val="3DDF1802"/>
    <w:rsid w:val="3DFB1B0E"/>
    <w:rsid w:val="3E08609E"/>
    <w:rsid w:val="3E100775"/>
    <w:rsid w:val="3F591BA3"/>
    <w:rsid w:val="403326B5"/>
    <w:rsid w:val="40415F5B"/>
    <w:rsid w:val="40B0119D"/>
    <w:rsid w:val="414D52BF"/>
    <w:rsid w:val="418A0727"/>
    <w:rsid w:val="41DF1DC6"/>
    <w:rsid w:val="421074D3"/>
    <w:rsid w:val="422920EC"/>
    <w:rsid w:val="428928DD"/>
    <w:rsid w:val="43456004"/>
    <w:rsid w:val="438D51D7"/>
    <w:rsid w:val="43CD58CE"/>
    <w:rsid w:val="43D53DA6"/>
    <w:rsid w:val="43E202FE"/>
    <w:rsid w:val="43F01942"/>
    <w:rsid w:val="4462579A"/>
    <w:rsid w:val="44892B36"/>
    <w:rsid w:val="44EC4088"/>
    <w:rsid w:val="45067575"/>
    <w:rsid w:val="4576226F"/>
    <w:rsid w:val="458147A7"/>
    <w:rsid w:val="46843C9F"/>
    <w:rsid w:val="46846882"/>
    <w:rsid w:val="46866723"/>
    <w:rsid w:val="46C5455B"/>
    <w:rsid w:val="47194598"/>
    <w:rsid w:val="4739637A"/>
    <w:rsid w:val="477D2D67"/>
    <w:rsid w:val="48053CEE"/>
    <w:rsid w:val="4826047B"/>
    <w:rsid w:val="488512C3"/>
    <w:rsid w:val="489A7754"/>
    <w:rsid w:val="48AC5E86"/>
    <w:rsid w:val="48C30E74"/>
    <w:rsid w:val="490B1097"/>
    <w:rsid w:val="49133B00"/>
    <w:rsid w:val="49BA55F7"/>
    <w:rsid w:val="49F41C02"/>
    <w:rsid w:val="4A383AAE"/>
    <w:rsid w:val="4A842FC4"/>
    <w:rsid w:val="4AB60F23"/>
    <w:rsid w:val="4ADA723F"/>
    <w:rsid w:val="4B652E50"/>
    <w:rsid w:val="4BB74681"/>
    <w:rsid w:val="4BCB1E65"/>
    <w:rsid w:val="4C0673B0"/>
    <w:rsid w:val="4C890E00"/>
    <w:rsid w:val="4CFF544D"/>
    <w:rsid w:val="4D664F0D"/>
    <w:rsid w:val="4D737BC0"/>
    <w:rsid w:val="4D90732F"/>
    <w:rsid w:val="4DB911F5"/>
    <w:rsid w:val="4E39006D"/>
    <w:rsid w:val="4E3F4042"/>
    <w:rsid w:val="4E4A5E9C"/>
    <w:rsid w:val="4E5E0C59"/>
    <w:rsid w:val="4F5758BF"/>
    <w:rsid w:val="4FED4EA3"/>
    <w:rsid w:val="50414FAD"/>
    <w:rsid w:val="508225E4"/>
    <w:rsid w:val="50A27F35"/>
    <w:rsid w:val="511145F1"/>
    <w:rsid w:val="51265427"/>
    <w:rsid w:val="512C2130"/>
    <w:rsid w:val="51586D6F"/>
    <w:rsid w:val="51C74D12"/>
    <w:rsid w:val="51C76515"/>
    <w:rsid w:val="51E2012B"/>
    <w:rsid w:val="52217DE8"/>
    <w:rsid w:val="52234144"/>
    <w:rsid w:val="528065BE"/>
    <w:rsid w:val="52A85446"/>
    <w:rsid w:val="52BC6652"/>
    <w:rsid w:val="5332144D"/>
    <w:rsid w:val="53817A93"/>
    <w:rsid w:val="53D517BB"/>
    <w:rsid w:val="53E34E8E"/>
    <w:rsid w:val="54381BD1"/>
    <w:rsid w:val="552A401D"/>
    <w:rsid w:val="553E5FA5"/>
    <w:rsid w:val="55885BB5"/>
    <w:rsid w:val="55CD5943"/>
    <w:rsid w:val="5659437D"/>
    <w:rsid w:val="566770A4"/>
    <w:rsid w:val="56B83067"/>
    <w:rsid w:val="56F16299"/>
    <w:rsid w:val="572C398B"/>
    <w:rsid w:val="57DF2C91"/>
    <w:rsid w:val="580B5A68"/>
    <w:rsid w:val="58371843"/>
    <w:rsid w:val="585E5382"/>
    <w:rsid w:val="58623C63"/>
    <w:rsid w:val="58A50202"/>
    <w:rsid w:val="595A7F7E"/>
    <w:rsid w:val="59740071"/>
    <w:rsid w:val="59756698"/>
    <w:rsid w:val="59C33373"/>
    <w:rsid w:val="59C86CA9"/>
    <w:rsid w:val="59D43EF5"/>
    <w:rsid w:val="59D547EA"/>
    <w:rsid w:val="5A8D0756"/>
    <w:rsid w:val="5A8D3AFE"/>
    <w:rsid w:val="5B0F1B30"/>
    <w:rsid w:val="5B2E6B4B"/>
    <w:rsid w:val="5B5D4931"/>
    <w:rsid w:val="5BBE5C5A"/>
    <w:rsid w:val="5BC14016"/>
    <w:rsid w:val="5BEB236A"/>
    <w:rsid w:val="5C3A0A04"/>
    <w:rsid w:val="5CCA5E91"/>
    <w:rsid w:val="5D845BA8"/>
    <w:rsid w:val="5D8D3E71"/>
    <w:rsid w:val="5DA07FF7"/>
    <w:rsid w:val="5E01304D"/>
    <w:rsid w:val="5EE947C8"/>
    <w:rsid w:val="5F093A0F"/>
    <w:rsid w:val="5F10128B"/>
    <w:rsid w:val="5F6371E0"/>
    <w:rsid w:val="5F6F4B8F"/>
    <w:rsid w:val="5F916C75"/>
    <w:rsid w:val="60021EA4"/>
    <w:rsid w:val="600736BC"/>
    <w:rsid w:val="600A4B09"/>
    <w:rsid w:val="605F1D0B"/>
    <w:rsid w:val="6064444F"/>
    <w:rsid w:val="611353F0"/>
    <w:rsid w:val="61985A2E"/>
    <w:rsid w:val="61D94A0C"/>
    <w:rsid w:val="62CD3DF2"/>
    <w:rsid w:val="62E96664"/>
    <w:rsid w:val="63041BE6"/>
    <w:rsid w:val="631043D5"/>
    <w:rsid w:val="649F377C"/>
    <w:rsid w:val="65064588"/>
    <w:rsid w:val="651519EE"/>
    <w:rsid w:val="653A2280"/>
    <w:rsid w:val="654732FD"/>
    <w:rsid w:val="6569233D"/>
    <w:rsid w:val="659C36B8"/>
    <w:rsid w:val="65EC26C9"/>
    <w:rsid w:val="668A5968"/>
    <w:rsid w:val="676505EB"/>
    <w:rsid w:val="67E56DD6"/>
    <w:rsid w:val="67F71073"/>
    <w:rsid w:val="689E5B3D"/>
    <w:rsid w:val="68D80B25"/>
    <w:rsid w:val="696D1859"/>
    <w:rsid w:val="6976206A"/>
    <w:rsid w:val="69BD5F23"/>
    <w:rsid w:val="69DD6A02"/>
    <w:rsid w:val="6A6B76AD"/>
    <w:rsid w:val="6A7D6396"/>
    <w:rsid w:val="6A80346D"/>
    <w:rsid w:val="6AAB27BF"/>
    <w:rsid w:val="6B3E7BB5"/>
    <w:rsid w:val="6B8A56F6"/>
    <w:rsid w:val="6BB64740"/>
    <w:rsid w:val="6BDE7EC2"/>
    <w:rsid w:val="6BFA7CAB"/>
    <w:rsid w:val="6C066525"/>
    <w:rsid w:val="6C543A41"/>
    <w:rsid w:val="6C8420F9"/>
    <w:rsid w:val="6D366A53"/>
    <w:rsid w:val="6D5A5A6E"/>
    <w:rsid w:val="6D6072F6"/>
    <w:rsid w:val="6D6B2D94"/>
    <w:rsid w:val="6DE17D2F"/>
    <w:rsid w:val="6E09125C"/>
    <w:rsid w:val="6E3F2708"/>
    <w:rsid w:val="6ECC1B03"/>
    <w:rsid w:val="6F081ECC"/>
    <w:rsid w:val="6F1F55DB"/>
    <w:rsid w:val="6F2F0829"/>
    <w:rsid w:val="6F367F8E"/>
    <w:rsid w:val="6FCF139E"/>
    <w:rsid w:val="70197D66"/>
    <w:rsid w:val="7036075E"/>
    <w:rsid w:val="70362978"/>
    <w:rsid w:val="70412488"/>
    <w:rsid w:val="70966DD4"/>
    <w:rsid w:val="70E525BA"/>
    <w:rsid w:val="70E75FDC"/>
    <w:rsid w:val="71082E7B"/>
    <w:rsid w:val="71270FB4"/>
    <w:rsid w:val="71695A58"/>
    <w:rsid w:val="716B02ED"/>
    <w:rsid w:val="71CA268E"/>
    <w:rsid w:val="72250458"/>
    <w:rsid w:val="725C4DCF"/>
    <w:rsid w:val="7297545B"/>
    <w:rsid w:val="729F408D"/>
    <w:rsid w:val="73002031"/>
    <w:rsid w:val="73351CA8"/>
    <w:rsid w:val="73FF0EDA"/>
    <w:rsid w:val="74464EE5"/>
    <w:rsid w:val="748529B1"/>
    <w:rsid w:val="74B626D6"/>
    <w:rsid w:val="74E108A3"/>
    <w:rsid w:val="74E42550"/>
    <w:rsid w:val="74E94751"/>
    <w:rsid w:val="751C6ECC"/>
    <w:rsid w:val="751F7A57"/>
    <w:rsid w:val="756B596A"/>
    <w:rsid w:val="75857A30"/>
    <w:rsid w:val="75880514"/>
    <w:rsid w:val="75B901F2"/>
    <w:rsid w:val="75CF1E4C"/>
    <w:rsid w:val="75E777AA"/>
    <w:rsid w:val="76631429"/>
    <w:rsid w:val="76730EC0"/>
    <w:rsid w:val="76A603F3"/>
    <w:rsid w:val="76C138E8"/>
    <w:rsid w:val="76CE6F37"/>
    <w:rsid w:val="77C75D52"/>
    <w:rsid w:val="781C1AEE"/>
    <w:rsid w:val="783B369C"/>
    <w:rsid w:val="78BC1B1C"/>
    <w:rsid w:val="78BE1435"/>
    <w:rsid w:val="78C13D31"/>
    <w:rsid w:val="79287717"/>
    <w:rsid w:val="79C55761"/>
    <w:rsid w:val="7B5707FE"/>
    <w:rsid w:val="7B655E5A"/>
    <w:rsid w:val="7BAD448A"/>
    <w:rsid w:val="7BFA2B6E"/>
    <w:rsid w:val="7C5E1890"/>
    <w:rsid w:val="7CB06CB4"/>
    <w:rsid w:val="7D1623C2"/>
    <w:rsid w:val="7D1B4352"/>
    <w:rsid w:val="7D395CFE"/>
    <w:rsid w:val="7D4F7832"/>
    <w:rsid w:val="7D9253F8"/>
    <w:rsid w:val="7D9F2718"/>
    <w:rsid w:val="7DBA21EF"/>
    <w:rsid w:val="7DD556D7"/>
    <w:rsid w:val="7E3C37AE"/>
    <w:rsid w:val="7E450708"/>
    <w:rsid w:val="7FAF52AF"/>
    <w:rsid w:val="7FC43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4"/>
    <w:autoRedefine/>
    <w:qFormat/>
    <w:uiPriority w:val="0"/>
    <w:pPr>
      <w:keepNext/>
      <w:keepLines/>
      <w:spacing w:before="340" w:beforeLines="0" w:beforeAutospacing="0" w:after="330" w:afterLines="0" w:afterAutospacing="0" w:line="576" w:lineRule="auto"/>
      <w:outlineLvl w:val="0"/>
    </w:pPr>
    <w:rPr>
      <w:rFonts w:ascii="Times New Roman" w:hAnsi="Times New Roman" w:eastAsia="黑体"/>
      <w:b/>
      <w:kern w:val="44"/>
      <w:sz w:val="44"/>
      <w:szCs w:val="21"/>
    </w:rPr>
  </w:style>
  <w:style w:type="paragraph" w:styleId="3">
    <w:name w:val="heading 2"/>
    <w:basedOn w:val="1"/>
    <w:next w:val="1"/>
    <w:link w:val="13"/>
    <w:autoRedefine/>
    <w:semiHidden/>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16"/>
    <w:semiHidden/>
    <w:unhideWhenUsed/>
    <w:qFormat/>
    <w:uiPriority w:val="0"/>
    <w:pPr>
      <w:keepNext/>
      <w:keepLines/>
      <w:spacing w:before="260" w:beforeLines="0" w:after="260" w:afterLines="0" w:line="415" w:lineRule="auto"/>
      <w:outlineLvl w:val="2"/>
    </w:pPr>
    <w:rPr>
      <w:rFonts w:ascii="Calibri" w:hAnsi="Calibri" w:eastAsia="宋体"/>
      <w:b/>
      <w:bCs/>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Body Text Indent"/>
    <w:basedOn w:val="1"/>
    <w:autoRedefine/>
    <w:qFormat/>
    <w:uiPriority w:val="0"/>
    <w:pPr>
      <w:spacing w:after="120" w:afterLines="0" w:afterAutospacing="0"/>
      <w:ind w:left="420" w:leftChars="200"/>
    </w:pPr>
  </w:style>
  <w:style w:type="paragraph" w:styleId="7">
    <w:name w:val="Plain Text"/>
    <w:basedOn w:val="1"/>
    <w:autoRedefine/>
    <w:qFormat/>
    <w:uiPriority w:val="0"/>
    <w:rPr>
      <w:rFonts w:ascii="宋体" w:hAnsi="Courier New"/>
    </w:rPr>
  </w:style>
  <w:style w:type="paragraph" w:styleId="8">
    <w:name w:val="Title"/>
    <w:basedOn w:val="1"/>
    <w:next w:val="1"/>
    <w:link w:val="15"/>
    <w:autoRedefine/>
    <w:qFormat/>
    <w:uiPriority w:val="0"/>
    <w:pPr>
      <w:spacing w:before="240" w:after="60"/>
      <w:jc w:val="left"/>
      <w:outlineLvl w:val="0"/>
    </w:pPr>
    <w:rPr>
      <w:rFonts w:ascii="Cambria" w:hAnsi="Cambria" w:eastAsia="仿宋" w:cs="黑体"/>
      <w:b/>
      <w:bCs/>
      <w:sz w:val="32"/>
      <w:szCs w:val="32"/>
    </w:rPr>
  </w:style>
  <w:style w:type="paragraph" w:styleId="9">
    <w:name w:val="Body Text First Indent 2"/>
    <w:basedOn w:val="6"/>
    <w:autoRedefine/>
    <w:qFormat/>
    <w:uiPriority w:val="0"/>
    <w:pPr>
      <w:ind w:firstLine="420" w:firstLineChars="200"/>
    </w:pPr>
  </w:style>
  <w:style w:type="table" w:styleId="11">
    <w:name w:val="Table Grid"/>
    <w:basedOn w:val="10"/>
    <w:qFormat/>
    <w:uiPriority w:val="39"/>
    <w:pPr>
      <w:widowControl w:val="0"/>
      <w:spacing w:after="200" w:line="276" w:lineRule="auto"/>
    </w:pPr>
    <w:rPr>
      <w:rFonts w:ascii="Calibri" w:hAnsi="Calibri" w:eastAsia="Times New Roman"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标题 2 Char"/>
    <w:link w:val="3"/>
    <w:autoRedefine/>
    <w:qFormat/>
    <w:uiPriority w:val="0"/>
    <w:rPr>
      <w:rFonts w:ascii="Arial" w:hAnsi="Arial" w:eastAsia="宋体"/>
      <w:b/>
      <w:sz w:val="32"/>
      <w:szCs w:val="21"/>
    </w:rPr>
  </w:style>
  <w:style w:type="character" w:customStyle="1" w:styleId="14">
    <w:name w:val="标题 1 Char"/>
    <w:link w:val="2"/>
    <w:autoRedefine/>
    <w:qFormat/>
    <w:uiPriority w:val="0"/>
    <w:rPr>
      <w:rFonts w:ascii="Times New Roman" w:hAnsi="Times New Roman" w:eastAsia="宋体" w:cs="Times New Roman"/>
      <w:b/>
      <w:kern w:val="44"/>
      <w:sz w:val="44"/>
      <w:szCs w:val="21"/>
    </w:rPr>
  </w:style>
  <w:style w:type="character" w:customStyle="1" w:styleId="15">
    <w:name w:val="标题 Char1"/>
    <w:link w:val="8"/>
    <w:autoRedefine/>
    <w:qFormat/>
    <w:uiPriority w:val="0"/>
    <w:rPr>
      <w:rFonts w:ascii="Cambria" w:hAnsi="Cambria" w:eastAsia="仿宋" w:cs="黑体"/>
      <w:b/>
      <w:bCs/>
      <w:sz w:val="32"/>
      <w:szCs w:val="32"/>
    </w:rPr>
  </w:style>
  <w:style w:type="character" w:customStyle="1" w:styleId="16">
    <w:name w:val="标题 3 Char"/>
    <w:link w:val="4"/>
    <w:autoRedefine/>
    <w:qFormat/>
    <w:uiPriority w:val="0"/>
    <w:rPr>
      <w:rFonts w:ascii="Calibri" w:hAnsi="Calibri" w:eastAsia="宋体"/>
      <w:b/>
      <w:bCs/>
      <w:sz w:val="32"/>
      <w:szCs w:val="32"/>
    </w:rPr>
  </w:style>
  <w:style w:type="table" w:customStyle="1" w:styleId="17">
    <w:name w:val="Table Normal"/>
    <w:semiHidden/>
    <w:unhideWhenUsed/>
    <w:qFormat/>
    <w:uiPriority w:val="2"/>
    <w:pPr>
      <w:widowControl w:val="0"/>
      <w:autoSpaceDE w:val="0"/>
      <w:autoSpaceDN w:val="0"/>
      <w:spacing w:after="0" w:line="240" w:lineRule="auto"/>
    </w:pPr>
    <w:rPr>
      <w:kern w:val="0"/>
      <w:szCs w:val="22"/>
      <w:lang w:eastAsia="en-US"/>
      <w14:ligatures w14:val="none"/>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2025-07-14T02:43:00Z</dcterms:created>
  <dc:creator>NTKO</dc:creator>
  <cp:lastModifiedBy>NTKO</cp:lastModifiedBy>
  <dcterms:modified xsi:type="dcterms:W3CDTF">2025-07-14T02:44:29Z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A1D6D60FE3A04813B01ECEBA4F1A79D2_11</vt:lpwstr>
  </property>
  <property fmtid="{D5CDD505-2E9C-101B-9397-08002B2CF9AE}" pid="4" name="KSOTemplateDocerSaveRecord">
    <vt:lpwstr>eyJoZGlkIjoiNjBmMzc0MTM4NjJhMmUzY2JiNzliNTRlNzc5MmI0OWYiLCJ1c2VySWQiOiIzNzY3MjM0MjQifQ==</vt:lpwstr>
  </property>
</Properties>
</file>